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4C4C6AF8" w:rsidR="004648F4" w:rsidRDefault="00373132"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高级</w:t>
      </w:r>
      <w:r w:rsidR="004648F4">
        <w:rPr>
          <w:rFonts w:ascii="Times New Roman" w:hAnsi="Times New Roman" w:hint="eastAsia"/>
          <w:sz w:val="32"/>
          <w:szCs w:val="30"/>
        </w:rPr>
        <w:t>技工学校</w:t>
      </w:r>
      <w:r w:rsidR="00A45374">
        <w:rPr>
          <w:rFonts w:ascii="Times New Roman" w:hAnsi="Times New Roman" w:hint="eastAsia"/>
          <w:sz w:val="32"/>
          <w:szCs w:val="30"/>
        </w:rPr>
        <w:t>合并</w:t>
      </w:r>
      <w:r w:rsidR="004648F4">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50A1B869"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1D02E58A"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A2228E1"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（一）本标准适用于公民、法人和其他社会组织依法举办的高级技工学校。</w:t>
      </w:r>
    </w:p>
    <w:p w14:paraId="1B872066"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（二）高级技工学校应全面贯彻党的教育方针，坚持科学发展观，坚持教育培训与生产实际相结合，坚持服务经济建设和社会发展、促进劳动者就业的办学方向。</w:t>
      </w:r>
    </w:p>
    <w:p w14:paraId="29F2A8A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三）高级技工学校实行学制教育与职业培训并举、学校教育与企业培养相结合的办学模式。高级技工学校培养适应现代化生产、服务需要的中、高级技工，同时面向社会开展各类职业技能培训和师资培训，并承担职业技能鉴定和就业服务等任务。</w:t>
      </w:r>
    </w:p>
    <w:p w14:paraId="5D3D8A2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（四）高级技工学校学生实行学业证书和职业资格证书“双证书”制度。</w:t>
      </w:r>
    </w:p>
    <w:p w14:paraId="1CE8DDF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（五）举办高级技工学校，应符合当地产业发展规划和高技能人才队伍建设规划。申请设立高级技工学校应经过技工学校办学水平评估，并举办过两期以上高级技工培训班。</w:t>
      </w:r>
    </w:p>
    <w:p w14:paraId="2C974B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（六）高级技工学校应配备政治素养高、管理能力强、熟悉技能人才培养规律的领导班子。校长、教学副校长应具有本科以上学历，以及高级专业技术职务或高级技师职业资格，且校长应具有</w:t>
      </w:r>
      <w:r w:rsidRPr="00373132">
        <w:rPr>
          <w:rFonts w:ascii="Times New Roman" w:hAnsi="Times New Roman" w:cs="仿宋_GB2312"/>
          <w:sz w:val="32"/>
          <w:szCs w:val="32"/>
        </w:rPr>
        <w:t>5</w:t>
      </w:r>
      <w:r w:rsidRPr="00373132">
        <w:rPr>
          <w:rFonts w:ascii="Times New Roman" w:hAnsi="Times New Roman" w:cs="仿宋_GB2312"/>
          <w:sz w:val="32"/>
          <w:szCs w:val="32"/>
        </w:rPr>
        <w:t>年以上职业教育、职业培训或企业工作</w:t>
      </w:r>
      <w:r w:rsidRPr="00373132">
        <w:rPr>
          <w:rFonts w:ascii="Times New Roman" w:hAnsi="Times New Roman" w:cs="仿宋_GB2312"/>
          <w:sz w:val="32"/>
          <w:szCs w:val="32"/>
        </w:rPr>
        <w:lastRenderedPageBreak/>
        <w:t>经历。</w:t>
      </w:r>
    </w:p>
    <w:p w14:paraId="43291B8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（七）高级技工学校培养规模应达到</w:t>
      </w:r>
      <w:r w:rsidRPr="00373132">
        <w:rPr>
          <w:rFonts w:ascii="Times New Roman" w:hAnsi="Times New Roman" w:cs="仿宋_GB2312"/>
          <w:sz w:val="32"/>
          <w:szCs w:val="32"/>
        </w:rPr>
        <w:t>4000</w:t>
      </w:r>
      <w:r w:rsidRPr="00373132">
        <w:rPr>
          <w:rFonts w:ascii="Times New Roman" w:hAnsi="Times New Roman" w:cs="仿宋_GB2312"/>
          <w:sz w:val="32"/>
          <w:szCs w:val="32"/>
        </w:rPr>
        <w:t>人以上。其中，学制教育在校生规模不低于</w:t>
      </w:r>
      <w:r w:rsidRPr="00373132">
        <w:rPr>
          <w:rFonts w:ascii="Times New Roman" w:hAnsi="Times New Roman" w:cs="仿宋_GB2312"/>
          <w:sz w:val="32"/>
          <w:szCs w:val="32"/>
        </w:rPr>
        <w:t>2000</w:t>
      </w:r>
      <w:r w:rsidRPr="00373132">
        <w:rPr>
          <w:rFonts w:ascii="Times New Roman" w:hAnsi="Times New Roman" w:cs="仿宋_GB2312"/>
          <w:sz w:val="32"/>
          <w:szCs w:val="32"/>
        </w:rPr>
        <w:t>人，年职业培训规模</w:t>
      </w:r>
      <w:r w:rsidRPr="00373132">
        <w:rPr>
          <w:rFonts w:ascii="Times New Roman" w:hAnsi="Times New Roman" w:cs="仿宋_GB2312"/>
          <w:sz w:val="32"/>
          <w:szCs w:val="32"/>
        </w:rPr>
        <w:t>2000</w:t>
      </w:r>
      <w:r w:rsidRPr="00373132">
        <w:rPr>
          <w:rFonts w:ascii="Times New Roman" w:hAnsi="Times New Roman" w:cs="仿宋_GB2312"/>
          <w:sz w:val="32"/>
          <w:szCs w:val="32"/>
        </w:rPr>
        <w:t>人次以上。设立高级技工学校</w:t>
      </w:r>
      <w:r w:rsidRPr="00373132">
        <w:rPr>
          <w:rFonts w:ascii="Times New Roman" w:hAnsi="Times New Roman" w:cs="仿宋_GB2312"/>
          <w:sz w:val="32"/>
          <w:szCs w:val="32"/>
        </w:rPr>
        <w:t>3</w:t>
      </w:r>
      <w:r w:rsidRPr="00373132">
        <w:rPr>
          <w:rFonts w:ascii="Times New Roman" w:hAnsi="Times New Roman" w:cs="仿宋_GB2312"/>
          <w:sz w:val="32"/>
          <w:szCs w:val="32"/>
        </w:rPr>
        <w:t>年内高级技工学制教育在校生规模应不低于</w:t>
      </w:r>
      <w:r w:rsidRPr="00373132">
        <w:rPr>
          <w:rFonts w:ascii="Times New Roman" w:hAnsi="Times New Roman" w:cs="仿宋_GB2312"/>
          <w:sz w:val="32"/>
          <w:szCs w:val="32"/>
        </w:rPr>
        <w:t>50</w:t>
      </w:r>
      <w:r w:rsidRPr="00373132">
        <w:rPr>
          <w:rFonts w:ascii="Times New Roman" w:hAnsi="Times New Roman" w:cs="仿宋_GB2312"/>
          <w:sz w:val="32"/>
          <w:szCs w:val="32"/>
        </w:rPr>
        <w:t>％，高级技工以上年培训规模应不低于</w:t>
      </w:r>
      <w:r w:rsidRPr="00373132">
        <w:rPr>
          <w:rFonts w:ascii="Times New Roman" w:hAnsi="Times New Roman" w:cs="仿宋_GB2312"/>
          <w:sz w:val="32"/>
          <w:szCs w:val="32"/>
        </w:rPr>
        <w:t>800</w:t>
      </w:r>
      <w:r w:rsidRPr="00373132">
        <w:rPr>
          <w:rFonts w:ascii="Times New Roman" w:hAnsi="Times New Roman" w:cs="仿宋_GB2312"/>
          <w:sz w:val="32"/>
          <w:szCs w:val="32"/>
        </w:rPr>
        <w:t>人次。</w:t>
      </w:r>
    </w:p>
    <w:p w14:paraId="1B1115C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（八）高级技工学校专业设置应与区域经济发展紧密结合，适应新型工业化发展和产业优化升级的需要，适应社会和企业对高级技工的需求。常设高级技工专业不少于</w:t>
      </w:r>
      <w:r w:rsidRPr="00373132">
        <w:rPr>
          <w:rFonts w:ascii="Times New Roman" w:hAnsi="Times New Roman" w:cs="仿宋_GB2312"/>
          <w:sz w:val="32"/>
          <w:szCs w:val="32"/>
        </w:rPr>
        <w:t>4</w:t>
      </w:r>
      <w:r w:rsidRPr="00373132">
        <w:rPr>
          <w:rFonts w:ascii="Times New Roman" w:hAnsi="Times New Roman" w:cs="仿宋_GB2312"/>
          <w:sz w:val="32"/>
          <w:szCs w:val="32"/>
        </w:rPr>
        <w:t>个。</w:t>
      </w:r>
    </w:p>
    <w:p w14:paraId="797C6A8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（九）高级技工学校校园占地面积不少于</w:t>
      </w:r>
      <w:r w:rsidRPr="00373132">
        <w:rPr>
          <w:rFonts w:ascii="Times New Roman" w:hAnsi="Times New Roman" w:cs="仿宋_GB2312"/>
          <w:sz w:val="32"/>
          <w:szCs w:val="32"/>
        </w:rPr>
        <w:t>6.6</w:t>
      </w:r>
      <w:r w:rsidRPr="00373132">
        <w:rPr>
          <w:rFonts w:ascii="Times New Roman" w:hAnsi="Times New Roman" w:cs="仿宋_GB2312"/>
          <w:sz w:val="32"/>
          <w:szCs w:val="32"/>
        </w:rPr>
        <w:t>万平方米（约</w:t>
      </w:r>
      <w:r w:rsidRPr="00373132">
        <w:rPr>
          <w:rFonts w:ascii="Times New Roman" w:hAnsi="Times New Roman" w:cs="仿宋_GB2312"/>
          <w:sz w:val="32"/>
          <w:szCs w:val="32"/>
        </w:rPr>
        <w:t>100</w:t>
      </w:r>
      <w:r w:rsidRPr="00373132">
        <w:rPr>
          <w:rFonts w:ascii="Times New Roman" w:hAnsi="Times New Roman" w:cs="仿宋_GB2312"/>
          <w:sz w:val="32"/>
          <w:szCs w:val="32"/>
        </w:rPr>
        <w:t>亩），校舍建筑面积不少于</w:t>
      </w:r>
      <w:r w:rsidRPr="00373132">
        <w:rPr>
          <w:rFonts w:ascii="Times New Roman" w:hAnsi="Times New Roman" w:cs="仿宋_GB2312"/>
          <w:sz w:val="32"/>
          <w:szCs w:val="32"/>
        </w:rPr>
        <w:t>5</w:t>
      </w:r>
      <w:r w:rsidRPr="00373132">
        <w:rPr>
          <w:rFonts w:ascii="Times New Roman" w:hAnsi="Times New Roman" w:cs="仿宋_GB2312"/>
          <w:sz w:val="32"/>
          <w:szCs w:val="32"/>
        </w:rPr>
        <w:t>万平方米。其中，实习、实验场所建筑面积不少于</w:t>
      </w:r>
      <w:r w:rsidRPr="00373132">
        <w:rPr>
          <w:rFonts w:ascii="Times New Roman" w:hAnsi="Times New Roman" w:cs="仿宋_GB2312"/>
          <w:sz w:val="32"/>
          <w:szCs w:val="32"/>
        </w:rPr>
        <w:t>1.5</w:t>
      </w:r>
      <w:r w:rsidRPr="00373132">
        <w:rPr>
          <w:rFonts w:ascii="Times New Roman" w:hAnsi="Times New Roman" w:cs="仿宋_GB2312"/>
          <w:sz w:val="32"/>
          <w:szCs w:val="32"/>
        </w:rPr>
        <w:t>万平方米。企业办校的占地面积、建筑面积可包括企业用于职工培训的相关场所面积。</w:t>
      </w:r>
    </w:p>
    <w:p w14:paraId="35106A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（十）高级技工学校应配备与办学规模、办学层次、专业设置相适应的实习、实验设备设施。其中，主要设备应达到国内先进水平，并保证每生有实习工位。实习、实验设备总值不少于</w:t>
      </w:r>
      <w:r w:rsidRPr="00373132">
        <w:rPr>
          <w:rFonts w:ascii="Times New Roman" w:hAnsi="Times New Roman" w:cs="仿宋_GB2312"/>
          <w:sz w:val="32"/>
          <w:szCs w:val="32"/>
        </w:rPr>
        <w:t>1500</w:t>
      </w:r>
      <w:r w:rsidRPr="00373132">
        <w:rPr>
          <w:rFonts w:ascii="Times New Roman" w:hAnsi="Times New Roman" w:cs="仿宋_GB2312"/>
          <w:sz w:val="32"/>
          <w:szCs w:val="32"/>
        </w:rPr>
        <w:t>万元。</w:t>
      </w:r>
    </w:p>
    <w:p w14:paraId="51C3615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（十一）高级技工学校应具备完善的学生生活设施；具备满足体育教学和学生锻炼身体需要的体育设备设施，运动场地面积不少于</w:t>
      </w:r>
      <w:r w:rsidRPr="00373132">
        <w:rPr>
          <w:rFonts w:ascii="Times New Roman" w:hAnsi="Times New Roman" w:cs="仿宋_GB2312"/>
          <w:sz w:val="32"/>
          <w:szCs w:val="32"/>
        </w:rPr>
        <w:t>6000</w:t>
      </w:r>
      <w:r w:rsidRPr="00373132">
        <w:rPr>
          <w:rFonts w:ascii="Times New Roman" w:hAnsi="Times New Roman" w:cs="仿宋_GB2312"/>
          <w:sz w:val="32"/>
          <w:szCs w:val="32"/>
        </w:rPr>
        <w:t>平方米；具备满足师生需求的图书馆、阅览室；具备满足多媒体、网络教学和信息化管理需要的软硬件设备设施，并建有校园网站。</w:t>
      </w:r>
    </w:p>
    <w:p w14:paraId="4F7AA7D7"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（十二）高级技工学校应拥有一支与办学规模、专业设</w:t>
      </w:r>
      <w:r w:rsidRPr="00373132">
        <w:rPr>
          <w:rFonts w:ascii="Times New Roman" w:hAnsi="Times New Roman" w:cs="仿宋_GB2312" w:hint="eastAsia"/>
          <w:sz w:val="32"/>
          <w:szCs w:val="32"/>
        </w:rPr>
        <w:lastRenderedPageBreak/>
        <w:t>置和培养层次相适应的专兼职教师队伍。学制教育师生比不低于</w:t>
      </w:r>
      <w:r w:rsidRPr="00373132">
        <w:rPr>
          <w:rFonts w:ascii="Times New Roman" w:hAnsi="Times New Roman" w:cs="仿宋_GB2312"/>
          <w:sz w:val="32"/>
          <w:szCs w:val="32"/>
        </w:rPr>
        <w:t>1:20</w:t>
      </w:r>
      <w:r w:rsidRPr="00373132">
        <w:rPr>
          <w:rFonts w:ascii="Times New Roman" w:hAnsi="Times New Roman" w:cs="仿宋_GB2312"/>
          <w:sz w:val="32"/>
          <w:szCs w:val="32"/>
        </w:rPr>
        <w:t>。兼职教师人数不得超过教师总数的三分之一。具有企业实践经验的教师应占教师队伍总数的</w:t>
      </w:r>
      <w:r w:rsidRPr="00373132">
        <w:rPr>
          <w:rFonts w:ascii="Times New Roman" w:hAnsi="Times New Roman" w:cs="仿宋_GB2312"/>
          <w:sz w:val="32"/>
          <w:szCs w:val="32"/>
        </w:rPr>
        <w:t>20%</w:t>
      </w:r>
      <w:r w:rsidRPr="00373132">
        <w:rPr>
          <w:rFonts w:ascii="Times New Roman" w:hAnsi="Times New Roman" w:cs="仿宋_GB2312"/>
          <w:sz w:val="32"/>
          <w:szCs w:val="32"/>
        </w:rPr>
        <w:t>以上。技术理论课教师和实习指导教师应不低于教师队伍总数的</w:t>
      </w:r>
      <w:r w:rsidRPr="00373132">
        <w:rPr>
          <w:rFonts w:ascii="Times New Roman" w:hAnsi="Times New Roman" w:cs="仿宋_GB2312"/>
          <w:sz w:val="32"/>
          <w:szCs w:val="32"/>
        </w:rPr>
        <w:t>70%</w:t>
      </w:r>
      <w:r w:rsidRPr="00373132">
        <w:rPr>
          <w:rFonts w:ascii="Times New Roman" w:hAnsi="Times New Roman" w:cs="仿宋_GB2312"/>
          <w:sz w:val="32"/>
          <w:szCs w:val="32"/>
        </w:rPr>
        <w:t>，理论实习教学一体化教师达到技术理论课教师和实习指导教师总数的</w:t>
      </w:r>
      <w:r w:rsidRPr="00373132">
        <w:rPr>
          <w:rFonts w:ascii="Times New Roman" w:hAnsi="Times New Roman" w:cs="仿宋_GB2312"/>
          <w:sz w:val="32"/>
          <w:szCs w:val="32"/>
        </w:rPr>
        <w:t>50</w:t>
      </w:r>
      <w:r w:rsidRPr="00373132">
        <w:rPr>
          <w:rFonts w:ascii="Times New Roman" w:hAnsi="Times New Roman" w:cs="仿宋_GB2312"/>
          <w:sz w:val="32"/>
          <w:szCs w:val="32"/>
        </w:rPr>
        <w:t>％以上。</w:t>
      </w:r>
    </w:p>
    <w:p w14:paraId="2F85BD65"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（十三）高级技工学校教师应符合国家规定学历要求，专任教师应具备相应的教师资格。技术理论课教师至少具备相关专业初级技能职业资格。其中，具备中级技能以上职业资格的达</w:t>
      </w:r>
      <w:r w:rsidRPr="00373132">
        <w:rPr>
          <w:rFonts w:ascii="Times New Roman" w:hAnsi="Times New Roman" w:cs="仿宋_GB2312"/>
          <w:sz w:val="32"/>
          <w:szCs w:val="32"/>
        </w:rPr>
        <w:t>40%</w:t>
      </w:r>
      <w:r w:rsidRPr="00373132">
        <w:rPr>
          <w:rFonts w:ascii="Times New Roman" w:hAnsi="Times New Roman" w:cs="仿宋_GB2312"/>
          <w:sz w:val="32"/>
          <w:szCs w:val="32"/>
        </w:rPr>
        <w:t>以上。实习指导教师应具备相关职业高级技能以上职业资格。其中，具备高级实习指导教师职务或技师、高级技师职业资格的占</w:t>
      </w:r>
      <w:r w:rsidRPr="00373132">
        <w:rPr>
          <w:rFonts w:ascii="Times New Roman" w:hAnsi="Times New Roman" w:cs="仿宋_GB2312"/>
          <w:sz w:val="32"/>
          <w:szCs w:val="32"/>
        </w:rPr>
        <w:t>45%</w:t>
      </w:r>
      <w:r w:rsidRPr="00373132">
        <w:rPr>
          <w:rFonts w:ascii="Times New Roman" w:hAnsi="Times New Roman" w:cs="仿宋_GB2312"/>
          <w:sz w:val="32"/>
          <w:szCs w:val="32"/>
        </w:rPr>
        <w:t>以上。</w:t>
      </w:r>
    </w:p>
    <w:p w14:paraId="38BFA0D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（十四）高级技工学校应具有与培养层次、培养规模相适应的日常运行、基本建设、设备购置、师资培训等稳定可靠的办学经费保障。办学经费（含生均经费等）标准不低于当地同类学校标准。</w:t>
      </w:r>
    </w:p>
    <w:p w14:paraId="2A890C3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（十五）高级技工学校实行校长负责制。学校内设机构设置合理，部门职责和教职工岗位职责清晰，规章制度健全，建立并有效运行质量管理体系。</w:t>
      </w:r>
    </w:p>
    <w:p w14:paraId="66A6DD8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（十六）高级技工学校应具有健全和完善的安全管理体系，落实安全责任制度，保证学生日常生活、学习和实习安全。高级技工学校应有应对各种突发事件的预案。</w:t>
      </w:r>
    </w:p>
    <w:p w14:paraId="2A8DF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（十七）高级技工学校应重视德育工作和校园文化建设，</w:t>
      </w:r>
      <w:r w:rsidRPr="00373132">
        <w:rPr>
          <w:rFonts w:ascii="Times New Roman" w:hAnsi="Times New Roman" w:cs="仿宋_GB2312" w:hint="eastAsia"/>
          <w:sz w:val="32"/>
          <w:szCs w:val="32"/>
        </w:rPr>
        <w:lastRenderedPageBreak/>
        <w:t>将社会主义核心价值体系融入全过程，积极开展职业道德、公民行为规范和法制等方面的教育。建立学校、家庭、企业、社会紧密结合的德育工作网络。高级技工学校应对学生开展职业指导和心理健康教育。</w:t>
      </w:r>
    </w:p>
    <w:p w14:paraId="23CF2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（十八）高级技工学校应设立专业教学研究机构，加强技能人才培养规律和方法的研究。学校各常设专业至少有一名专业带头人，专业带头人应在当地专业领域具有一定的影响力。</w:t>
      </w:r>
    </w:p>
    <w:p w14:paraId="5D9D9CCE"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（十九）高级技工学校应建立完善的校企合作办学制度，积极探索多种模式的校企合作方式，由有关部门、行业、企业和学校组成的校企合作指导委员会在校企合作中发挥积极作用。</w:t>
      </w:r>
    </w:p>
    <w:p w14:paraId="029568CD"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（二十）高级技工学校应结合专业设置选择生产设备先进、技术处于同行业领先水平的企业合作，共建校内外生产实习基地。每一个高级技工专业应有</w:t>
      </w:r>
      <w:r w:rsidRPr="00373132">
        <w:rPr>
          <w:rFonts w:ascii="Times New Roman" w:hAnsi="Times New Roman" w:cs="仿宋_GB2312"/>
          <w:sz w:val="32"/>
          <w:szCs w:val="32"/>
        </w:rPr>
        <w:t>3</w:t>
      </w:r>
      <w:r w:rsidRPr="00373132">
        <w:rPr>
          <w:rFonts w:ascii="Times New Roman" w:hAnsi="Times New Roman" w:cs="仿宋_GB2312"/>
          <w:sz w:val="32"/>
          <w:szCs w:val="32"/>
        </w:rPr>
        <w:t>个以上合作企业。</w:t>
      </w:r>
    </w:p>
    <w:p w14:paraId="65BBAD22" w14:textId="77777777" w:rsid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一）本标准作为高级技工学校初设审批标准，对于边远贫困地区和特殊行业举办高级技工学校，培养规模和相应的办学条件要求可适当放宽。具体办法由省级人力资源和社会保障部门制定，报人力资源和社会保障部备案。</w:t>
      </w:r>
    </w:p>
    <w:p w14:paraId="57CE77E5" w14:textId="57A811B2" w:rsidR="004648F4" w:rsidRDefault="004648F4" w:rsidP="00373132">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07F6890F"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1ACE4D2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7D5630">
        <w:rPr>
          <w:rFonts w:ascii="Times New Roman" w:hAnsi="Times New Roman" w:cs="仿宋_GB2312" w:hint="eastAsia"/>
          <w:sz w:val="32"/>
          <w:szCs w:val="32"/>
        </w:rPr>
        <w:t>合并</w:t>
      </w:r>
      <w:r>
        <w:rPr>
          <w:rFonts w:ascii="Times New Roman" w:hAnsi="Times New Roman" w:cs="仿宋_GB2312" w:hint="eastAsia"/>
          <w:sz w:val="32"/>
          <w:szCs w:val="32"/>
        </w:rPr>
        <w:t>审批表</w:t>
      </w:r>
      <w:r w:rsidR="00851E12">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97D4710"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58BAB426"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12DECF71" w14:textId="77777777" w:rsidR="007D5630" w:rsidRPr="007D5630" w:rsidRDefault="007D5630" w:rsidP="007D5630">
      <w:pPr>
        <w:spacing w:line="600" w:lineRule="exact"/>
        <w:ind w:firstLineChars="200" w:firstLine="640"/>
        <w:rPr>
          <w:rFonts w:ascii="Times New Roman" w:hAnsi="Times New Roman" w:cs="仿宋_GB2312"/>
          <w:sz w:val="32"/>
          <w:szCs w:val="32"/>
        </w:rPr>
      </w:pPr>
      <w:r w:rsidRPr="007D5630">
        <w:rPr>
          <w:rFonts w:ascii="Times New Roman" w:hAnsi="Times New Roman" w:cs="仿宋_GB2312"/>
          <w:sz w:val="32"/>
          <w:szCs w:val="32"/>
        </w:rPr>
        <w:t>11.</w:t>
      </w:r>
      <w:r w:rsidRPr="007D5630">
        <w:rPr>
          <w:rFonts w:ascii="Times New Roman" w:hAnsi="Times New Roman" w:cs="仿宋_GB2312"/>
          <w:sz w:val="32"/>
          <w:szCs w:val="32"/>
        </w:rPr>
        <w:t>学校合并书面申请。</w:t>
      </w:r>
    </w:p>
    <w:p w14:paraId="08C8D3CF" w14:textId="77777777" w:rsidR="007D5630" w:rsidRPr="007D5630" w:rsidRDefault="007D5630" w:rsidP="007D5630">
      <w:pPr>
        <w:spacing w:line="600" w:lineRule="exact"/>
        <w:ind w:firstLineChars="200" w:firstLine="640"/>
        <w:rPr>
          <w:rFonts w:ascii="Times New Roman" w:hAnsi="Times New Roman" w:cs="仿宋_GB2312"/>
          <w:sz w:val="32"/>
          <w:szCs w:val="32"/>
        </w:rPr>
      </w:pPr>
      <w:r w:rsidRPr="007D5630">
        <w:rPr>
          <w:rFonts w:ascii="Times New Roman" w:hAnsi="Times New Roman" w:cs="仿宋_GB2312"/>
          <w:sz w:val="32"/>
          <w:szCs w:val="32"/>
        </w:rPr>
        <w:t>12.</w:t>
      </w:r>
      <w:r w:rsidRPr="007D5630">
        <w:rPr>
          <w:rFonts w:ascii="Times New Roman" w:hAnsi="Times New Roman" w:cs="仿宋_GB2312"/>
          <w:sz w:val="32"/>
          <w:szCs w:val="32"/>
        </w:rPr>
        <w:t>合并后学校的预先核名通知书。</w:t>
      </w:r>
    </w:p>
    <w:p w14:paraId="6F54AA92" w14:textId="77777777" w:rsidR="007D5630" w:rsidRDefault="007D5630" w:rsidP="007D5630">
      <w:pPr>
        <w:spacing w:line="600" w:lineRule="exact"/>
        <w:ind w:firstLineChars="200" w:firstLine="640"/>
        <w:rPr>
          <w:rFonts w:ascii="Times New Roman" w:hAnsi="Times New Roman" w:cs="仿宋_GB2312"/>
          <w:sz w:val="32"/>
          <w:szCs w:val="32"/>
        </w:rPr>
      </w:pPr>
      <w:r w:rsidRPr="007D5630">
        <w:rPr>
          <w:rFonts w:ascii="Times New Roman" w:hAnsi="Times New Roman" w:cs="仿宋_GB2312"/>
          <w:sz w:val="32"/>
          <w:szCs w:val="32"/>
        </w:rPr>
        <w:t>13.</w:t>
      </w:r>
      <w:r w:rsidRPr="007D5630">
        <w:rPr>
          <w:rFonts w:ascii="Times New Roman" w:hAnsi="Times New Roman" w:cs="仿宋_GB2312"/>
          <w:sz w:val="32"/>
          <w:szCs w:val="32"/>
        </w:rPr>
        <w:t>合并前各学校董事会或理事会关于学校合并的决议。</w:t>
      </w:r>
    </w:p>
    <w:p w14:paraId="6B9A66FD" w14:textId="0B8E5B63" w:rsidR="00AE1A08" w:rsidRPr="008E66F4" w:rsidRDefault="00AE1A08" w:rsidP="007D5630">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D6DEF33" w14:textId="52A035B3" w:rsidR="00AE1A08" w:rsidRDefault="00AE1A08" w:rsidP="00AE1A08">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AF305C">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AF305C">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1D7E3199"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418BA8" w14:textId="77777777"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697740A"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B4B6C77" w14:textId="2B17C9A2"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A40B48">
        <w:rPr>
          <w:rFonts w:ascii="Times New Roman" w:hAnsi="Times New Roman" w:cs="仿宋_GB2312" w:hint="eastAsia"/>
          <w:sz w:val="32"/>
          <w:szCs w:val="32"/>
        </w:rPr>
        <w:t>沈阳市沈河区青年北大街</w:t>
      </w:r>
      <w:r w:rsidR="00A40B48">
        <w:rPr>
          <w:rFonts w:ascii="Times New Roman" w:hAnsi="Times New Roman" w:cs="仿宋_GB2312" w:hint="eastAsia"/>
          <w:sz w:val="32"/>
          <w:szCs w:val="32"/>
        </w:rPr>
        <w:t>1</w:t>
      </w:r>
      <w:r w:rsidR="00A40B48">
        <w:rPr>
          <w:rFonts w:ascii="Times New Roman" w:hAnsi="Times New Roman" w:cs="仿宋_GB2312"/>
          <w:sz w:val="32"/>
          <w:szCs w:val="32"/>
        </w:rPr>
        <w:t>6</w:t>
      </w:r>
      <w:r w:rsidR="00A40B48">
        <w:rPr>
          <w:rFonts w:ascii="Times New Roman" w:hAnsi="Times New Roman" w:cs="仿宋_GB2312" w:hint="eastAsia"/>
          <w:sz w:val="32"/>
          <w:szCs w:val="32"/>
        </w:rPr>
        <w:t>号事业单位培训教育处窗口</w:t>
      </w:r>
      <w:r w:rsidR="00A40B48">
        <w:rPr>
          <w:rFonts w:ascii="Times New Roman" w:hAnsi="Times New Roman" w:cs="仿宋_GB2312" w:hint="eastAsia"/>
          <w:sz w:val="32"/>
          <w:szCs w:val="32"/>
        </w:rPr>
        <w:t>1</w:t>
      </w:r>
      <w:r w:rsidR="00A40B48">
        <w:rPr>
          <w:rFonts w:ascii="Times New Roman" w:hAnsi="Times New Roman" w:cs="仿宋_GB2312"/>
          <w:sz w:val="32"/>
          <w:szCs w:val="32"/>
        </w:rPr>
        <w:t>101</w:t>
      </w:r>
      <w:r w:rsidR="00A40B48">
        <w:rPr>
          <w:rFonts w:ascii="Times New Roman" w:hAnsi="Times New Roman" w:cs="仿宋_GB2312" w:hint="eastAsia"/>
          <w:sz w:val="32"/>
          <w:szCs w:val="32"/>
        </w:rPr>
        <w:t>室</w:t>
      </w:r>
      <w:r>
        <w:rPr>
          <w:rFonts w:ascii="Times New Roman" w:hAnsi="Times New Roman" w:cs="仿宋_GB2312" w:hint="eastAsia"/>
          <w:sz w:val="32"/>
          <w:szCs w:val="32"/>
        </w:rPr>
        <w:t>；</w:t>
      </w:r>
    </w:p>
    <w:p w14:paraId="794BA7FB" w14:textId="2AE8D995" w:rsidR="00446F88" w:rsidRPr="004648F4"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AF305C" w:rsidRPr="00AF305C">
        <w:rPr>
          <w:rFonts w:ascii="Times New Roman" w:hAnsi="Times New Roman" w:cs="仿宋_GB2312"/>
          <w:sz w:val="32"/>
          <w:szCs w:val="32"/>
        </w:rPr>
        <w:t>024-2</w:t>
      </w:r>
      <w:r w:rsidR="00A40B48">
        <w:rPr>
          <w:rFonts w:ascii="Times New Roman" w:hAnsi="Times New Roman" w:cs="仿宋_GB2312"/>
          <w:sz w:val="32"/>
          <w:szCs w:val="32"/>
        </w:rPr>
        <w:t>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CEBD" w14:textId="77777777" w:rsidR="008215F0" w:rsidRDefault="008215F0" w:rsidP="00D91C49">
      <w:r>
        <w:separator/>
      </w:r>
    </w:p>
  </w:endnote>
  <w:endnote w:type="continuationSeparator" w:id="0">
    <w:p w14:paraId="5F60B4E2" w14:textId="77777777" w:rsidR="008215F0" w:rsidRDefault="008215F0"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6DC1" w14:textId="77777777" w:rsidR="008215F0" w:rsidRDefault="008215F0" w:rsidP="00D91C49">
      <w:r>
        <w:separator/>
      </w:r>
    </w:p>
  </w:footnote>
  <w:footnote w:type="continuationSeparator" w:id="0">
    <w:p w14:paraId="3AE3A45C" w14:textId="77777777" w:rsidR="008215F0" w:rsidRDefault="008215F0"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F3642"/>
    <w:rsid w:val="00124791"/>
    <w:rsid w:val="00185F43"/>
    <w:rsid w:val="00282F01"/>
    <w:rsid w:val="002F4F85"/>
    <w:rsid w:val="002F6601"/>
    <w:rsid w:val="00373132"/>
    <w:rsid w:val="00397FCE"/>
    <w:rsid w:val="00446F88"/>
    <w:rsid w:val="004648F4"/>
    <w:rsid w:val="004B0647"/>
    <w:rsid w:val="004B1DE3"/>
    <w:rsid w:val="0057321D"/>
    <w:rsid w:val="00606518"/>
    <w:rsid w:val="00627B6C"/>
    <w:rsid w:val="00674DE1"/>
    <w:rsid w:val="006A7FF5"/>
    <w:rsid w:val="007B6473"/>
    <w:rsid w:val="007D5630"/>
    <w:rsid w:val="008215F0"/>
    <w:rsid w:val="00851E12"/>
    <w:rsid w:val="008E305B"/>
    <w:rsid w:val="008E66F4"/>
    <w:rsid w:val="008F0D77"/>
    <w:rsid w:val="009A0EF7"/>
    <w:rsid w:val="00A40B48"/>
    <w:rsid w:val="00A45374"/>
    <w:rsid w:val="00AD4D20"/>
    <w:rsid w:val="00AE1A08"/>
    <w:rsid w:val="00AF305C"/>
    <w:rsid w:val="00B33E50"/>
    <w:rsid w:val="00B5071D"/>
    <w:rsid w:val="00B53F24"/>
    <w:rsid w:val="00CA5CD5"/>
    <w:rsid w:val="00D850CC"/>
    <w:rsid w:val="00D91C49"/>
    <w:rsid w:val="00E05438"/>
    <w:rsid w:val="00E8306E"/>
    <w:rsid w:val="00ED0B8B"/>
    <w:rsid w:val="00F1664A"/>
    <w:rsid w:val="00F63AFA"/>
    <w:rsid w:val="00F86DEB"/>
    <w:rsid w:val="00FD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20</cp:revision>
  <dcterms:created xsi:type="dcterms:W3CDTF">2022-03-11T02:50:00Z</dcterms:created>
  <dcterms:modified xsi:type="dcterms:W3CDTF">2022-05-25T09:37:00Z</dcterms:modified>
</cp:coreProperties>
</file>