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ABB" w:rsidRDefault="001C3ABB" w:rsidP="00BA1EA4">
      <w:pPr>
        <w:ind w:firstLineChars="0" w:firstLine="0"/>
        <w:jc w:val="center"/>
        <w:rPr>
          <w:rFonts w:asciiTheme="minorEastAsia" w:eastAsiaTheme="minorEastAsia" w:hAnsiTheme="minorEastAsia"/>
          <w:spacing w:val="-20"/>
          <w:sz w:val="44"/>
          <w:szCs w:val="44"/>
        </w:rPr>
      </w:pPr>
    </w:p>
    <w:p w:rsidR="007B27B7" w:rsidRDefault="007B27B7" w:rsidP="00BA1EA4">
      <w:pPr>
        <w:ind w:firstLineChars="0" w:firstLine="0"/>
        <w:jc w:val="center"/>
        <w:rPr>
          <w:rFonts w:asciiTheme="minorEastAsia" w:eastAsiaTheme="minorEastAsia" w:hAnsiTheme="minorEastAsia"/>
          <w:spacing w:val="-20"/>
          <w:sz w:val="44"/>
          <w:szCs w:val="44"/>
        </w:rPr>
      </w:pPr>
    </w:p>
    <w:p w:rsidR="002C7324" w:rsidRDefault="002C7324" w:rsidP="00BA1EA4">
      <w:pPr>
        <w:ind w:firstLineChars="0" w:firstLine="0"/>
        <w:jc w:val="center"/>
        <w:rPr>
          <w:rFonts w:asciiTheme="minorEastAsia" w:eastAsiaTheme="minorEastAsia" w:hAnsiTheme="minorEastAsia"/>
          <w:spacing w:val="-20"/>
          <w:sz w:val="44"/>
          <w:szCs w:val="44"/>
        </w:rPr>
      </w:pPr>
      <w:r w:rsidRPr="001E434D">
        <w:rPr>
          <w:rFonts w:asciiTheme="minorEastAsia" w:eastAsiaTheme="minorEastAsia" w:hAnsiTheme="minorEastAsia" w:hint="eastAsia"/>
          <w:spacing w:val="-20"/>
          <w:sz w:val="44"/>
          <w:szCs w:val="44"/>
        </w:rPr>
        <w:t>社会组织养老保险</w:t>
      </w:r>
      <w:r w:rsidR="00E665D4">
        <w:rPr>
          <w:rFonts w:asciiTheme="minorEastAsia" w:eastAsiaTheme="minorEastAsia" w:hAnsiTheme="minorEastAsia" w:hint="eastAsia"/>
          <w:spacing w:val="-20"/>
          <w:sz w:val="44"/>
          <w:szCs w:val="44"/>
        </w:rPr>
        <w:t>衔接和</w:t>
      </w:r>
      <w:r w:rsidRPr="001E434D">
        <w:rPr>
          <w:rFonts w:asciiTheme="minorEastAsia" w:eastAsiaTheme="minorEastAsia" w:hAnsiTheme="minorEastAsia" w:hint="eastAsia"/>
          <w:spacing w:val="-20"/>
          <w:sz w:val="44"/>
          <w:szCs w:val="44"/>
        </w:rPr>
        <w:t>操作办法</w:t>
      </w:r>
    </w:p>
    <w:p w:rsidR="00BA1EA4" w:rsidRDefault="0028076F" w:rsidP="00BA1EA4">
      <w:pPr>
        <w:ind w:firstLineChars="0" w:firstLine="0"/>
        <w:jc w:val="center"/>
        <w:rPr>
          <w:rFonts w:ascii="楷体_GB2312" w:eastAsia="楷体_GB2312" w:hAnsiTheme="minorEastAsia"/>
          <w:spacing w:val="-20"/>
          <w:sz w:val="32"/>
          <w:szCs w:val="32"/>
        </w:rPr>
      </w:pPr>
      <w:r w:rsidRPr="0028076F">
        <w:rPr>
          <w:rFonts w:ascii="楷体_GB2312" w:eastAsia="楷体_GB2312" w:hAnsiTheme="minorEastAsia" w:hint="eastAsia"/>
          <w:spacing w:val="-20"/>
          <w:sz w:val="32"/>
          <w:szCs w:val="32"/>
        </w:rPr>
        <w:t>（</w:t>
      </w:r>
      <w:r w:rsidR="001438A6">
        <w:rPr>
          <w:rFonts w:ascii="楷体_GB2312" w:eastAsia="楷体_GB2312" w:hAnsiTheme="minorEastAsia" w:hint="eastAsia"/>
          <w:spacing w:val="-20"/>
          <w:sz w:val="32"/>
          <w:szCs w:val="32"/>
        </w:rPr>
        <w:t>征求意见稿</w:t>
      </w:r>
      <w:r w:rsidRPr="0028076F">
        <w:rPr>
          <w:rFonts w:ascii="楷体_GB2312" w:eastAsia="楷体_GB2312" w:hAnsiTheme="minorEastAsia" w:hint="eastAsia"/>
          <w:spacing w:val="-20"/>
          <w:sz w:val="32"/>
          <w:szCs w:val="32"/>
        </w:rPr>
        <w:t>）</w:t>
      </w:r>
    </w:p>
    <w:p w:rsidR="0028076F" w:rsidRDefault="0028076F" w:rsidP="00BA1EA4">
      <w:pPr>
        <w:ind w:firstLineChars="0" w:firstLine="0"/>
        <w:jc w:val="center"/>
        <w:rPr>
          <w:rFonts w:ascii="楷体_GB2312" w:eastAsia="楷体_GB2312" w:hAnsiTheme="minorEastAsia"/>
          <w:spacing w:val="-20"/>
          <w:sz w:val="32"/>
          <w:szCs w:val="32"/>
        </w:rPr>
      </w:pPr>
    </w:p>
    <w:p w:rsidR="001C3ABB" w:rsidRPr="001C3ABB" w:rsidRDefault="001C3ABB" w:rsidP="001C3ABB">
      <w:pPr>
        <w:ind w:firstLine="640"/>
        <w:rPr>
          <w:rFonts w:ascii="仿宋_GB2312" w:eastAsia="仿宋_GB2312" w:hAnsiTheme="minorEastAsia"/>
          <w:sz w:val="32"/>
          <w:szCs w:val="32"/>
        </w:rPr>
      </w:pPr>
      <w:r w:rsidRPr="001C3ABB">
        <w:rPr>
          <w:rFonts w:ascii="仿宋_GB2312" w:eastAsia="仿宋_GB2312" w:hAnsiTheme="minorEastAsia" w:hint="eastAsia"/>
          <w:sz w:val="32"/>
          <w:szCs w:val="32"/>
        </w:rPr>
        <w:t>为落实《关于社会组织及专职工作人员养老保险有关问题的通知》（辽人社〔2017〕138号）</w:t>
      </w:r>
      <w:r w:rsidR="0093746C" w:rsidRPr="001C3ABB">
        <w:rPr>
          <w:rFonts w:ascii="仿宋_GB2312" w:eastAsia="仿宋_GB2312" w:hAnsiTheme="minorEastAsia" w:hint="eastAsia"/>
          <w:sz w:val="32"/>
          <w:szCs w:val="32"/>
        </w:rPr>
        <w:t>文件</w:t>
      </w:r>
      <w:r w:rsidR="0093746C">
        <w:rPr>
          <w:rFonts w:ascii="仿宋_GB2312" w:eastAsia="仿宋_GB2312" w:hAnsiTheme="minorEastAsia" w:hint="eastAsia"/>
          <w:sz w:val="32"/>
          <w:szCs w:val="32"/>
        </w:rPr>
        <w:t>精神，按照省对各市</w:t>
      </w:r>
      <w:r w:rsidR="00672682">
        <w:rPr>
          <w:rFonts w:ascii="仿宋_GB2312" w:eastAsia="仿宋_GB2312" w:hAnsiTheme="minorEastAsia" w:hint="eastAsia"/>
          <w:sz w:val="32"/>
          <w:szCs w:val="32"/>
        </w:rPr>
        <w:t>相关</w:t>
      </w:r>
      <w:r w:rsidRPr="001C3ABB">
        <w:rPr>
          <w:rFonts w:ascii="仿宋_GB2312" w:eastAsia="仿宋_GB2312" w:hAnsiTheme="minorEastAsia" w:hint="eastAsia"/>
          <w:sz w:val="32"/>
          <w:szCs w:val="32"/>
        </w:rPr>
        <w:t>业务操作程序的指导意见，</w:t>
      </w:r>
      <w:r w:rsidR="0093746C">
        <w:rPr>
          <w:rFonts w:ascii="仿宋_GB2312" w:eastAsia="仿宋_GB2312" w:hAnsiTheme="minorEastAsia" w:hint="eastAsia"/>
          <w:sz w:val="32"/>
          <w:szCs w:val="32"/>
        </w:rPr>
        <w:t>结合《关于事业单位转制为企业后养老保险衔接等问题的暂行意见》（辽人社</w:t>
      </w:r>
      <w:r w:rsidR="0093746C" w:rsidRPr="001C3ABB">
        <w:rPr>
          <w:rFonts w:ascii="仿宋_GB2312" w:eastAsia="仿宋_GB2312" w:hAnsiTheme="minorEastAsia" w:hint="eastAsia"/>
          <w:sz w:val="32"/>
          <w:szCs w:val="32"/>
        </w:rPr>
        <w:t>〔201</w:t>
      </w:r>
      <w:r w:rsidR="0093746C">
        <w:rPr>
          <w:rFonts w:ascii="仿宋_GB2312" w:eastAsia="仿宋_GB2312" w:hAnsiTheme="minorEastAsia" w:hint="eastAsia"/>
          <w:sz w:val="32"/>
          <w:szCs w:val="32"/>
        </w:rPr>
        <w:t>9</w:t>
      </w:r>
      <w:r w:rsidR="0093746C" w:rsidRPr="001C3ABB">
        <w:rPr>
          <w:rFonts w:ascii="仿宋_GB2312" w:eastAsia="仿宋_GB2312" w:hAnsiTheme="minorEastAsia" w:hint="eastAsia"/>
          <w:sz w:val="32"/>
          <w:szCs w:val="32"/>
        </w:rPr>
        <w:t>〕8</w:t>
      </w:r>
      <w:r w:rsidR="0093746C">
        <w:rPr>
          <w:rFonts w:ascii="仿宋_GB2312" w:eastAsia="仿宋_GB2312" w:hAnsiTheme="minorEastAsia" w:hint="eastAsia"/>
          <w:sz w:val="32"/>
          <w:szCs w:val="32"/>
        </w:rPr>
        <w:t>7</w:t>
      </w:r>
      <w:r w:rsidR="0093746C" w:rsidRPr="001C3ABB">
        <w:rPr>
          <w:rFonts w:ascii="仿宋_GB2312" w:eastAsia="仿宋_GB2312" w:hAnsiTheme="minorEastAsia" w:hint="eastAsia"/>
          <w:sz w:val="32"/>
          <w:szCs w:val="32"/>
        </w:rPr>
        <w:t>号</w:t>
      </w:r>
      <w:r w:rsidR="0093746C">
        <w:rPr>
          <w:rFonts w:ascii="仿宋_GB2312" w:eastAsia="仿宋_GB2312" w:hAnsiTheme="minorEastAsia" w:hint="eastAsia"/>
          <w:sz w:val="32"/>
          <w:szCs w:val="32"/>
        </w:rPr>
        <w:t>）</w:t>
      </w:r>
      <w:r w:rsidR="00672682">
        <w:rPr>
          <w:rFonts w:ascii="仿宋_GB2312" w:eastAsia="仿宋_GB2312" w:hAnsiTheme="minorEastAsia" w:hint="eastAsia"/>
          <w:sz w:val="32"/>
          <w:szCs w:val="32"/>
        </w:rPr>
        <w:t>有</w:t>
      </w:r>
      <w:r w:rsidR="0093746C">
        <w:rPr>
          <w:rFonts w:ascii="仿宋_GB2312" w:eastAsia="仿宋_GB2312" w:hAnsiTheme="minorEastAsia" w:hint="eastAsia"/>
          <w:sz w:val="32"/>
          <w:szCs w:val="32"/>
        </w:rPr>
        <w:t>关规定，</w:t>
      </w:r>
      <w:r w:rsidRPr="001C3ABB">
        <w:rPr>
          <w:rFonts w:ascii="仿宋_GB2312" w:eastAsia="仿宋_GB2312" w:hAnsiTheme="minorEastAsia" w:hint="eastAsia"/>
          <w:sz w:val="32"/>
          <w:szCs w:val="32"/>
        </w:rPr>
        <w:t>做好</w:t>
      </w:r>
      <w:r w:rsidR="0093746C">
        <w:rPr>
          <w:rFonts w:ascii="仿宋_GB2312" w:eastAsia="仿宋_GB2312" w:hAnsiTheme="minorEastAsia" w:hint="eastAsia"/>
          <w:sz w:val="32"/>
          <w:szCs w:val="32"/>
        </w:rPr>
        <w:t>我市</w:t>
      </w:r>
      <w:r w:rsidRPr="001C3ABB">
        <w:rPr>
          <w:rFonts w:ascii="仿宋_GB2312" w:eastAsia="仿宋_GB2312" w:hAnsiTheme="minorEastAsia" w:hint="eastAsia"/>
          <w:sz w:val="32"/>
          <w:szCs w:val="32"/>
        </w:rPr>
        <w:t>社会组织及专职工作人员养老保险衔接</w:t>
      </w:r>
      <w:r w:rsidR="0093746C">
        <w:rPr>
          <w:rFonts w:ascii="仿宋_GB2312" w:eastAsia="仿宋_GB2312" w:hAnsiTheme="minorEastAsia" w:hint="eastAsia"/>
          <w:sz w:val="32"/>
          <w:szCs w:val="32"/>
        </w:rPr>
        <w:t>工作</w:t>
      </w:r>
      <w:r w:rsidRPr="001C3ABB">
        <w:rPr>
          <w:rFonts w:ascii="仿宋_GB2312" w:eastAsia="仿宋_GB2312" w:hAnsiTheme="minorEastAsia" w:hint="eastAsia"/>
          <w:sz w:val="32"/>
          <w:szCs w:val="32"/>
        </w:rPr>
        <w:t>，现将有关事项明确如下：</w:t>
      </w:r>
      <w:bookmarkStart w:id="0" w:name="_GoBack"/>
      <w:bookmarkEnd w:id="0"/>
    </w:p>
    <w:p w:rsidR="001C3ABB" w:rsidRPr="001C3ABB" w:rsidRDefault="001C3ABB" w:rsidP="001C3ABB">
      <w:pPr>
        <w:ind w:firstLine="640"/>
        <w:rPr>
          <w:rFonts w:ascii="黑体" w:eastAsia="黑体" w:hAnsi="黑体"/>
          <w:sz w:val="32"/>
          <w:szCs w:val="32"/>
        </w:rPr>
      </w:pPr>
      <w:r w:rsidRPr="001C3ABB">
        <w:rPr>
          <w:rFonts w:ascii="黑体" w:eastAsia="黑体" w:hAnsi="黑体" w:hint="eastAsia"/>
          <w:sz w:val="32"/>
          <w:szCs w:val="32"/>
        </w:rPr>
        <w:t>一</w:t>
      </w:r>
      <w:r w:rsidR="002C7324" w:rsidRPr="001C3ABB">
        <w:rPr>
          <w:rFonts w:ascii="黑体" w:eastAsia="黑体" w:hAnsi="黑体" w:hint="eastAsia"/>
          <w:sz w:val="32"/>
          <w:szCs w:val="32"/>
        </w:rPr>
        <w:t>、实施范围及时间节点</w:t>
      </w:r>
    </w:p>
    <w:p w:rsidR="00E665D4" w:rsidRDefault="00E665D4" w:rsidP="001C3ABB">
      <w:pPr>
        <w:ind w:firstLine="640"/>
        <w:rPr>
          <w:rFonts w:ascii="仿宋_GB2312" w:eastAsia="仿宋_GB2312"/>
          <w:sz w:val="32"/>
          <w:szCs w:val="32"/>
        </w:rPr>
      </w:pPr>
      <w:r>
        <w:rPr>
          <w:rFonts w:ascii="仿宋_GB2312" w:eastAsia="仿宋_GB2312" w:hint="eastAsia"/>
          <w:sz w:val="32"/>
          <w:szCs w:val="32"/>
        </w:rPr>
        <w:t>1.</w:t>
      </w:r>
      <w:r w:rsidR="00317B8D">
        <w:rPr>
          <w:rFonts w:ascii="仿宋_GB2312" w:eastAsia="仿宋_GB2312" w:hint="eastAsia"/>
          <w:sz w:val="32"/>
          <w:szCs w:val="32"/>
        </w:rPr>
        <w:t>实施范围。</w:t>
      </w:r>
      <w:r w:rsidR="002C7324" w:rsidRPr="001C3ABB">
        <w:rPr>
          <w:rFonts w:ascii="仿宋_GB2312" w:eastAsia="仿宋_GB2312" w:hint="eastAsia"/>
          <w:sz w:val="32"/>
          <w:szCs w:val="32"/>
        </w:rPr>
        <w:t>凡依法在各级民政部门登记的社会团体（包括社会团体分支机构和代表机构）、基金会（包括基金会分支机构和代表机构）、民办非企业单位、境外非政府组织驻华代表机构及其签订聘用合同或劳动合同的专职工作人员（不包括兼职人员、劳务派遣人员、返聘的离退休人员和纳入行政事业</w:t>
      </w:r>
      <w:r>
        <w:rPr>
          <w:rFonts w:ascii="仿宋_GB2312" w:eastAsia="仿宋_GB2312" w:hint="eastAsia"/>
          <w:sz w:val="32"/>
          <w:szCs w:val="32"/>
        </w:rPr>
        <w:t>编制的人员），按属地管理原则，应参加当地的企业职工基本养老保险。</w:t>
      </w:r>
    </w:p>
    <w:p w:rsidR="001C3ABB" w:rsidRPr="001F7970" w:rsidRDefault="00E665D4" w:rsidP="001C3ABB">
      <w:pPr>
        <w:ind w:firstLine="640"/>
        <w:rPr>
          <w:rFonts w:ascii="仿宋_GB2312" w:eastAsia="仿宋_GB2312"/>
          <w:sz w:val="32"/>
          <w:szCs w:val="32"/>
        </w:rPr>
      </w:pPr>
      <w:r>
        <w:rPr>
          <w:rFonts w:ascii="仿宋_GB2312" w:eastAsia="仿宋_GB2312" w:hint="eastAsia"/>
          <w:sz w:val="32"/>
          <w:szCs w:val="32"/>
        </w:rPr>
        <w:t>2.</w:t>
      </w:r>
      <w:r w:rsidR="00317B8D">
        <w:rPr>
          <w:rFonts w:ascii="仿宋_GB2312" w:eastAsia="仿宋_GB2312" w:hint="eastAsia"/>
          <w:sz w:val="32"/>
          <w:szCs w:val="32"/>
        </w:rPr>
        <w:t>实施时间。</w:t>
      </w:r>
      <w:r>
        <w:rPr>
          <w:rFonts w:ascii="仿宋_GB2312" w:eastAsia="仿宋_GB2312" w:hint="eastAsia"/>
          <w:sz w:val="32"/>
          <w:szCs w:val="32"/>
        </w:rPr>
        <w:t>实施范围内的社会团体自2014年10月</w:t>
      </w:r>
      <w:r w:rsidR="0016391E">
        <w:rPr>
          <w:rFonts w:ascii="仿宋_GB2312" w:eastAsia="仿宋_GB2312" w:hint="eastAsia"/>
          <w:sz w:val="32"/>
          <w:szCs w:val="32"/>
        </w:rPr>
        <w:t>1日</w:t>
      </w:r>
      <w:r>
        <w:rPr>
          <w:rFonts w:ascii="仿宋_GB2312" w:eastAsia="仿宋_GB2312" w:hint="eastAsia"/>
          <w:sz w:val="32"/>
          <w:szCs w:val="32"/>
        </w:rPr>
        <w:t>起参加企业养老保险，其中</w:t>
      </w:r>
      <w:r w:rsidR="002C7324" w:rsidRPr="001C3ABB">
        <w:rPr>
          <w:rFonts w:ascii="仿宋_GB2312" w:eastAsia="仿宋_GB2312" w:hint="eastAsia"/>
          <w:sz w:val="32"/>
          <w:szCs w:val="32"/>
        </w:rPr>
        <w:t>2014年9月以前已参加事业单位养老保险的社会组织专职工作人员（含退休人员）从2014年10月起转为参加企业职工基本养老保险。</w:t>
      </w:r>
      <w:r w:rsidR="001F7970" w:rsidRPr="001F7970">
        <w:rPr>
          <w:rFonts w:ascii="仿宋_GB2312" w:eastAsia="仿宋_GB2312" w:hint="eastAsia"/>
          <w:sz w:val="32"/>
          <w:szCs w:val="32"/>
        </w:rPr>
        <w:t>离休人员</w:t>
      </w:r>
      <w:r w:rsidR="001F7970" w:rsidRPr="001F7970">
        <w:rPr>
          <w:rFonts w:ascii="仿宋_GB2312" w:eastAsia="仿宋_GB2312" w:hint="eastAsia"/>
          <w:sz w:val="32"/>
          <w:szCs w:val="32"/>
        </w:rPr>
        <w:lastRenderedPageBreak/>
        <w:t>按原渠道发放待遇。</w:t>
      </w:r>
    </w:p>
    <w:p w:rsidR="001C3ABB" w:rsidRPr="001C3ABB" w:rsidRDefault="002C7324" w:rsidP="001C3ABB">
      <w:pPr>
        <w:ind w:firstLine="640"/>
        <w:rPr>
          <w:rFonts w:ascii="黑体" w:eastAsia="黑体" w:hAnsi="黑体"/>
          <w:sz w:val="32"/>
          <w:szCs w:val="32"/>
        </w:rPr>
      </w:pPr>
      <w:r w:rsidRPr="001C3ABB">
        <w:rPr>
          <w:rFonts w:ascii="黑体" w:eastAsia="黑体" w:hAnsi="黑体" w:hint="eastAsia"/>
          <w:sz w:val="32"/>
          <w:szCs w:val="32"/>
        </w:rPr>
        <w:t>二、</w:t>
      </w:r>
      <w:r w:rsidR="006D53C3">
        <w:rPr>
          <w:rFonts w:ascii="黑体" w:eastAsia="黑体" w:hAnsi="黑体" w:hint="eastAsia"/>
          <w:sz w:val="32"/>
          <w:szCs w:val="32"/>
        </w:rPr>
        <w:t>在职职工</w:t>
      </w:r>
      <w:r w:rsidRPr="001C3ABB">
        <w:rPr>
          <w:rFonts w:ascii="黑体" w:eastAsia="黑体" w:hAnsi="黑体" w:hint="eastAsia"/>
          <w:sz w:val="32"/>
          <w:szCs w:val="32"/>
        </w:rPr>
        <w:t>基本养老保险</w:t>
      </w:r>
      <w:r w:rsidR="00E665D4">
        <w:rPr>
          <w:rFonts w:ascii="黑体" w:eastAsia="黑体" w:hAnsi="黑体" w:hint="eastAsia"/>
          <w:sz w:val="32"/>
          <w:szCs w:val="32"/>
        </w:rPr>
        <w:t>衔接</w:t>
      </w:r>
    </w:p>
    <w:p w:rsidR="001C3ABB" w:rsidRPr="001C3ABB" w:rsidRDefault="002C7324" w:rsidP="001C3ABB">
      <w:pPr>
        <w:ind w:firstLine="640"/>
        <w:rPr>
          <w:rFonts w:ascii="仿宋_GB2312" w:eastAsia="仿宋_GB2312"/>
          <w:sz w:val="32"/>
          <w:szCs w:val="32"/>
        </w:rPr>
      </w:pPr>
      <w:r w:rsidRPr="001C3ABB">
        <w:rPr>
          <w:rFonts w:ascii="仿宋_GB2312" w:eastAsia="仿宋_GB2312" w:hint="eastAsia"/>
          <w:sz w:val="32"/>
          <w:szCs w:val="32"/>
        </w:rPr>
        <w:t>1.</w:t>
      </w:r>
      <w:r w:rsidR="00E665D4" w:rsidRPr="00E665D4">
        <w:rPr>
          <w:rFonts w:ascii="仿宋_GB2312" w:eastAsia="仿宋_GB2312" w:hint="eastAsia"/>
          <w:sz w:val="32"/>
          <w:szCs w:val="32"/>
        </w:rPr>
        <w:t xml:space="preserve"> </w:t>
      </w:r>
      <w:r w:rsidR="00E665D4">
        <w:rPr>
          <w:rFonts w:ascii="仿宋_GB2312" w:eastAsia="仿宋_GB2312" w:hint="eastAsia"/>
          <w:sz w:val="32"/>
          <w:szCs w:val="32"/>
        </w:rPr>
        <w:t>实施范围内的</w:t>
      </w:r>
      <w:r w:rsidRPr="001C3ABB">
        <w:rPr>
          <w:rFonts w:ascii="仿宋_GB2312" w:eastAsia="仿宋_GB2312" w:hint="eastAsia"/>
          <w:sz w:val="32"/>
          <w:szCs w:val="32"/>
        </w:rPr>
        <w:t>社会组织</w:t>
      </w:r>
      <w:r w:rsidR="00E665D4" w:rsidRPr="001C3ABB">
        <w:rPr>
          <w:rFonts w:ascii="仿宋_GB2312" w:eastAsia="仿宋_GB2312" w:hint="eastAsia"/>
          <w:sz w:val="32"/>
          <w:szCs w:val="32"/>
        </w:rPr>
        <w:t>按</w:t>
      </w:r>
      <w:r w:rsidR="00E665D4">
        <w:rPr>
          <w:rFonts w:ascii="仿宋_GB2312" w:eastAsia="仿宋_GB2312" w:hint="eastAsia"/>
          <w:sz w:val="32"/>
          <w:szCs w:val="32"/>
        </w:rPr>
        <w:t>税务</w:t>
      </w:r>
      <w:r w:rsidRPr="001C3ABB">
        <w:rPr>
          <w:rFonts w:ascii="仿宋_GB2312" w:eastAsia="仿宋_GB2312" w:hint="eastAsia"/>
          <w:sz w:val="32"/>
          <w:szCs w:val="32"/>
        </w:rPr>
        <w:t>注册地，由对应企业养老保险经办机构为社会组织</w:t>
      </w:r>
      <w:r w:rsidR="00E665D4">
        <w:rPr>
          <w:rFonts w:ascii="仿宋_GB2312" w:eastAsia="仿宋_GB2312" w:hint="eastAsia"/>
          <w:sz w:val="32"/>
          <w:szCs w:val="32"/>
        </w:rPr>
        <w:t>办理</w:t>
      </w:r>
      <w:r w:rsidRPr="001C3ABB">
        <w:rPr>
          <w:rFonts w:ascii="仿宋_GB2312" w:eastAsia="仿宋_GB2312" w:hint="eastAsia"/>
          <w:sz w:val="32"/>
          <w:szCs w:val="32"/>
        </w:rPr>
        <w:t>企业参保登记，并建立职工基本养老保险个人账户。</w:t>
      </w:r>
    </w:p>
    <w:p w:rsidR="00F75A3D" w:rsidRPr="00711BDA" w:rsidRDefault="00E665D4" w:rsidP="00BF244E">
      <w:pPr>
        <w:ind w:firstLine="640"/>
        <w:rPr>
          <w:rFonts w:ascii="仿宋_GB2312" w:eastAsia="仿宋_GB2312"/>
          <w:sz w:val="32"/>
          <w:szCs w:val="32"/>
          <w:u w:val="single"/>
        </w:rPr>
      </w:pPr>
      <w:r>
        <w:rPr>
          <w:rFonts w:ascii="仿宋_GB2312" w:eastAsia="仿宋_GB2312" w:hint="eastAsia"/>
          <w:sz w:val="32"/>
          <w:szCs w:val="32"/>
        </w:rPr>
        <w:t>2.</w:t>
      </w:r>
      <w:r w:rsidR="002C7324" w:rsidRPr="001C3ABB">
        <w:rPr>
          <w:rFonts w:ascii="仿宋_GB2312" w:eastAsia="仿宋_GB2312" w:hint="eastAsia"/>
          <w:sz w:val="32"/>
          <w:szCs w:val="32"/>
        </w:rPr>
        <w:t>机关事业单位养老保险经办机构在办理其在职人员基本养老保险关系转移时，以本人各年度实际缴费工资为基数、按12%的总和转移统筹基金，参保缴费不足1年的，按实际缴费月数计算；</w:t>
      </w:r>
      <w:r w:rsidR="002C7324" w:rsidRPr="00DA6583">
        <w:rPr>
          <w:rFonts w:ascii="仿宋_GB2312" w:eastAsia="仿宋_GB2312" w:hint="eastAsia"/>
          <w:sz w:val="32"/>
          <w:szCs w:val="32"/>
        </w:rPr>
        <w:t>按个人缴费本息累计计算的全部个人账户储存额一并转移，并入本人企业基本养老保险个人账户单独记账管理。</w:t>
      </w:r>
    </w:p>
    <w:p w:rsidR="001C3ABB" w:rsidRPr="001C3ABB" w:rsidRDefault="00E665D4" w:rsidP="001C3ABB">
      <w:pPr>
        <w:ind w:firstLine="640"/>
        <w:rPr>
          <w:rFonts w:ascii="仿宋_GB2312" w:eastAsia="仿宋_GB2312"/>
          <w:sz w:val="32"/>
          <w:szCs w:val="32"/>
        </w:rPr>
      </w:pPr>
      <w:r>
        <w:rPr>
          <w:rFonts w:ascii="仿宋_GB2312" w:eastAsia="仿宋_GB2312" w:hint="eastAsia"/>
          <w:sz w:val="32"/>
          <w:szCs w:val="32"/>
        </w:rPr>
        <w:t>3.</w:t>
      </w:r>
      <w:r w:rsidR="002C7324" w:rsidRPr="001C3ABB">
        <w:rPr>
          <w:rFonts w:ascii="仿宋_GB2312" w:eastAsia="仿宋_GB2312" w:hint="eastAsia"/>
          <w:sz w:val="32"/>
          <w:szCs w:val="32"/>
        </w:rPr>
        <w:t>2014年10月后参加企业职工基本养老保险的社会组织专职工作人员，建立个人账户时间为2014年10月1日，</w:t>
      </w:r>
      <w:proofErr w:type="gramStart"/>
      <w:r w:rsidR="002C7324" w:rsidRPr="001C3ABB">
        <w:rPr>
          <w:rFonts w:ascii="仿宋_GB2312" w:eastAsia="仿宋_GB2312" w:hint="eastAsia"/>
          <w:sz w:val="32"/>
          <w:szCs w:val="32"/>
        </w:rPr>
        <w:t>原参加</w:t>
      </w:r>
      <w:proofErr w:type="gramEnd"/>
      <w:r w:rsidR="002C7324" w:rsidRPr="001C3ABB">
        <w:rPr>
          <w:rFonts w:ascii="仿宋_GB2312" w:eastAsia="仿宋_GB2312" w:hint="eastAsia"/>
          <w:sz w:val="32"/>
          <w:szCs w:val="32"/>
        </w:rPr>
        <w:t>事业单位养老保险期间的实际缴费年限</w:t>
      </w:r>
      <w:proofErr w:type="gramStart"/>
      <w:r w:rsidR="002C7324" w:rsidRPr="001C3ABB">
        <w:rPr>
          <w:rFonts w:ascii="仿宋_GB2312" w:eastAsia="仿宋_GB2312" w:hint="eastAsia"/>
          <w:sz w:val="32"/>
          <w:szCs w:val="32"/>
        </w:rPr>
        <w:t>和之前</w:t>
      </w:r>
      <w:proofErr w:type="gramEnd"/>
      <w:r w:rsidR="002C7324" w:rsidRPr="001C3ABB">
        <w:rPr>
          <w:rFonts w:ascii="仿宋_GB2312" w:eastAsia="仿宋_GB2312" w:hint="eastAsia"/>
          <w:sz w:val="32"/>
          <w:szCs w:val="32"/>
        </w:rPr>
        <w:t>符合国家规定的</w:t>
      </w:r>
      <w:r w:rsidR="0016391E">
        <w:rPr>
          <w:rFonts w:ascii="仿宋_GB2312" w:eastAsia="仿宋_GB2312" w:hint="eastAsia"/>
          <w:sz w:val="32"/>
          <w:szCs w:val="32"/>
        </w:rPr>
        <w:t>连续工作年限</w:t>
      </w:r>
      <w:r w:rsidR="002C7324" w:rsidRPr="001C3ABB">
        <w:rPr>
          <w:rFonts w:ascii="仿宋_GB2312" w:eastAsia="仿宋_GB2312" w:hint="eastAsia"/>
          <w:sz w:val="32"/>
          <w:szCs w:val="32"/>
        </w:rPr>
        <w:t>累计计算，都作为参加企业职工基本养老保险的视同缴费年限。其在参加事业单位养老保险期间形成的个人账户累计储存额应随养老保险关系一并转移，本人退休时予以返还，不参与退休时养老金计发。</w:t>
      </w:r>
    </w:p>
    <w:p w:rsidR="001C3ABB" w:rsidRPr="001C3ABB" w:rsidRDefault="002C7324" w:rsidP="001C3ABB">
      <w:pPr>
        <w:ind w:firstLine="640"/>
        <w:rPr>
          <w:rFonts w:ascii="黑体" w:eastAsia="黑体" w:hAnsi="黑体"/>
          <w:sz w:val="32"/>
          <w:szCs w:val="32"/>
        </w:rPr>
      </w:pPr>
      <w:r w:rsidRPr="001C3ABB">
        <w:rPr>
          <w:rFonts w:ascii="黑体" w:eastAsia="黑体" w:hAnsi="黑体" w:hint="eastAsia"/>
          <w:sz w:val="32"/>
          <w:szCs w:val="32"/>
        </w:rPr>
        <w:t>三、退休人员养老保险</w:t>
      </w:r>
      <w:r w:rsidR="006D53C3">
        <w:rPr>
          <w:rFonts w:ascii="黑体" w:eastAsia="黑体" w:hAnsi="黑体" w:hint="eastAsia"/>
          <w:sz w:val="32"/>
          <w:szCs w:val="32"/>
        </w:rPr>
        <w:t>衔接</w:t>
      </w:r>
    </w:p>
    <w:p w:rsidR="001C3ABB" w:rsidRPr="001C3ABB" w:rsidRDefault="002C7324" w:rsidP="001C3ABB">
      <w:pPr>
        <w:ind w:firstLine="640"/>
        <w:rPr>
          <w:rFonts w:ascii="仿宋_GB2312" w:eastAsia="仿宋_GB2312"/>
          <w:sz w:val="32"/>
          <w:szCs w:val="32"/>
        </w:rPr>
      </w:pPr>
      <w:r w:rsidRPr="001C3ABB">
        <w:rPr>
          <w:rFonts w:ascii="仿宋_GB2312" w:eastAsia="仿宋_GB2312" w:hint="eastAsia"/>
          <w:sz w:val="32"/>
          <w:szCs w:val="32"/>
        </w:rPr>
        <w:t>1.2014年9月以前参加事业养老保险期间的社会组织退休人员，原退休费标准不变（</w:t>
      </w:r>
      <w:proofErr w:type="gramStart"/>
      <w:r w:rsidRPr="001C3ABB">
        <w:rPr>
          <w:rFonts w:ascii="仿宋_GB2312" w:eastAsia="仿宋_GB2312" w:hint="eastAsia"/>
          <w:sz w:val="32"/>
          <w:szCs w:val="32"/>
        </w:rPr>
        <w:t>含按辽人社</w:t>
      </w:r>
      <w:proofErr w:type="gramEnd"/>
      <w:r w:rsidRPr="001C3ABB">
        <w:rPr>
          <w:rFonts w:ascii="仿宋_GB2312" w:eastAsia="仿宋_GB2312" w:hint="eastAsia"/>
          <w:sz w:val="32"/>
          <w:szCs w:val="32"/>
        </w:rPr>
        <w:t>〔2015〕123号文件增加部分），从2014</w:t>
      </w:r>
      <w:r w:rsidR="001C3ABB" w:rsidRPr="001C3ABB">
        <w:rPr>
          <w:rFonts w:ascii="仿宋_GB2312" w:eastAsia="仿宋_GB2312" w:hint="eastAsia"/>
          <w:sz w:val="32"/>
          <w:szCs w:val="32"/>
        </w:rPr>
        <w:t>年</w:t>
      </w:r>
      <w:r w:rsidRPr="001C3ABB">
        <w:rPr>
          <w:rFonts w:ascii="仿宋_GB2312" w:eastAsia="仿宋_GB2312" w:hint="eastAsia"/>
          <w:sz w:val="32"/>
          <w:szCs w:val="32"/>
        </w:rPr>
        <w:t>10月1日起改为从企业基本养老保险统筹基金中列支。2016年以后按照企业养老保险待遇调</w:t>
      </w:r>
      <w:r w:rsidRPr="001C3ABB">
        <w:rPr>
          <w:rFonts w:ascii="仿宋_GB2312" w:eastAsia="仿宋_GB2312" w:hint="eastAsia"/>
          <w:sz w:val="32"/>
          <w:szCs w:val="32"/>
        </w:rPr>
        <w:lastRenderedPageBreak/>
        <w:t>整政策执行，所需费用从企业基本养老保险统筹基金中支付。同时，原发放的个人账户养老金从2014年10月1日起停发，个人账户余额一次性返还本人。</w:t>
      </w:r>
    </w:p>
    <w:p w:rsidR="001C3ABB" w:rsidRPr="001C3ABB" w:rsidRDefault="002C7324" w:rsidP="001C3ABB">
      <w:pPr>
        <w:ind w:firstLine="640"/>
        <w:rPr>
          <w:rFonts w:ascii="仿宋_GB2312" w:eastAsia="仿宋_GB2312"/>
          <w:sz w:val="32"/>
          <w:szCs w:val="32"/>
        </w:rPr>
      </w:pPr>
      <w:r w:rsidRPr="001C3ABB">
        <w:rPr>
          <w:rFonts w:ascii="仿宋_GB2312" w:eastAsia="仿宋_GB2312" w:hint="eastAsia"/>
          <w:sz w:val="32"/>
          <w:szCs w:val="32"/>
        </w:rPr>
        <w:t>2.2014年l0月</w:t>
      </w:r>
      <w:r w:rsidR="001C3ABB" w:rsidRPr="001C3ABB">
        <w:rPr>
          <w:rFonts w:ascii="仿宋_GB2312" w:eastAsia="仿宋_GB2312" w:hint="eastAsia"/>
          <w:sz w:val="32"/>
          <w:szCs w:val="32"/>
        </w:rPr>
        <w:t>1日</w:t>
      </w:r>
      <w:r w:rsidR="006D53C3">
        <w:rPr>
          <w:rFonts w:ascii="仿宋_GB2312" w:eastAsia="仿宋_GB2312" w:hint="eastAsia"/>
          <w:sz w:val="32"/>
          <w:szCs w:val="32"/>
        </w:rPr>
        <w:t>后</w:t>
      </w:r>
      <w:r w:rsidRPr="001C3ABB">
        <w:rPr>
          <w:rFonts w:ascii="仿宋_GB2312" w:eastAsia="仿宋_GB2312" w:hint="eastAsia"/>
          <w:sz w:val="32"/>
          <w:szCs w:val="32"/>
        </w:rPr>
        <w:t>达到退休条件的社会组织专职工作人员，按城镇企业职工基本养老金计发办法和企业退休人员基本养老金调整政策执行。</w:t>
      </w:r>
    </w:p>
    <w:p w:rsidR="001C3ABB" w:rsidRPr="001C3ABB" w:rsidRDefault="002C7324" w:rsidP="001C3ABB">
      <w:pPr>
        <w:ind w:firstLine="640"/>
        <w:rPr>
          <w:rFonts w:ascii="仿宋_GB2312" w:eastAsia="仿宋_GB2312"/>
          <w:sz w:val="32"/>
          <w:szCs w:val="32"/>
        </w:rPr>
      </w:pPr>
      <w:r w:rsidRPr="001C3ABB">
        <w:rPr>
          <w:rFonts w:ascii="仿宋_GB2312" w:eastAsia="仿宋_GB2312" w:hint="eastAsia"/>
          <w:sz w:val="32"/>
          <w:szCs w:val="32"/>
        </w:rPr>
        <w:t>为保证新老退休人员待遇水平平稳过渡，2014年10月1日至2019年9月30日内符合退休条件的人员，按企业基本养老金计发办法计算的待遇低于原机关事业单位退休费计发办法（</w:t>
      </w:r>
      <w:r w:rsidR="00711BDA" w:rsidRPr="00AC258D">
        <w:rPr>
          <w:rFonts w:ascii="仿宋_GB2312" w:eastAsia="仿宋_GB2312" w:hint="eastAsia"/>
          <w:sz w:val="32"/>
          <w:szCs w:val="32"/>
        </w:rPr>
        <w:t>由行政部门</w:t>
      </w:r>
      <w:proofErr w:type="gramStart"/>
      <w:r w:rsidR="00711BDA" w:rsidRPr="00AC258D">
        <w:rPr>
          <w:rFonts w:ascii="仿宋_GB2312" w:eastAsia="仿宋_GB2312" w:hint="eastAsia"/>
          <w:sz w:val="32"/>
          <w:szCs w:val="32"/>
        </w:rPr>
        <w:t>按</w:t>
      </w:r>
      <w:r w:rsidRPr="00AC258D">
        <w:rPr>
          <w:rFonts w:ascii="仿宋_GB2312" w:eastAsia="仿宋_GB2312" w:hint="eastAsia"/>
          <w:sz w:val="32"/>
          <w:szCs w:val="32"/>
        </w:rPr>
        <w:t>辽人社</w:t>
      </w:r>
      <w:proofErr w:type="gramEnd"/>
      <w:r w:rsidRPr="00AC258D">
        <w:rPr>
          <w:rFonts w:ascii="仿宋_GB2312" w:eastAsia="仿宋_GB2312" w:hint="eastAsia"/>
          <w:sz w:val="32"/>
          <w:szCs w:val="32"/>
        </w:rPr>
        <w:t>〔2017〕101号文件中规定的“老办法”</w:t>
      </w:r>
      <w:r w:rsidR="00711BDA" w:rsidRPr="00AC258D">
        <w:rPr>
          <w:rFonts w:ascii="仿宋_GB2312" w:eastAsia="仿宋_GB2312" w:hint="eastAsia"/>
          <w:sz w:val="32"/>
          <w:szCs w:val="32"/>
        </w:rPr>
        <w:t>核算出事业单位退休费</w:t>
      </w:r>
      <w:r w:rsidRPr="00AC258D">
        <w:rPr>
          <w:rFonts w:ascii="仿宋_GB2312" w:eastAsia="仿宋_GB2312" w:hint="eastAsia"/>
          <w:sz w:val="32"/>
          <w:szCs w:val="32"/>
        </w:rPr>
        <w:t>）</w:t>
      </w:r>
      <w:r w:rsidRPr="001C3ABB">
        <w:rPr>
          <w:rFonts w:ascii="仿宋_GB2312" w:eastAsia="仿宋_GB2312" w:hint="eastAsia"/>
          <w:sz w:val="32"/>
          <w:szCs w:val="32"/>
        </w:rPr>
        <w:t>计算待遇的差额部分（简称“待遇差”），采用分年按不同比例加发补贴的办法解决，所需费用从企业基本养</w:t>
      </w:r>
      <w:r w:rsidR="00A60F55">
        <w:rPr>
          <w:rFonts w:ascii="仿宋_GB2312" w:eastAsia="仿宋_GB2312" w:hint="eastAsia"/>
          <w:sz w:val="32"/>
          <w:szCs w:val="32"/>
        </w:rPr>
        <w:t>老</w:t>
      </w:r>
      <w:r w:rsidRPr="001C3ABB">
        <w:rPr>
          <w:rFonts w:ascii="仿宋_GB2312" w:eastAsia="仿宋_GB2312" w:hint="eastAsia"/>
          <w:sz w:val="32"/>
          <w:szCs w:val="32"/>
        </w:rPr>
        <w:t>保险统筹基金中列支。</w:t>
      </w:r>
    </w:p>
    <w:p w:rsidR="001C3ABB" w:rsidRPr="001C3ABB" w:rsidRDefault="002C7324" w:rsidP="001C3ABB">
      <w:pPr>
        <w:ind w:firstLine="640"/>
        <w:rPr>
          <w:rFonts w:ascii="仿宋_GB2312" w:eastAsia="仿宋_GB2312"/>
          <w:sz w:val="32"/>
          <w:szCs w:val="32"/>
        </w:rPr>
      </w:pPr>
      <w:r w:rsidRPr="001C3ABB">
        <w:rPr>
          <w:rFonts w:ascii="仿宋_GB2312" w:eastAsia="仿宋_GB2312" w:hint="eastAsia"/>
          <w:sz w:val="32"/>
          <w:szCs w:val="32"/>
        </w:rPr>
        <w:t>待遇差补贴标准为：</w:t>
      </w:r>
      <w:proofErr w:type="gramStart"/>
      <w:r w:rsidRPr="001C3ABB">
        <w:rPr>
          <w:rFonts w:ascii="仿宋_GB2312" w:eastAsia="仿宋_GB2312" w:hint="eastAsia"/>
          <w:sz w:val="32"/>
          <w:szCs w:val="32"/>
        </w:rPr>
        <w:t>转企后</w:t>
      </w:r>
      <w:proofErr w:type="gramEnd"/>
      <w:r w:rsidRPr="001C3ABB">
        <w:rPr>
          <w:rFonts w:ascii="仿宋_GB2312" w:eastAsia="仿宋_GB2312" w:hint="eastAsia"/>
          <w:sz w:val="32"/>
          <w:szCs w:val="32"/>
        </w:rPr>
        <w:t>第一年内退休的，发给待遇差的90%；第二年内退休的，发给待遇差的70%；第三年内退休的，发给待遇差的50%；第四年内退休的，发给待遇差的30%；第五年内退休的，发给待遇差的10%；第六年后（含第六年）退休人员，不再发给该项补贴。转为参加企业职工基本养老保险后5年以内退休的社会组织专职工作人员，在按企业办法计算过渡性养老金的指数化月平均缴费工资时，必须满足三个年度的缴费系数，纳入企业职工基本养老保险的实际缴费年限不足三年的，未缴费年限的年缴费工资用职工退休前对应</w:t>
      </w:r>
      <w:proofErr w:type="gramStart"/>
      <w:r w:rsidRPr="001C3ABB">
        <w:rPr>
          <w:rFonts w:ascii="仿宋_GB2312" w:eastAsia="仿宋_GB2312" w:hint="eastAsia"/>
          <w:sz w:val="32"/>
          <w:szCs w:val="32"/>
        </w:rPr>
        <w:t>年度省在岗</w:t>
      </w:r>
      <w:proofErr w:type="gramEnd"/>
      <w:r w:rsidRPr="001C3ABB">
        <w:rPr>
          <w:rFonts w:ascii="仿宋_GB2312" w:eastAsia="仿宋_GB2312" w:hint="eastAsia"/>
          <w:sz w:val="32"/>
          <w:szCs w:val="32"/>
        </w:rPr>
        <w:t>职工平均工资代替。</w:t>
      </w:r>
    </w:p>
    <w:p w:rsidR="001C3ABB" w:rsidRDefault="002C7324" w:rsidP="001C3ABB">
      <w:pPr>
        <w:ind w:firstLine="640"/>
        <w:rPr>
          <w:rFonts w:ascii="仿宋_GB2312" w:eastAsia="仿宋_GB2312"/>
          <w:sz w:val="32"/>
          <w:szCs w:val="32"/>
        </w:rPr>
      </w:pPr>
      <w:r w:rsidRPr="001C3ABB">
        <w:rPr>
          <w:rFonts w:ascii="仿宋_GB2312" w:eastAsia="仿宋_GB2312" w:hint="eastAsia"/>
          <w:sz w:val="32"/>
          <w:szCs w:val="32"/>
        </w:rPr>
        <w:lastRenderedPageBreak/>
        <w:t>3.2</w:t>
      </w:r>
      <w:r w:rsidR="001E434D" w:rsidRPr="001C3ABB">
        <w:rPr>
          <w:rFonts w:ascii="仿宋_GB2312" w:eastAsia="仿宋_GB2312" w:hint="eastAsia"/>
          <w:sz w:val="32"/>
          <w:szCs w:val="32"/>
        </w:rPr>
        <w:t>0</w:t>
      </w:r>
      <w:r w:rsidRPr="001C3ABB">
        <w:rPr>
          <w:rFonts w:ascii="仿宋_GB2312" w:eastAsia="仿宋_GB2312" w:hint="eastAsia"/>
          <w:sz w:val="32"/>
          <w:szCs w:val="32"/>
        </w:rPr>
        <w:t>14年10月1日至</w:t>
      </w:r>
      <w:r w:rsidR="006D53C3">
        <w:rPr>
          <w:rFonts w:ascii="仿宋_GB2312" w:eastAsia="仿宋_GB2312" w:hint="eastAsia"/>
          <w:sz w:val="32"/>
          <w:szCs w:val="32"/>
        </w:rPr>
        <w:t>单位</w:t>
      </w:r>
      <w:r w:rsidR="001C3ABB">
        <w:rPr>
          <w:rFonts w:ascii="仿宋_GB2312" w:eastAsia="仿宋_GB2312" w:hint="eastAsia"/>
          <w:sz w:val="32"/>
          <w:szCs w:val="32"/>
        </w:rPr>
        <w:t>办理</w:t>
      </w:r>
      <w:r w:rsidR="006D53C3">
        <w:rPr>
          <w:rFonts w:ascii="仿宋_GB2312" w:eastAsia="仿宋_GB2312" w:hint="eastAsia"/>
          <w:sz w:val="32"/>
          <w:szCs w:val="32"/>
        </w:rPr>
        <w:t>转企</w:t>
      </w:r>
      <w:r w:rsidRPr="001C3ABB">
        <w:rPr>
          <w:rFonts w:ascii="仿宋_GB2312" w:eastAsia="仿宋_GB2312" w:hint="eastAsia"/>
          <w:sz w:val="32"/>
          <w:szCs w:val="32"/>
        </w:rPr>
        <w:t>期间已办理退休的社会组织专职工作人员，按上述办法纳入企业职工基本养老保险并重新核算基本养老金。</w:t>
      </w:r>
    </w:p>
    <w:p w:rsidR="001C3ABB" w:rsidRPr="001C3ABB" w:rsidRDefault="00BA1EA4" w:rsidP="001C3ABB">
      <w:pPr>
        <w:ind w:firstLine="640"/>
        <w:rPr>
          <w:rFonts w:ascii="黑体" w:eastAsia="黑体" w:hAnsi="黑体"/>
          <w:sz w:val="32"/>
          <w:szCs w:val="32"/>
        </w:rPr>
      </w:pPr>
      <w:r w:rsidRPr="001C3ABB">
        <w:rPr>
          <w:rFonts w:ascii="黑体" w:eastAsia="黑体" w:hAnsi="黑体" w:hint="eastAsia"/>
          <w:sz w:val="32"/>
          <w:szCs w:val="32"/>
        </w:rPr>
        <w:t>四、办理</w:t>
      </w:r>
      <w:r w:rsidR="00E841C4" w:rsidRPr="001C3ABB">
        <w:rPr>
          <w:rFonts w:ascii="黑体" w:eastAsia="黑体" w:hAnsi="黑体" w:hint="eastAsia"/>
          <w:sz w:val="32"/>
          <w:szCs w:val="32"/>
        </w:rPr>
        <w:t>事项</w:t>
      </w:r>
      <w:r w:rsidR="002068DF" w:rsidRPr="001C3ABB">
        <w:rPr>
          <w:rFonts w:ascii="黑体" w:eastAsia="黑体" w:hAnsi="黑体" w:hint="eastAsia"/>
          <w:sz w:val="32"/>
          <w:szCs w:val="32"/>
        </w:rPr>
        <w:t>及要件</w:t>
      </w:r>
    </w:p>
    <w:p w:rsidR="001C3ABB" w:rsidRPr="001C3ABB" w:rsidRDefault="001C3ABB" w:rsidP="001C3ABB">
      <w:pPr>
        <w:ind w:firstLine="640"/>
        <w:rPr>
          <w:rFonts w:ascii="仿宋_GB2312" w:eastAsia="仿宋_GB2312"/>
          <w:sz w:val="32"/>
          <w:szCs w:val="32"/>
        </w:rPr>
      </w:pPr>
      <w:r>
        <w:rPr>
          <w:rFonts w:ascii="楷体_GB2312" w:eastAsia="楷体_GB2312" w:hint="eastAsia"/>
          <w:sz w:val="32"/>
          <w:szCs w:val="32"/>
        </w:rPr>
        <w:t>（一）单位参保登记</w:t>
      </w:r>
      <w:r w:rsidR="001F3825">
        <w:rPr>
          <w:rFonts w:ascii="楷体_GB2312" w:eastAsia="楷体_GB2312" w:hint="eastAsia"/>
          <w:sz w:val="32"/>
          <w:szCs w:val="32"/>
        </w:rPr>
        <w:t>。</w:t>
      </w:r>
      <w:r w:rsidR="00E841C4" w:rsidRPr="001C3ABB">
        <w:rPr>
          <w:rFonts w:ascii="仿宋_GB2312" w:eastAsia="仿宋_GB2312" w:hint="eastAsia"/>
          <w:sz w:val="32"/>
          <w:szCs w:val="32"/>
        </w:rPr>
        <w:t>参加</w:t>
      </w:r>
      <w:r w:rsidR="001F3825">
        <w:rPr>
          <w:rFonts w:ascii="仿宋_GB2312" w:eastAsia="仿宋_GB2312" w:hint="eastAsia"/>
          <w:sz w:val="32"/>
          <w:szCs w:val="32"/>
        </w:rPr>
        <w:t>单位持</w:t>
      </w:r>
      <w:r w:rsidR="00E841C4" w:rsidRPr="001C3ABB">
        <w:rPr>
          <w:rFonts w:ascii="仿宋_GB2312" w:eastAsia="仿宋_GB2312" w:hint="eastAsia"/>
          <w:sz w:val="32"/>
          <w:szCs w:val="32"/>
        </w:rPr>
        <w:t>企业营业执照、法人身份证、单位公章</w:t>
      </w:r>
      <w:r w:rsidR="001F3825">
        <w:rPr>
          <w:rFonts w:ascii="仿宋_GB2312" w:eastAsia="仿宋_GB2312" w:hint="eastAsia"/>
          <w:sz w:val="32"/>
          <w:szCs w:val="32"/>
        </w:rPr>
        <w:t>到企业养老保险经办机构完成企业职工基本养老保险参保</w:t>
      </w:r>
      <w:r w:rsidR="00C27FEB" w:rsidRPr="001C3ABB">
        <w:rPr>
          <w:rFonts w:ascii="仿宋_GB2312" w:eastAsia="仿宋_GB2312" w:hint="eastAsia"/>
          <w:sz w:val="32"/>
          <w:szCs w:val="32"/>
        </w:rPr>
        <w:t>登记。</w:t>
      </w:r>
    </w:p>
    <w:p w:rsidR="001C3ABB" w:rsidRPr="001C3ABB" w:rsidRDefault="001C3ABB" w:rsidP="001C3ABB">
      <w:pPr>
        <w:ind w:firstLine="640"/>
        <w:rPr>
          <w:rFonts w:ascii="仿宋_GB2312" w:eastAsia="仿宋_GB2312"/>
          <w:sz w:val="32"/>
          <w:szCs w:val="32"/>
        </w:rPr>
      </w:pPr>
      <w:r w:rsidRPr="001C3ABB">
        <w:rPr>
          <w:rFonts w:ascii="楷体_GB2312" w:eastAsia="楷体_GB2312" w:hint="eastAsia"/>
          <w:sz w:val="32"/>
          <w:szCs w:val="32"/>
        </w:rPr>
        <w:t>（二）</w:t>
      </w:r>
      <w:r>
        <w:rPr>
          <w:rFonts w:ascii="楷体_GB2312" w:eastAsia="楷体_GB2312" w:hint="eastAsia"/>
          <w:sz w:val="32"/>
          <w:szCs w:val="32"/>
        </w:rPr>
        <w:t>在职职工参保或转移接续</w:t>
      </w:r>
      <w:r w:rsidR="001F3825">
        <w:rPr>
          <w:rFonts w:ascii="楷体_GB2312" w:eastAsia="楷体_GB2312" w:hint="eastAsia"/>
          <w:sz w:val="32"/>
          <w:szCs w:val="32"/>
        </w:rPr>
        <w:t>。</w:t>
      </w:r>
      <w:r w:rsidR="00723FCF">
        <w:rPr>
          <w:rFonts w:ascii="仿宋_GB2312" w:eastAsia="仿宋_GB2312" w:hint="eastAsia"/>
          <w:sz w:val="32"/>
          <w:szCs w:val="32"/>
        </w:rPr>
        <w:t>参保单位可提供《录用职工登记表（或</w:t>
      </w:r>
      <w:r w:rsidR="00C27FEB" w:rsidRPr="001C3ABB">
        <w:rPr>
          <w:rFonts w:ascii="仿宋_GB2312" w:eastAsia="仿宋_GB2312" w:hint="eastAsia"/>
          <w:sz w:val="32"/>
          <w:szCs w:val="32"/>
        </w:rPr>
        <w:t>花名册）》、职工身份证复印件（外地户籍的需要身份证原件，用于采集户籍信息），</w:t>
      </w:r>
      <w:r w:rsidR="00E841C4" w:rsidRPr="001C3ABB">
        <w:rPr>
          <w:rFonts w:ascii="仿宋_GB2312" w:eastAsia="仿宋_GB2312" w:hint="eastAsia"/>
          <w:sz w:val="32"/>
          <w:szCs w:val="32"/>
        </w:rPr>
        <w:t>统一向企业养老保险经办机构申报建立个人参保信息。</w:t>
      </w:r>
      <w:r w:rsidR="00B56DBF">
        <w:rPr>
          <w:rFonts w:ascii="仿宋_GB2312" w:eastAsia="仿宋_GB2312" w:hint="eastAsia"/>
          <w:sz w:val="32"/>
          <w:szCs w:val="32"/>
        </w:rPr>
        <w:t>其中，</w:t>
      </w:r>
      <w:proofErr w:type="gramStart"/>
      <w:r w:rsidR="00B56DBF">
        <w:rPr>
          <w:rFonts w:ascii="仿宋_GB2312" w:eastAsia="仿宋_GB2312" w:hint="eastAsia"/>
          <w:sz w:val="32"/>
          <w:szCs w:val="32"/>
        </w:rPr>
        <w:t>原参加</w:t>
      </w:r>
      <w:proofErr w:type="gramEnd"/>
      <w:r w:rsidR="00B56DBF">
        <w:rPr>
          <w:rFonts w:ascii="仿宋_GB2312" w:eastAsia="仿宋_GB2312" w:hint="eastAsia"/>
          <w:sz w:val="32"/>
          <w:szCs w:val="32"/>
        </w:rPr>
        <w:t>事业单位养老保险的在职职工按本办法第二款第二条办理</w:t>
      </w:r>
      <w:r w:rsidR="00B56DBF" w:rsidRPr="001C3ABB">
        <w:rPr>
          <w:rFonts w:ascii="仿宋_GB2312" w:eastAsia="仿宋_GB2312" w:hint="eastAsia"/>
          <w:sz w:val="32"/>
          <w:szCs w:val="32"/>
        </w:rPr>
        <w:t>养老保险关系转移接续及资金转移。</w:t>
      </w:r>
    </w:p>
    <w:p w:rsidR="00114A7C" w:rsidRDefault="00E841C4" w:rsidP="001C3ABB">
      <w:pPr>
        <w:ind w:firstLine="640"/>
        <w:rPr>
          <w:rFonts w:ascii="仿宋_GB2312" w:eastAsia="仿宋_GB2312"/>
          <w:sz w:val="32"/>
          <w:szCs w:val="32"/>
        </w:rPr>
      </w:pPr>
      <w:r w:rsidRPr="001C3ABB">
        <w:rPr>
          <w:rFonts w:ascii="楷体_GB2312" w:eastAsia="楷体_GB2312" w:hint="eastAsia"/>
          <w:sz w:val="32"/>
          <w:szCs w:val="32"/>
        </w:rPr>
        <w:t>（三）</w:t>
      </w:r>
      <w:r w:rsidR="001C3ABB">
        <w:rPr>
          <w:rFonts w:ascii="楷体_GB2312" w:eastAsia="楷体_GB2312" w:hint="eastAsia"/>
          <w:sz w:val="32"/>
          <w:szCs w:val="32"/>
        </w:rPr>
        <w:t>补缴养老保险费</w:t>
      </w:r>
      <w:r w:rsidR="001F3825">
        <w:rPr>
          <w:rFonts w:ascii="楷体_GB2312" w:eastAsia="楷体_GB2312" w:hint="eastAsia"/>
          <w:sz w:val="32"/>
          <w:szCs w:val="32"/>
        </w:rPr>
        <w:t>。</w:t>
      </w:r>
      <w:r w:rsidR="00114A7C">
        <w:rPr>
          <w:rFonts w:ascii="仿宋_GB2312" w:eastAsia="仿宋_GB2312" w:hint="eastAsia"/>
          <w:sz w:val="32"/>
          <w:szCs w:val="32"/>
        </w:rPr>
        <w:t>2014年10月1日起</w:t>
      </w:r>
      <w:proofErr w:type="gramStart"/>
      <w:r w:rsidR="0016391E">
        <w:rPr>
          <w:rFonts w:ascii="仿宋_GB2312" w:eastAsia="仿宋_GB2312" w:hint="eastAsia"/>
          <w:sz w:val="32"/>
          <w:szCs w:val="32"/>
        </w:rPr>
        <w:t>至转企</w:t>
      </w:r>
      <w:proofErr w:type="gramEnd"/>
      <w:r w:rsidR="0016391E">
        <w:rPr>
          <w:rFonts w:ascii="仿宋_GB2312" w:eastAsia="仿宋_GB2312" w:hint="eastAsia"/>
          <w:sz w:val="32"/>
          <w:szCs w:val="32"/>
        </w:rPr>
        <w:t>时，</w:t>
      </w:r>
      <w:r w:rsidR="00114A7C">
        <w:rPr>
          <w:rFonts w:ascii="仿宋_GB2312" w:eastAsia="仿宋_GB2312" w:hint="eastAsia"/>
          <w:sz w:val="32"/>
          <w:szCs w:val="32"/>
        </w:rPr>
        <w:t>在职参保人员的缴费基数和缴费比例</w:t>
      </w:r>
      <w:r w:rsidR="0016391E">
        <w:rPr>
          <w:rFonts w:ascii="仿宋_GB2312" w:eastAsia="仿宋_GB2312" w:hint="eastAsia"/>
          <w:sz w:val="32"/>
          <w:szCs w:val="32"/>
        </w:rPr>
        <w:t>存在事业与企业差的</w:t>
      </w:r>
      <w:r w:rsidR="00114A7C">
        <w:rPr>
          <w:rFonts w:ascii="仿宋_GB2312" w:eastAsia="仿宋_GB2312" w:hint="eastAsia"/>
          <w:sz w:val="32"/>
          <w:szCs w:val="32"/>
        </w:rPr>
        <w:t>在企业经办机构进行补缴，由</w:t>
      </w:r>
      <w:r w:rsidR="007D2BA6">
        <w:rPr>
          <w:rFonts w:ascii="仿宋_GB2312" w:eastAsia="仿宋_GB2312" w:hint="eastAsia"/>
          <w:sz w:val="32"/>
          <w:szCs w:val="32"/>
        </w:rPr>
        <w:t>参保单位向</w:t>
      </w:r>
      <w:r w:rsidR="00114A7C">
        <w:rPr>
          <w:rFonts w:ascii="仿宋_GB2312" w:eastAsia="仿宋_GB2312" w:hint="eastAsia"/>
          <w:sz w:val="32"/>
          <w:szCs w:val="32"/>
        </w:rPr>
        <w:t>企业经办机构</w:t>
      </w:r>
      <w:r w:rsidR="007D2BA6">
        <w:rPr>
          <w:rFonts w:ascii="仿宋_GB2312" w:eastAsia="仿宋_GB2312" w:hint="eastAsia"/>
          <w:sz w:val="32"/>
          <w:szCs w:val="32"/>
        </w:rPr>
        <w:t>提报原基数、新基数及差额数据，经企业经办机构审核后手工填制补缴核定表</w:t>
      </w:r>
      <w:r w:rsidR="006209B1">
        <w:rPr>
          <w:rFonts w:ascii="仿宋_GB2312" w:eastAsia="仿宋_GB2312" w:hint="eastAsia"/>
          <w:sz w:val="32"/>
          <w:szCs w:val="32"/>
        </w:rPr>
        <w:t>《</w:t>
      </w:r>
      <w:r w:rsidR="006209B1" w:rsidRPr="006209B1">
        <w:rPr>
          <w:rFonts w:ascii="仿宋_GB2312" w:eastAsia="仿宋_GB2312" w:hint="eastAsia"/>
          <w:sz w:val="32"/>
          <w:szCs w:val="32"/>
        </w:rPr>
        <w:t>社会组织转企业单位补缴养老保险费核定表</w:t>
      </w:r>
      <w:r w:rsidR="006209B1">
        <w:rPr>
          <w:rFonts w:ascii="仿宋_GB2312" w:eastAsia="仿宋_GB2312" w:hint="eastAsia"/>
          <w:sz w:val="32"/>
          <w:szCs w:val="32"/>
        </w:rPr>
        <w:t>》</w:t>
      </w:r>
      <w:r w:rsidR="007D2BA6">
        <w:rPr>
          <w:rFonts w:ascii="仿宋_GB2312" w:eastAsia="仿宋_GB2312" w:hint="eastAsia"/>
          <w:sz w:val="32"/>
          <w:szCs w:val="32"/>
        </w:rPr>
        <w:t>（</w:t>
      </w:r>
      <w:r w:rsidR="006209B1">
        <w:rPr>
          <w:rFonts w:ascii="仿宋_GB2312" w:eastAsia="仿宋_GB2312" w:hint="eastAsia"/>
          <w:sz w:val="32"/>
          <w:szCs w:val="32"/>
        </w:rPr>
        <w:t>附表</w:t>
      </w:r>
      <w:proofErr w:type="gramStart"/>
      <w:r w:rsidR="006209B1">
        <w:rPr>
          <w:rFonts w:ascii="仿宋_GB2312" w:eastAsia="仿宋_GB2312" w:hint="eastAsia"/>
          <w:sz w:val="32"/>
          <w:szCs w:val="32"/>
        </w:rPr>
        <w:t>一</w:t>
      </w:r>
      <w:proofErr w:type="gramEnd"/>
      <w:r w:rsidR="007D2BA6">
        <w:rPr>
          <w:rFonts w:ascii="仿宋_GB2312" w:eastAsia="仿宋_GB2312" w:hint="eastAsia"/>
          <w:sz w:val="32"/>
          <w:szCs w:val="32"/>
        </w:rPr>
        <w:t>），参保单位持核定表到税务部门办理缴费。</w:t>
      </w:r>
    </w:p>
    <w:p w:rsidR="001C3ABB" w:rsidRDefault="00E02787" w:rsidP="001C3ABB">
      <w:pPr>
        <w:ind w:firstLine="640"/>
        <w:rPr>
          <w:rFonts w:ascii="楷体_GB2312" w:eastAsia="楷体_GB2312"/>
          <w:sz w:val="32"/>
          <w:szCs w:val="32"/>
        </w:rPr>
      </w:pPr>
      <w:r w:rsidRPr="001C3ABB">
        <w:rPr>
          <w:rFonts w:ascii="楷体_GB2312" w:eastAsia="楷体_GB2312" w:hint="eastAsia"/>
          <w:sz w:val="32"/>
          <w:szCs w:val="32"/>
        </w:rPr>
        <w:t>（四）</w:t>
      </w:r>
      <w:r w:rsidR="007B27B7">
        <w:rPr>
          <w:rFonts w:ascii="楷体_GB2312" w:eastAsia="楷体_GB2312" w:hint="eastAsia"/>
          <w:sz w:val="32"/>
          <w:szCs w:val="32"/>
        </w:rPr>
        <w:t>养老保险待遇衔接</w:t>
      </w:r>
    </w:p>
    <w:p w:rsidR="007B27B7" w:rsidRDefault="00B56DBF" w:rsidP="005E1B66">
      <w:pPr>
        <w:ind w:firstLine="640"/>
        <w:rPr>
          <w:rFonts w:ascii="仿宋_GB2312" w:eastAsia="仿宋_GB2312"/>
          <w:sz w:val="32"/>
          <w:szCs w:val="32"/>
        </w:rPr>
      </w:pPr>
      <w:r>
        <w:rPr>
          <w:rFonts w:ascii="仿宋_GB2312" w:eastAsia="仿宋_GB2312" w:hint="eastAsia"/>
          <w:sz w:val="32"/>
          <w:szCs w:val="32"/>
        </w:rPr>
        <w:t>1.</w:t>
      </w:r>
      <w:r w:rsidRPr="001C3ABB">
        <w:rPr>
          <w:rFonts w:ascii="仿宋_GB2312" w:eastAsia="仿宋_GB2312" w:hint="eastAsia"/>
          <w:sz w:val="32"/>
          <w:szCs w:val="32"/>
        </w:rPr>
        <w:t>2014年9月底前已退休人员，由单位填报《社会组织转企业单位退休人员基本情况一览表》（附表</w:t>
      </w:r>
      <w:r w:rsidR="006209B1">
        <w:rPr>
          <w:rFonts w:ascii="仿宋_GB2312" w:eastAsia="仿宋_GB2312" w:hint="eastAsia"/>
          <w:sz w:val="32"/>
          <w:szCs w:val="32"/>
        </w:rPr>
        <w:t>二</w:t>
      </w:r>
      <w:r w:rsidRPr="001C3ABB">
        <w:rPr>
          <w:rFonts w:ascii="仿宋_GB2312" w:eastAsia="仿宋_GB2312" w:hint="eastAsia"/>
          <w:sz w:val="32"/>
          <w:szCs w:val="32"/>
        </w:rPr>
        <w:t>），按照市区管理权限，</w:t>
      </w:r>
      <w:r w:rsidR="0077522D">
        <w:rPr>
          <w:rFonts w:ascii="仿宋_GB2312" w:eastAsia="仿宋_GB2312" w:hint="eastAsia"/>
          <w:sz w:val="32"/>
          <w:szCs w:val="32"/>
        </w:rPr>
        <w:t>经</w:t>
      </w:r>
      <w:r w:rsidRPr="001C3ABB">
        <w:rPr>
          <w:rFonts w:ascii="仿宋_GB2312" w:eastAsia="仿宋_GB2312" w:hint="eastAsia"/>
          <w:sz w:val="32"/>
          <w:szCs w:val="32"/>
        </w:rPr>
        <w:t>对应</w:t>
      </w:r>
      <w:proofErr w:type="gramStart"/>
      <w:r w:rsidRPr="001C3ABB">
        <w:rPr>
          <w:rFonts w:ascii="仿宋_GB2312" w:eastAsia="仿宋_GB2312" w:hint="eastAsia"/>
          <w:sz w:val="32"/>
          <w:szCs w:val="32"/>
        </w:rPr>
        <w:t>人社局工资</w:t>
      </w:r>
      <w:proofErr w:type="gramEnd"/>
      <w:r w:rsidRPr="001C3ABB">
        <w:rPr>
          <w:rFonts w:ascii="仿宋_GB2312" w:eastAsia="仿宋_GB2312" w:hint="eastAsia"/>
          <w:sz w:val="32"/>
          <w:szCs w:val="32"/>
        </w:rPr>
        <w:t>福利部门给予退休待遇审核</w:t>
      </w:r>
      <w:r w:rsidR="0077522D">
        <w:rPr>
          <w:rFonts w:ascii="仿宋_GB2312" w:eastAsia="仿宋_GB2312" w:hint="eastAsia"/>
          <w:sz w:val="32"/>
          <w:szCs w:val="32"/>
        </w:rPr>
        <w:t>后</w:t>
      </w:r>
      <w:r w:rsidRPr="001C3ABB">
        <w:rPr>
          <w:rFonts w:ascii="仿宋_GB2312" w:eastAsia="仿宋_GB2312" w:hint="eastAsia"/>
          <w:sz w:val="32"/>
          <w:szCs w:val="32"/>
        </w:rPr>
        <w:t>，</w:t>
      </w:r>
      <w:r w:rsidR="0077522D" w:rsidRPr="001C3ABB">
        <w:rPr>
          <w:rFonts w:ascii="仿宋_GB2312" w:eastAsia="仿宋_GB2312" w:hint="eastAsia"/>
          <w:sz w:val="32"/>
          <w:szCs w:val="32"/>
        </w:rPr>
        <w:lastRenderedPageBreak/>
        <w:t>机关事业经办机构按照现发放标准</w:t>
      </w:r>
      <w:r w:rsidR="007B27B7">
        <w:rPr>
          <w:rFonts w:ascii="仿宋_GB2312" w:eastAsia="仿宋_GB2312" w:hint="eastAsia"/>
          <w:sz w:val="32"/>
          <w:szCs w:val="32"/>
        </w:rPr>
        <w:t>与</w:t>
      </w:r>
      <w:r w:rsidR="007B27B7" w:rsidRPr="001C3ABB">
        <w:rPr>
          <w:rFonts w:ascii="仿宋_GB2312" w:eastAsia="仿宋_GB2312" w:hint="eastAsia"/>
          <w:sz w:val="32"/>
          <w:szCs w:val="32"/>
        </w:rPr>
        <w:t>企业经办机构</w:t>
      </w:r>
      <w:r w:rsidR="007B27B7">
        <w:rPr>
          <w:rFonts w:ascii="仿宋_GB2312" w:eastAsia="仿宋_GB2312" w:hint="eastAsia"/>
          <w:sz w:val="32"/>
          <w:szCs w:val="32"/>
        </w:rPr>
        <w:t>做好</w:t>
      </w:r>
      <w:r w:rsidR="007B27B7" w:rsidRPr="001C3ABB">
        <w:rPr>
          <w:rFonts w:ascii="仿宋_GB2312" w:eastAsia="仿宋_GB2312" w:hint="eastAsia"/>
          <w:sz w:val="32"/>
          <w:szCs w:val="32"/>
        </w:rPr>
        <w:t>移交</w:t>
      </w:r>
      <w:r w:rsidR="007B27B7">
        <w:rPr>
          <w:rFonts w:ascii="仿宋_GB2312" w:eastAsia="仿宋_GB2312" w:hint="eastAsia"/>
          <w:sz w:val="32"/>
          <w:szCs w:val="32"/>
        </w:rPr>
        <w:t>工作</w:t>
      </w:r>
      <w:r w:rsidR="0077522D" w:rsidRPr="001C3ABB">
        <w:rPr>
          <w:rFonts w:ascii="仿宋_GB2312" w:eastAsia="仿宋_GB2312" w:hint="eastAsia"/>
          <w:sz w:val="32"/>
          <w:szCs w:val="32"/>
        </w:rPr>
        <w:t>，</w:t>
      </w:r>
      <w:r w:rsidR="007B27B7" w:rsidRPr="001C3ABB">
        <w:rPr>
          <w:rFonts w:ascii="仿宋_GB2312" w:eastAsia="仿宋_GB2312" w:hint="eastAsia"/>
          <w:sz w:val="32"/>
          <w:szCs w:val="32"/>
        </w:rPr>
        <w:t>从2016年起按企业职工基本养老金调整办法执行。</w:t>
      </w:r>
    </w:p>
    <w:p w:rsidR="001C3ABB" w:rsidRPr="001C3ABB" w:rsidRDefault="00AC258D" w:rsidP="00AC258D">
      <w:pPr>
        <w:ind w:firstLine="640"/>
        <w:rPr>
          <w:rFonts w:ascii="仿宋_GB2312" w:eastAsia="仿宋_GB2312"/>
          <w:sz w:val="32"/>
          <w:szCs w:val="32"/>
        </w:rPr>
      </w:pPr>
      <w:r w:rsidRPr="00AC258D">
        <w:rPr>
          <w:rFonts w:ascii="仿宋_GB2312" w:eastAsia="仿宋_GB2312" w:hint="eastAsia"/>
          <w:sz w:val="32"/>
          <w:szCs w:val="32"/>
        </w:rPr>
        <w:t>机关事业单位经办机构提供退休人员</w:t>
      </w:r>
      <w:r>
        <w:rPr>
          <w:rFonts w:ascii="仿宋_GB2312" w:eastAsia="仿宋_GB2312" w:hint="eastAsia"/>
          <w:sz w:val="32"/>
          <w:szCs w:val="32"/>
        </w:rPr>
        <w:t>，自</w:t>
      </w:r>
      <w:r w:rsidRPr="00AC258D">
        <w:rPr>
          <w:rFonts w:ascii="仿宋_GB2312" w:eastAsia="仿宋_GB2312" w:hint="eastAsia"/>
          <w:sz w:val="32"/>
          <w:szCs w:val="32"/>
        </w:rPr>
        <w:t>2016年1月起</w:t>
      </w:r>
      <w:proofErr w:type="gramStart"/>
      <w:r w:rsidRPr="00AC258D">
        <w:rPr>
          <w:rFonts w:ascii="仿宋_GB2312" w:eastAsia="仿宋_GB2312" w:hint="eastAsia"/>
          <w:sz w:val="32"/>
          <w:szCs w:val="32"/>
        </w:rPr>
        <w:t>至办理</w:t>
      </w:r>
      <w:proofErr w:type="gramEnd"/>
      <w:r>
        <w:rPr>
          <w:rFonts w:ascii="仿宋_GB2312" w:eastAsia="仿宋_GB2312" w:hint="eastAsia"/>
          <w:sz w:val="32"/>
          <w:szCs w:val="32"/>
        </w:rPr>
        <w:t>时</w:t>
      </w:r>
      <w:r w:rsidRPr="00AC258D">
        <w:rPr>
          <w:rFonts w:ascii="仿宋_GB2312" w:eastAsia="仿宋_GB2312" w:hint="eastAsia"/>
          <w:sz w:val="32"/>
          <w:szCs w:val="32"/>
        </w:rPr>
        <w:t>应发养老金的月发放明细,作为计算事业与企业退休费差额依据。</w:t>
      </w:r>
      <w:r>
        <w:rPr>
          <w:rFonts w:ascii="仿宋_GB2312" w:eastAsia="仿宋_GB2312" w:hint="eastAsia"/>
          <w:sz w:val="32"/>
          <w:szCs w:val="32"/>
        </w:rPr>
        <w:t>企业</w:t>
      </w:r>
      <w:r w:rsidR="0077522D" w:rsidRPr="001C3ABB">
        <w:rPr>
          <w:rFonts w:ascii="仿宋_GB2312" w:eastAsia="仿宋_GB2312" w:hint="eastAsia"/>
          <w:sz w:val="32"/>
          <w:szCs w:val="32"/>
        </w:rPr>
        <w:t>经办机构按照移交的退休费标准、统筹内退休人员补贴、</w:t>
      </w:r>
      <w:proofErr w:type="gramStart"/>
      <w:r w:rsidR="0077522D" w:rsidRPr="001C3ABB">
        <w:rPr>
          <w:rFonts w:ascii="仿宋_GB2312" w:eastAsia="仿宋_GB2312" w:hint="eastAsia"/>
          <w:sz w:val="32"/>
          <w:szCs w:val="32"/>
        </w:rPr>
        <w:t>按辽人社发</w:t>
      </w:r>
      <w:proofErr w:type="gramEnd"/>
      <w:r w:rsidR="0077522D" w:rsidRPr="001C3ABB">
        <w:rPr>
          <w:rFonts w:ascii="仿宋_GB2312" w:eastAsia="仿宋_GB2312" w:hint="eastAsia"/>
          <w:sz w:val="32"/>
          <w:szCs w:val="32"/>
        </w:rPr>
        <w:t>〔2015〕123号文件增加部分之和</w:t>
      </w:r>
      <w:r w:rsidR="007B27B7">
        <w:rPr>
          <w:rFonts w:ascii="仿宋_GB2312" w:eastAsia="仿宋_GB2312" w:hint="eastAsia"/>
          <w:sz w:val="32"/>
          <w:szCs w:val="32"/>
        </w:rPr>
        <w:t>，</w:t>
      </w:r>
      <w:r w:rsidR="00E841C4" w:rsidRPr="001C3ABB">
        <w:rPr>
          <w:rFonts w:ascii="仿宋_GB2312" w:eastAsia="仿宋_GB2312" w:hint="eastAsia"/>
          <w:sz w:val="32"/>
          <w:szCs w:val="32"/>
        </w:rPr>
        <w:t>结合2016年、2017年</w:t>
      </w:r>
      <w:r w:rsidR="005E1B66">
        <w:rPr>
          <w:rFonts w:ascii="仿宋_GB2312" w:eastAsia="仿宋_GB2312" w:hint="eastAsia"/>
          <w:sz w:val="32"/>
          <w:szCs w:val="32"/>
        </w:rPr>
        <w:t>、2018年</w:t>
      </w:r>
      <w:r w:rsidR="00E841C4" w:rsidRPr="001C3ABB">
        <w:rPr>
          <w:rFonts w:ascii="仿宋_GB2312" w:eastAsia="仿宋_GB2312" w:hint="eastAsia"/>
          <w:sz w:val="32"/>
          <w:szCs w:val="32"/>
        </w:rPr>
        <w:t>机关事业单位和企业养老保险退休金调整政策，进行差额结算、予以多退少补。</w:t>
      </w:r>
    </w:p>
    <w:p w:rsidR="001C3ABB" w:rsidRPr="00A60F55" w:rsidRDefault="001C3ABB" w:rsidP="001C3ABB">
      <w:pPr>
        <w:ind w:firstLine="640"/>
        <w:rPr>
          <w:rFonts w:ascii="仿宋_GB2312" w:eastAsia="仿宋_GB2312"/>
          <w:color w:val="FF0000"/>
          <w:sz w:val="32"/>
          <w:szCs w:val="32"/>
        </w:rPr>
      </w:pPr>
      <w:r>
        <w:rPr>
          <w:rFonts w:ascii="仿宋_GB2312" w:eastAsia="仿宋_GB2312" w:hint="eastAsia"/>
          <w:sz w:val="32"/>
          <w:szCs w:val="32"/>
        </w:rPr>
        <w:t>2.</w:t>
      </w:r>
      <w:r w:rsidR="008A48C2" w:rsidRPr="008A48C2">
        <w:rPr>
          <w:rFonts w:ascii="仿宋_GB2312" w:eastAsia="仿宋_GB2312" w:hint="eastAsia"/>
          <w:sz w:val="32"/>
          <w:szCs w:val="32"/>
        </w:rPr>
        <w:t xml:space="preserve"> </w:t>
      </w:r>
      <w:r w:rsidR="008A48C2" w:rsidRPr="001C3ABB">
        <w:rPr>
          <w:rFonts w:ascii="仿宋_GB2312" w:eastAsia="仿宋_GB2312" w:hint="eastAsia"/>
          <w:sz w:val="32"/>
          <w:szCs w:val="32"/>
        </w:rPr>
        <w:t>2014年10月1日后达到退休年龄已办理退休并发放养老金的人员，先比照在职人员办理养老保险关系转移，在企业经办机构调整缴费</w:t>
      </w:r>
      <w:proofErr w:type="gramStart"/>
      <w:r w:rsidR="008A48C2" w:rsidRPr="001C3ABB">
        <w:rPr>
          <w:rFonts w:ascii="仿宋_GB2312" w:eastAsia="仿宋_GB2312" w:hint="eastAsia"/>
          <w:sz w:val="32"/>
          <w:szCs w:val="32"/>
        </w:rPr>
        <w:t>基数差并补缴</w:t>
      </w:r>
      <w:proofErr w:type="gramEnd"/>
      <w:r w:rsidR="008A48C2" w:rsidRPr="001C3ABB">
        <w:rPr>
          <w:rFonts w:ascii="仿宋_GB2312" w:eastAsia="仿宋_GB2312" w:hint="eastAsia"/>
          <w:sz w:val="32"/>
          <w:szCs w:val="32"/>
        </w:rPr>
        <w:t>（按前述“补缴养老保险费”的补缴办法处理），再按照企业职工基本养老金计发办法和企业退休人员基本养老金调整政策，重新确定每个人的养老金</w:t>
      </w:r>
      <w:r w:rsidR="008A48C2">
        <w:rPr>
          <w:rFonts w:ascii="仿宋_GB2312" w:eastAsia="仿宋_GB2312" w:hint="eastAsia"/>
          <w:sz w:val="32"/>
          <w:szCs w:val="32"/>
        </w:rPr>
        <w:t>及</w:t>
      </w:r>
      <w:r w:rsidR="008A48C2" w:rsidRPr="001C3ABB">
        <w:rPr>
          <w:rFonts w:ascii="仿宋_GB2312" w:eastAsia="仿宋_GB2312" w:hint="eastAsia"/>
          <w:sz w:val="32"/>
          <w:szCs w:val="32"/>
        </w:rPr>
        <w:t>“待遇差”，并从本人办理退休的次月起按重新确定的养老金与之前同期发放的退休费逐月进行比对，产生的差额多退少补。</w:t>
      </w:r>
      <w:r w:rsidR="008A48C2" w:rsidRPr="00A60F55">
        <w:rPr>
          <w:rFonts w:ascii="仿宋_GB2312" w:eastAsia="仿宋_GB2312"/>
          <w:color w:val="FF0000"/>
          <w:sz w:val="32"/>
          <w:szCs w:val="32"/>
        </w:rPr>
        <w:t xml:space="preserve"> </w:t>
      </w:r>
    </w:p>
    <w:p w:rsidR="001C3ABB" w:rsidRDefault="001C3ABB" w:rsidP="001C3ABB">
      <w:pPr>
        <w:ind w:firstLine="640"/>
        <w:rPr>
          <w:rFonts w:ascii="仿宋_GB2312" w:eastAsia="仿宋_GB2312"/>
          <w:sz w:val="32"/>
          <w:szCs w:val="32"/>
        </w:rPr>
      </w:pPr>
      <w:r>
        <w:rPr>
          <w:rFonts w:ascii="仿宋_GB2312" w:eastAsia="仿宋_GB2312" w:hint="eastAsia"/>
          <w:sz w:val="32"/>
          <w:szCs w:val="32"/>
        </w:rPr>
        <w:t>3.</w:t>
      </w:r>
      <w:r w:rsidR="008A48C2">
        <w:rPr>
          <w:rFonts w:ascii="仿宋_GB2312" w:eastAsia="仿宋_GB2312" w:hint="eastAsia"/>
          <w:sz w:val="32"/>
          <w:szCs w:val="32"/>
        </w:rPr>
        <w:t>2014年9月30日后死亡的参保人员，移交时已办结丧葬抚恤待遇的，不再重新计算待遇。移交后死亡的</w:t>
      </w:r>
      <w:r w:rsidR="008A48C2" w:rsidRPr="001C3ABB">
        <w:rPr>
          <w:rFonts w:ascii="仿宋_GB2312" w:eastAsia="仿宋_GB2312" w:hint="eastAsia"/>
          <w:sz w:val="32"/>
          <w:szCs w:val="32"/>
        </w:rPr>
        <w:t>参保人员，</w:t>
      </w:r>
      <w:r w:rsidR="008A48C2">
        <w:rPr>
          <w:rFonts w:ascii="仿宋_GB2312" w:eastAsia="仿宋_GB2312" w:hint="eastAsia"/>
          <w:sz w:val="32"/>
          <w:szCs w:val="32"/>
        </w:rPr>
        <w:t>由企业经办机构按照</w:t>
      </w:r>
      <w:r w:rsidR="00711BDA" w:rsidRPr="006209B1">
        <w:rPr>
          <w:rFonts w:ascii="仿宋_GB2312" w:eastAsia="仿宋_GB2312" w:hint="eastAsia"/>
          <w:sz w:val="32"/>
          <w:szCs w:val="32"/>
        </w:rPr>
        <w:t>企业</w:t>
      </w:r>
      <w:r w:rsidR="008A48C2">
        <w:rPr>
          <w:rFonts w:ascii="仿宋_GB2312" w:eastAsia="仿宋_GB2312" w:hint="eastAsia"/>
          <w:sz w:val="32"/>
          <w:szCs w:val="32"/>
        </w:rPr>
        <w:t>职工基本养老保险有关政策发放丧葬及救济待遇。</w:t>
      </w:r>
    </w:p>
    <w:p w:rsidR="008A48C2" w:rsidRPr="00711BDA" w:rsidRDefault="008A48C2" w:rsidP="001C3ABB">
      <w:pPr>
        <w:ind w:firstLine="640"/>
        <w:rPr>
          <w:rFonts w:ascii="仿宋_GB2312" w:eastAsia="仿宋_GB2312"/>
          <w:sz w:val="32"/>
          <w:szCs w:val="32"/>
        </w:rPr>
      </w:pPr>
      <w:r>
        <w:rPr>
          <w:rFonts w:ascii="仿宋_GB2312" w:eastAsia="仿宋_GB2312" w:hint="eastAsia"/>
          <w:sz w:val="32"/>
          <w:szCs w:val="32"/>
        </w:rPr>
        <w:t>4.</w:t>
      </w:r>
      <w:r w:rsidRPr="001C3ABB">
        <w:rPr>
          <w:rFonts w:ascii="仿宋_GB2312" w:eastAsia="仿宋_GB2312" w:hint="eastAsia"/>
          <w:sz w:val="32"/>
          <w:szCs w:val="32"/>
        </w:rPr>
        <w:t>2014年9月30日前供养直系亲属人员</w:t>
      </w:r>
      <w:r>
        <w:rPr>
          <w:rFonts w:ascii="仿宋_GB2312" w:eastAsia="仿宋_GB2312" w:hint="eastAsia"/>
          <w:sz w:val="32"/>
          <w:szCs w:val="32"/>
        </w:rPr>
        <w:t>不再重新审核</w:t>
      </w:r>
      <w:r w:rsidRPr="001C3ABB">
        <w:rPr>
          <w:rFonts w:ascii="仿宋_GB2312" w:eastAsia="仿宋_GB2312" w:hint="eastAsia"/>
          <w:sz w:val="32"/>
          <w:szCs w:val="32"/>
        </w:rPr>
        <w:t>，</w:t>
      </w:r>
      <w:r>
        <w:rPr>
          <w:rFonts w:ascii="仿宋_GB2312" w:eastAsia="仿宋_GB2312" w:hint="eastAsia"/>
          <w:sz w:val="32"/>
          <w:szCs w:val="32"/>
        </w:rPr>
        <w:t>由</w:t>
      </w:r>
      <w:r w:rsidRPr="001C3ABB">
        <w:rPr>
          <w:rFonts w:ascii="仿宋_GB2312" w:eastAsia="仿宋_GB2312" w:hint="eastAsia"/>
          <w:sz w:val="32"/>
          <w:szCs w:val="32"/>
        </w:rPr>
        <w:t>机关事业经办机构按照现发放标准移交，企业经办机构接续</w:t>
      </w:r>
      <w:r>
        <w:rPr>
          <w:rFonts w:ascii="仿宋_GB2312" w:eastAsia="仿宋_GB2312" w:hint="eastAsia"/>
          <w:sz w:val="32"/>
          <w:szCs w:val="32"/>
        </w:rPr>
        <w:t>按原标准</w:t>
      </w:r>
      <w:r w:rsidRPr="001C3ABB">
        <w:rPr>
          <w:rFonts w:ascii="仿宋_GB2312" w:eastAsia="仿宋_GB2312" w:hint="eastAsia"/>
          <w:sz w:val="32"/>
          <w:szCs w:val="32"/>
        </w:rPr>
        <w:t>发放，</w:t>
      </w:r>
      <w:r w:rsidRPr="00711BDA">
        <w:rPr>
          <w:rFonts w:ascii="仿宋_GB2312" w:eastAsia="仿宋_GB2312" w:hint="eastAsia"/>
          <w:sz w:val="32"/>
          <w:szCs w:val="32"/>
        </w:rPr>
        <w:t>待企业职工基本养老保险供养直系亲属待</w:t>
      </w:r>
      <w:r w:rsidRPr="00711BDA">
        <w:rPr>
          <w:rFonts w:ascii="仿宋_GB2312" w:eastAsia="仿宋_GB2312" w:hint="eastAsia"/>
          <w:sz w:val="32"/>
          <w:szCs w:val="32"/>
        </w:rPr>
        <w:lastRenderedPageBreak/>
        <w:t>遇标准提高后，高于原标准时随之调整执行。2014年10月1日起发生的供养直系亲属养老保险待遇按照企业职工养老保险政策执行。</w:t>
      </w:r>
    </w:p>
    <w:p w:rsidR="001C3ABB" w:rsidRPr="001C3ABB" w:rsidRDefault="00E841C4" w:rsidP="001C3ABB">
      <w:pPr>
        <w:ind w:firstLine="640"/>
        <w:rPr>
          <w:rFonts w:ascii="黑体" w:eastAsia="黑体" w:hAnsi="黑体"/>
          <w:sz w:val="32"/>
          <w:szCs w:val="32"/>
        </w:rPr>
      </w:pPr>
      <w:r w:rsidRPr="001C3ABB">
        <w:rPr>
          <w:rFonts w:ascii="黑体" w:eastAsia="黑体" w:hAnsi="黑体" w:hint="eastAsia"/>
          <w:sz w:val="32"/>
          <w:szCs w:val="32"/>
        </w:rPr>
        <w:t>五、基金结算</w:t>
      </w:r>
    </w:p>
    <w:p w:rsidR="00E841C4" w:rsidRDefault="00E841C4" w:rsidP="001C3ABB">
      <w:pPr>
        <w:ind w:firstLine="640"/>
        <w:rPr>
          <w:rFonts w:ascii="仿宋_GB2312" w:eastAsia="仿宋_GB2312"/>
          <w:sz w:val="32"/>
          <w:szCs w:val="32"/>
        </w:rPr>
      </w:pPr>
      <w:r w:rsidRPr="001C3ABB">
        <w:rPr>
          <w:rFonts w:ascii="仿宋_GB2312" w:eastAsia="仿宋_GB2312" w:hint="eastAsia"/>
          <w:sz w:val="32"/>
          <w:szCs w:val="32"/>
        </w:rPr>
        <w:t>以上操作办法涉及养老保险基金的，由</w:t>
      </w:r>
      <w:proofErr w:type="gramStart"/>
      <w:r w:rsidRPr="001C3ABB">
        <w:rPr>
          <w:rFonts w:ascii="仿宋_GB2312" w:eastAsia="仿宋_GB2312" w:hint="eastAsia"/>
          <w:sz w:val="32"/>
          <w:szCs w:val="32"/>
        </w:rPr>
        <w:t>人社部门</w:t>
      </w:r>
      <w:proofErr w:type="gramEnd"/>
      <w:r w:rsidRPr="001C3ABB">
        <w:rPr>
          <w:rFonts w:ascii="仿宋_GB2312" w:eastAsia="仿宋_GB2312" w:hint="eastAsia"/>
          <w:sz w:val="32"/>
          <w:szCs w:val="32"/>
        </w:rPr>
        <w:t>会同财政部门</w:t>
      </w:r>
      <w:r w:rsidR="0093746C">
        <w:rPr>
          <w:rFonts w:ascii="仿宋_GB2312" w:eastAsia="仿宋_GB2312" w:hint="eastAsia"/>
          <w:sz w:val="32"/>
          <w:szCs w:val="32"/>
        </w:rPr>
        <w:t>、税务部门，</w:t>
      </w:r>
      <w:r w:rsidRPr="001C3ABB">
        <w:rPr>
          <w:rFonts w:ascii="仿宋_GB2312" w:eastAsia="仿宋_GB2312" w:hint="eastAsia"/>
          <w:sz w:val="32"/>
          <w:szCs w:val="32"/>
        </w:rPr>
        <w:t>组织企业经办机构、机关事业单位经办机构共同按照企业基本养老保险基金、机关事业单位养老保险基金两项基金分别核算、分别管</w:t>
      </w:r>
      <w:r w:rsidR="0093746C">
        <w:rPr>
          <w:rFonts w:ascii="仿宋_GB2312" w:eastAsia="仿宋_GB2312" w:hint="eastAsia"/>
          <w:sz w:val="32"/>
          <w:szCs w:val="32"/>
        </w:rPr>
        <w:t>理</w:t>
      </w:r>
      <w:r w:rsidRPr="001C3ABB">
        <w:rPr>
          <w:rFonts w:ascii="仿宋_GB2312" w:eastAsia="仿宋_GB2312" w:hint="eastAsia"/>
          <w:sz w:val="32"/>
          <w:szCs w:val="32"/>
        </w:rPr>
        <w:t>的原则进行差额结算。</w:t>
      </w:r>
    </w:p>
    <w:p w:rsidR="0093746C" w:rsidRDefault="0093746C" w:rsidP="0093746C">
      <w:pPr>
        <w:ind w:firstLine="640"/>
        <w:rPr>
          <w:rFonts w:ascii="仿宋_GB2312" w:eastAsia="仿宋_GB2312"/>
          <w:sz w:val="32"/>
          <w:szCs w:val="32"/>
        </w:rPr>
      </w:pPr>
      <w:r>
        <w:rPr>
          <w:rFonts w:ascii="仿宋_GB2312" w:eastAsia="仿宋_GB2312" w:hint="eastAsia"/>
          <w:sz w:val="32"/>
          <w:szCs w:val="32"/>
        </w:rPr>
        <w:t>1.社会组织应参加企业职工养老保险起始时间与完成基金结算时间之间的错后期内，按照企业职工基本养老保险政策错</w:t>
      </w:r>
      <w:proofErr w:type="gramStart"/>
      <w:r>
        <w:rPr>
          <w:rFonts w:ascii="仿宋_GB2312" w:eastAsia="仿宋_GB2312" w:hint="eastAsia"/>
          <w:sz w:val="32"/>
          <w:szCs w:val="32"/>
        </w:rPr>
        <w:t>后期内</w:t>
      </w:r>
      <w:proofErr w:type="gramEnd"/>
      <w:r>
        <w:rPr>
          <w:rFonts w:ascii="仿宋_GB2312" w:eastAsia="仿宋_GB2312" w:hint="eastAsia"/>
          <w:sz w:val="32"/>
          <w:szCs w:val="32"/>
        </w:rPr>
        <w:t>缴费基数不足部分允许一次性补齐（免征滞纳金）。</w:t>
      </w:r>
    </w:p>
    <w:p w:rsidR="002D6B5D" w:rsidRDefault="0093746C" w:rsidP="001C3ABB">
      <w:pPr>
        <w:ind w:firstLine="640"/>
        <w:rPr>
          <w:rFonts w:ascii="仿宋_GB2312" w:eastAsia="仿宋_GB2312"/>
          <w:sz w:val="32"/>
          <w:szCs w:val="32"/>
        </w:rPr>
      </w:pPr>
      <w:r>
        <w:rPr>
          <w:rFonts w:ascii="仿宋_GB2312" w:eastAsia="仿宋_GB2312" w:hint="eastAsia"/>
          <w:sz w:val="32"/>
          <w:szCs w:val="32"/>
        </w:rPr>
        <w:t>2</w:t>
      </w:r>
      <w:r w:rsidR="002D6B5D">
        <w:rPr>
          <w:rFonts w:ascii="仿宋_GB2312" w:eastAsia="仿宋_GB2312" w:hint="eastAsia"/>
          <w:sz w:val="32"/>
          <w:szCs w:val="32"/>
        </w:rPr>
        <w:t>.</w:t>
      </w:r>
      <w:r w:rsidR="002D6B5D" w:rsidRPr="001C3ABB">
        <w:rPr>
          <w:rFonts w:ascii="仿宋_GB2312" w:eastAsia="仿宋_GB2312" w:hint="eastAsia"/>
          <w:sz w:val="32"/>
          <w:szCs w:val="32"/>
        </w:rPr>
        <w:t>机关事业单位经办机构</w:t>
      </w:r>
      <w:r w:rsidR="002D6B5D">
        <w:rPr>
          <w:rFonts w:ascii="仿宋_GB2312" w:eastAsia="仿宋_GB2312" w:hint="eastAsia"/>
          <w:sz w:val="32"/>
          <w:szCs w:val="32"/>
        </w:rPr>
        <w:t>与社会团体做好转企</w:t>
      </w:r>
      <w:proofErr w:type="gramStart"/>
      <w:r w:rsidR="002D6B5D">
        <w:rPr>
          <w:rFonts w:ascii="仿宋_GB2312" w:eastAsia="仿宋_GB2312" w:hint="eastAsia"/>
          <w:sz w:val="32"/>
          <w:szCs w:val="32"/>
        </w:rPr>
        <w:t>前基金</w:t>
      </w:r>
      <w:proofErr w:type="gramEnd"/>
      <w:r w:rsidR="002D6B5D">
        <w:rPr>
          <w:rFonts w:ascii="仿宋_GB2312" w:eastAsia="仿宋_GB2312" w:hint="eastAsia"/>
          <w:sz w:val="32"/>
          <w:szCs w:val="32"/>
        </w:rPr>
        <w:t>收支结算工作，包括养老保险费、统筹内养老金、</w:t>
      </w:r>
      <w:r w:rsidR="00A676EF">
        <w:rPr>
          <w:rFonts w:ascii="仿宋_GB2312" w:eastAsia="仿宋_GB2312" w:hint="eastAsia"/>
          <w:sz w:val="32"/>
          <w:szCs w:val="32"/>
        </w:rPr>
        <w:t>养老保险</w:t>
      </w:r>
      <w:r w:rsidR="002D6B5D">
        <w:rPr>
          <w:rFonts w:ascii="仿宋_GB2312" w:eastAsia="仿宋_GB2312" w:hint="eastAsia"/>
          <w:sz w:val="32"/>
          <w:szCs w:val="32"/>
        </w:rPr>
        <w:t>转移资金等项目。</w:t>
      </w:r>
    </w:p>
    <w:p w:rsidR="005D4C4E" w:rsidRDefault="0093746C" w:rsidP="005D4C4E">
      <w:pPr>
        <w:ind w:firstLine="640"/>
        <w:rPr>
          <w:rFonts w:ascii="仿宋_GB2312" w:eastAsia="仿宋_GB2312"/>
          <w:sz w:val="32"/>
          <w:szCs w:val="32"/>
        </w:rPr>
      </w:pPr>
      <w:r>
        <w:rPr>
          <w:rFonts w:ascii="仿宋_GB2312" w:eastAsia="仿宋_GB2312" w:hint="eastAsia"/>
          <w:sz w:val="32"/>
          <w:szCs w:val="32"/>
        </w:rPr>
        <w:t>3.</w:t>
      </w:r>
      <w:r w:rsidR="002D6B5D" w:rsidRPr="001C3ABB">
        <w:rPr>
          <w:rFonts w:ascii="仿宋_GB2312" w:eastAsia="仿宋_GB2312" w:hint="eastAsia"/>
          <w:sz w:val="32"/>
          <w:szCs w:val="32"/>
        </w:rPr>
        <w:t>企业经办机构</w:t>
      </w:r>
      <w:r w:rsidR="00A676EF">
        <w:rPr>
          <w:rFonts w:ascii="仿宋_GB2312" w:eastAsia="仿宋_GB2312" w:hint="eastAsia"/>
          <w:sz w:val="32"/>
          <w:szCs w:val="32"/>
        </w:rPr>
        <w:t>做好转企后的基金收支结算工作，包括养老保险费补缴、发放养老金、接收转移资金等项目。</w:t>
      </w:r>
    </w:p>
    <w:p w:rsidR="007B448F" w:rsidRDefault="007B448F" w:rsidP="001C3ABB">
      <w:pPr>
        <w:ind w:leftChars="200" w:left="420" w:firstLineChars="1650" w:firstLine="5280"/>
        <w:rPr>
          <w:rFonts w:ascii="仿宋_GB2312" w:eastAsia="仿宋_GB2312"/>
          <w:sz w:val="32"/>
          <w:szCs w:val="32"/>
        </w:rPr>
      </w:pPr>
    </w:p>
    <w:p w:rsidR="0093746C" w:rsidRDefault="0093746C" w:rsidP="001C3ABB">
      <w:pPr>
        <w:ind w:leftChars="200" w:left="420" w:firstLineChars="1650" w:firstLine="5280"/>
        <w:rPr>
          <w:rFonts w:ascii="仿宋_GB2312" w:eastAsia="仿宋_GB2312"/>
          <w:sz w:val="32"/>
          <w:szCs w:val="32"/>
        </w:rPr>
      </w:pPr>
    </w:p>
    <w:p w:rsidR="00E841C4" w:rsidRPr="001C3ABB" w:rsidRDefault="00E841C4" w:rsidP="001C3ABB">
      <w:pPr>
        <w:ind w:leftChars="200" w:left="420" w:firstLineChars="1650" w:firstLine="5280"/>
        <w:rPr>
          <w:rFonts w:ascii="仿宋_GB2312" w:eastAsia="仿宋_GB2312"/>
          <w:sz w:val="32"/>
          <w:szCs w:val="32"/>
        </w:rPr>
      </w:pPr>
      <w:r w:rsidRPr="001C3ABB">
        <w:rPr>
          <w:rFonts w:ascii="仿宋_GB2312" w:eastAsia="仿宋_GB2312" w:hint="eastAsia"/>
          <w:sz w:val="32"/>
          <w:szCs w:val="32"/>
        </w:rPr>
        <w:t>201</w:t>
      </w:r>
      <w:r w:rsidR="006209B1">
        <w:rPr>
          <w:rFonts w:ascii="仿宋_GB2312" w:eastAsia="仿宋_GB2312" w:hint="eastAsia"/>
          <w:sz w:val="32"/>
          <w:szCs w:val="32"/>
        </w:rPr>
        <w:t>9</w:t>
      </w:r>
      <w:r w:rsidRPr="001C3ABB">
        <w:rPr>
          <w:rFonts w:ascii="仿宋_GB2312" w:eastAsia="仿宋_GB2312" w:hint="eastAsia"/>
          <w:sz w:val="32"/>
          <w:szCs w:val="32"/>
        </w:rPr>
        <w:t>年</w:t>
      </w:r>
      <w:r w:rsidR="00D75438">
        <w:rPr>
          <w:rFonts w:ascii="仿宋_GB2312" w:eastAsia="仿宋_GB2312" w:hint="eastAsia"/>
          <w:sz w:val="32"/>
          <w:szCs w:val="32"/>
        </w:rPr>
        <w:t xml:space="preserve">  </w:t>
      </w:r>
      <w:r w:rsidRPr="001C3ABB">
        <w:rPr>
          <w:rFonts w:ascii="仿宋_GB2312" w:eastAsia="仿宋_GB2312" w:hint="eastAsia"/>
          <w:sz w:val="32"/>
          <w:szCs w:val="32"/>
        </w:rPr>
        <w:t>月</w:t>
      </w:r>
      <w:r w:rsidR="00D75438">
        <w:rPr>
          <w:rFonts w:ascii="仿宋_GB2312" w:eastAsia="仿宋_GB2312" w:hint="eastAsia"/>
          <w:sz w:val="32"/>
          <w:szCs w:val="32"/>
        </w:rPr>
        <w:t xml:space="preserve">  </w:t>
      </w:r>
      <w:r w:rsidRPr="001C3ABB">
        <w:rPr>
          <w:rFonts w:ascii="仿宋_GB2312" w:eastAsia="仿宋_GB2312" w:hint="eastAsia"/>
          <w:sz w:val="32"/>
          <w:szCs w:val="32"/>
        </w:rPr>
        <w:t>日</w:t>
      </w:r>
    </w:p>
    <w:p w:rsidR="001C3ABB" w:rsidRDefault="001C3ABB" w:rsidP="00A47262">
      <w:pPr>
        <w:ind w:firstLineChars="0"/>
      </w:pPr>
    </w:p>
    <w:p w:rsidR="001C3ABB" w:rsidRPr="00971A9B" w:rsidRDefault="001C3ABB" w:rsidP="00A47262">
      <w:pPr>
        <w:ind w:firstLineChars="0" w:firstLine="0"/>
        <w:sectPr w:rsidR="001C3ABB" w:rsidRPr="00971A9B" w:rsidSect="003371A9">
          <w:headerReference w:type="even" r:id="rId7"/>
          <w:headerReference w:type="default" r:id="rId8"/>
          <w:footerReference w:type="even" r:id="rId9"/>
          <w:footerReference w:type="default" r:id="rId10"/>
          <w:headerReference w:type="first" r:id="rId11"/>
          <w:footerReference w:type="first" r:id="rId12"/>
          <w:pgSz w:w="11906" w:h="16838" w:code="9"/>
          <w:pgMar w:top="1440" w:right="1797" w:bottom="1440" w:left="1797" w:header="851" w:footer="992" w:gutter="0"/>
          <w:cols w:space="425"/>
          <w:docGrid w:type="lines" w:linePitch="312"/>
        </w:sectPr>
      </w:pPr>
    </w:p>
    <w:p w:rsidR="006209B1" w:rsidRDefault="006209B1" w:rsidP="006209B1">
      <w:pPr>
        <w:spacing w:line="240" w:lineRule="auto"/>
        <w:ind w:firstLineChars="0" w:firstLine="0"/>
        <w:rPr>
          <w:rFonts w:ascii="仿宋_GB2312" w:eastAsia="仿宋_GB2312"/>
          <w:sz w:val="32"/>
          <w:szCs w:val="32"/>
        </w:rPr>
      </w:pPr>
      <w:r w:rsidRPr="006209B1">
        <w:rPr>
          <w:rFonts w:ascii="仿宋_GB2312" w:eastAsia="仿宋_GB2312" w:hint="eastAsia"/>
          <w:sz w:val="32"/>
          <w:szCs w:val="32"/>
        </w:rPr>
        <w:lastRenderedPageBreak/>
        <w:t>附表</w:t>
      </w:r>
      <w:r w:rsidR="001438A6">
        <w:rPr>
          <w:rFonts w:ascii="仿宋_GB2312" w:eastAsia="仿宋_GB2312" w:hint="eastAsia"/>
          <w:sz w:val="32"/>
          <w:szCs w:val="32"/>
        </w:rPr>
        <w:t>一</w:t>
      </w:r>
    </w:p>
    <w:p w:rsidR="006209B1" w:rsidRPr="006209B1" w:rsidRDefault="006209B1" w:rsidP="006209B1">
      <w:pPr>
        <w:spacing w:line="240" w:lineRule="auto"/>
        <w:ind w:firstLineChars="0" w:firstLine="0"/>
        <w:rPr>
          <w:rFonts w:ascii="仿宋_GB2312" w:eastAsia="仿宋_GB2312"/>
          <w:sz w:val="32"/>
          <w:szCs w:val="32"/>
        </w:rPr>
      </w:pPr>
      <w:r w:rsidRPr="006209B1">
        <w:rPr>
          <w:rFonts w:hint="eastAsia"/>
          <w:noProof/>
        </w:rPr>
        <w:drawing>
          <wp:inline distT="0" distB="0" distL="0" distR="0">
            <wp:extent cx="8562975" cy="45053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62975" cy="4505325"/>
                    </a:xfrm>
                    <a:prstGeom prst="rect">
                      <a:avLst/>
                    </a:prstGeom>
                    <a:noFill/>
                    <a:ln>
                      <a:noFill/>
                    </a:ln>
                  </pic:spPr>
                </pic:pic>
              </a:graphicData>
            </a:graphic>
          </wp:inline>
        </w:drawing>
      </w:r>
    </w:p>
    <w:p w:rsidR="00E841C4" w:rsidRPr="00E841C4" w:rsidRDefault="00E841C4" w:rsidP="00E841C4">
      <w:pPr>
        <w:spacing w:line="240" w:lineRule="auto"/>
        <w:ind w:firstLineChars="0" w:firstLine="0"/>
        <w:rPr>
          <w:rFonts w:ascii="仿宋_GB2312" w:eastAsia="仿宋_GB2312" w:hAnsiTheme="minorHAnsi"/>
          <w:sz w:val="32"/>
          <w:szCs w:val="32"/>
        </w:rPr>
      </w:pPr>
      <w:r w:rsidRPr="00E841C4">
        <w:rPr>
          <w:rFonts w:ascii="仿宋_GB2312" w:eastAsia="仿宋_GB2312" w:hAnsiTheme="minorHAnsi" w:hint="eastAsia"/>
          <w:sz w:val="32"/>
          <w:szCs w:val="32"/>
        </w:rPr>
        <w:lastRenderedPageBreak/>
        <w:t>附表</w:t>
      </w:r>
      <w:r w:rsidR="006209B1">
        <w:rPr>
          <w:rFonts w:ascii="仿宋_GB2312" w:eastAsia="仿宋_GB2312" w:hAnsiTheme="minorHAnsi" w:hint="eastAsia"/>
          <w:sz w:val="32"/>
          <w:szCs w:val="32"/>
        </w:rPr>
        <w:t>二</w:t>
      </w:r>
    </w:p>
    <w:tbl>
      <w:tblPr>
        <w:tblW w:w="14616" w:type="dxa"/>
        <w:tblInd w:w="93" w:type="dxa"/>
        <w:tblLook w:val="04A0"/>
      </w:tblPr>
      <w:tblGrid>
        <w:gridCol w:w="480"/>
        <w:gridCol w:w="980"/>
        <w:gridCol w:w="1880"/>
        <w:gridCol w:w="1200"/>
        <w:gridCol w:w="1004"/>
        <w:gridCol w:w="1134"/>
        <w:gridCol w:w="1142"/>
        <w:gridCol w:w="1020"/>
        <w:gridCol w:w="1098"/>
        <w:gridCol w:w="850"/>
        <w:gridCol w:w="993"/>
        <w:gridCol w:w="850"/>
        <w:gridCol w:w="992"/>
        <w:gridCol w:w="993"/>
      </w:tblGrid>
      <w:tr w:rsidR="00E841C4" w:rsidRPr="00E841C4" w:rsidTr="00F36E92">
        <w:trPr>
          <w:trHeight w:val="510"/>
        </w:trPr>
        <w:tc>
          <w:tcPr>
            <w:tcW w:w="14616" w:type="dxa"/>
            <w:gridSpan w:val="14"/>
            <w:tcBorders>
              <w:top w:val="nil"/>
              <w:left w:val="nil"/>
              <w:bottom w:val="nil"/>
              <w:right w:val="nil"/>
            </w:tcBorders>
            <w:shd w:val="clear" w:color="auto" w:fill="auto"/>
            <w:noWrap/>
            <w:vAlign w:val="center"/>
            <w:hideMark/>
          </w:tcPr>
          <w:p w:rsidR="00E841C4" w:rsidRDefault="006209B1" w:rsidP="00E841C4">
            <w:pPr>
              <w:widowControl/>
              <w:spacing w:line="240" w:lineRule="auto"/>
              <w:ind w:firstLineChars="0" w:firstLine="0"/>
              <w:jc w:val="center"/>
              <w:rPr>
                <w:rFonts w:ascii="宋体" w:hAnsi="宋体" w:cs="宋体"/>
                <w:b/>
                <w:bCs/>
                <w:kern w:val="0"/>
                <w:sz w:val="40"/>
                <w:szCs w:val="40"/>
              </w:rPr>
            </w:pPr>
            <w:r>
              <w:rPr>
                <w:rFonts w:ascii="宋体" w:hAnsi="宋体" w:cs="宋体" w:hint="eastAsia"/>
                <w:b/>
                <w:bCs/>
                <w:kern w:val="0"/>
                <w:sz w:val="40"/>
                <w:szCs w:val="40"/>
              </w:rPr>
              <w:t>事业</w:t>
            </w:r>
            <w:r w:rsidR="00E841C4" w:rsidRPr="00E841C4">
              <w:rPr>
                <w:rFonts w:ascii="宋体" w:hAnsi="宋体" w:cs="宋体" w:hint="eastAsia"/>
                <w:b/>
                <w:bCs/>
                <w:kern w:val="0"/>
                <w:sz w:val="40"/>
                <w:szCs w:val="40"/>
              </w:rPr>
              <w:t>转企业单位退休人员基本情况一览表</w:t>
            </w:r>
          </w:p>
          <w:p w:rsidR="00E841C4" w:rsidRPr="001C3ABB" w:rsidRDefault="00E841C4" w:rsidP="00E841C4">
            <w:pPr>
              <w:widowControl/>
              <w:spacing w:line="240" w:lineRule="auto"/>
              <w:ind w:firstLineChars="0" w:firstLine="0"/>
              <w:jc w:val="center"/>
              <w:rPr>
                <w:rFonts w:ascii="宋体" w:hAnsi="宋体" w:cs="宋体"/>
                <w:b/>
                <w:bCs/>
                <w:kern w:val="0"/>
                <w:sz w:val="40"/>
                <w:szCs w:val="40"/>
              </w:rPr>
            </w:pPr>
          </w:p>
        </w:tc>
      </w:tr>
      <w:tr w:rsidR="00E841C4" w:rsidRPr="00E841C4" w:rsidTr="00F36E92">
        <w:trPr>
          <w:trHeight w:val="315"/>
        </w:trPr>
        <w:tc>
          <w:tcPr>
            <w:tcW w:w="3340" w:type="dxa"/>
            <w:gridSpan w:val="3"/>
            <w:tcBorders>
              <w:top w:val="nil"/>
              <w:left w:val="nil"/>
              <w:bottom w:val="single" w:sz="4" w:space="0" w:color="auto"/>
              <w:right w:val="nil"/>
            </w:tcBorders>
            <w:shd w:val="clear" w:color="auto" w:fill="auto"/>
            <w:noWrap/>
            <w:vAlign w:val="bottom"/>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r w:rsidRPr="00E841C4">
              <w:rPr>
                <w:rFonts w:ascii="宋体" w:hAnsi="宋体" w:cs="宋体" w:hint="eastAsia"/>
                <w:kern w:val="0"/>
                <w:sz w:val="24"/>
                <w:szCs w:val="24"/>
              </w:rPr>
              <w:t>单位名称</w:t>
            </w:r>
            <w:r w:rsidRPr="00E841C4">
              <w:rPr>
                <w:rFonts w:ascii="Times New Roman" w:hAnsi="Times New Roman" w:cs="Times New Roman"/>
                <w:kern w:val="0"/>
                <w:sz w:val="24"/>
                <w:szCs w:val="24"/>
              </w:rPr>
              <w:t>(</w:t>
            </w:r>
            <w:r w:rsidRPr="00E841C4">
              <w:rPr>
                <w:rFonts w:ascii="宋体" w:hAnsi="宋体" w:cs="宋体" w:hint="eastAsia"/>
                <w:kern w:val="0"/>
                <w:sz w:val="24"/>
                <w:szCs w:val="24"/>
              </w:rPr>
              <w:t>公章</w:t>
            </w:r>
            <w:r w:rsidRPr="00E841C4">
              <w:rPr>
                <w:rFonts w:ascii="Times New Roman" w:hAnsi="Times New Roman" w:cs="Times New Roman"/>
                <w:kern w:val="0"/>
                <w:sz w:val="24"/>
                <w:szCs w:val="24"/>
              </w:rPr>
              <w:t>)</w:t>
            </w:r>
            <w:r w:rsidRPr="00E841C4">
              <w:rPr>
                <w:rFonts w:ascii="宋体" w:hAnsi="宋体" w:cs="宋体" w:hint="eastAsia"/>
                <w:kern w:val="0"/>
                <w:sz w:val="24"/>
                <w:szCs w:val="24"/>
              </w:rPr>
              <w:t>：</w:t>
            </w:r>
          </w:p>
        </w:tc>
        <w:tc>
          <w:tcPr>
            <w:tcW w:w="2204" w:type="dxa"/>
            <w:gridSpan w:val="2"/>
            <w:tcBorders>
              <w:top w:val="nil"/>
              <w:left w:val="nil"/>
              <w:bottom w:val="single" w:sz="4" w:space="0" w:color="auto"/>
              <w:right w:val="nil"/>
            </w:tcBorders>
            <w:shd w:val="clear" w:color="auto" w:fill="auto"/>
            <w:vAlign w:val="bottom"/>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134" w:type="dxa"/>
            <w:tcBorders>
              <w:top w:val="nil"/>
              <w:left w:val="nil"/>
              <w:bottom w:val="single" w:sz="4" w:space="0" w:color="auto"/>
              <w:right w:val="nil"/>
            </w:tcBorders>
            <w:shd w:val="clear" w:color="auto" w:fill="auto"/>
            <w:vAlign w:val="bottom"/>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r w:rsidRPr="00E841C4">
              <w:rPr>
                <w:rFonts w:ascii="宋体" w:hAnsi="宋体" w:cs="宋体" w:hint="eastAsia"/>
                <w:kern w:val="0"/>
                <w:sz w:val="24"/>
                <w:szCs w:val="24"/>
              </w:rPr>
              <w:t xml:space="preserve">　</w:t>
            </w:r>
          </w:p>
        </w:tc>
        <w:tc>
          <w:tcPr>
            <w:tcW w:w="1142" w:type="dxa"/>
            <w:tcBorders>
              <w:top w:val="nil"/>
              <w:left w:val="nil"/>
              <w:bottom w:val="single" w:sz="4" w:space="0" w:color="auto"/>
              <w:right w:val="nil"/>
            </w:tcBorders>
            <w:shd w:val="clear" w:color="auto" w:fill="auto"/>
            <w:vAlign w:val="bottom"/>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r w:rsidRPr="00E841C4">
              <w:rPr>
                <w:rFonts w:ascii="宋体" w:hAnsi="宋体" w:cs="宋体" w:hint="eastAsia"/>
                <w:kern w:val="0"/>
                <w:sz w:val="24"/>
                <w:szCs w:val="24"/>
              </w:rPr>
              <w:t xml:space="preserve">　</w:t>
            </w:r>
          </w:p>
        </w:tc>
        <w:tc>
          <w:tcPr>
            <w:tcW w:w="1020" w:type="dxa"/>
            <w:tcBorders>
              <w:top w:val="nil"/>
              <w:left w:val="nil"/>
              <w:bottom w:val="single" w:sz="4" w:space="0" w:color="auto"/>
              <w:right w:val="nil"/>
            </w:tcBorders>
            <w:shd w:val="clear" w:color="auto" w:fill="auto"/>
            <w:vAlign w:val="bottom"/>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r w:rsidRPr="00E841C4">
              <w:rPr>
                <w:rFonts w:ascii="宋体" w:hAnsi="宋体" w:cs="宋体" w:hint="eastAsia"/>
                <w:kern w:val="0"/>
                <w:sz w:val="24"/>
                <w:szCs w:val="24"/>
              </w:rPr>
              <w:t xml:space="preserve">　</w:t>
            </w:r>
          </w:p>
        </w:tc>
        <w:tc>
          <w:tcPr>
            <w:tcW w:w="1098" w:type="dxa"/>
            <w:tcBorders>
              <w:top w:val="nil"/>
              <w:left w:val="nil"/>
              <w:bottom w:val="single" w:sz="4" w:space="0" w:color="auto"/>
              <w:right w:val="nil"/>
            </w:tcBorders>
            <w:shd w:val="clear" w:color="auto" w:fill="auto"/>
            <w:vAlign w:val="bottom"/>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r w:rsidRPr="00E841C4">
              <w:rPr>
                <w:rFonts w:ascii="宋体" w:hAnsi="宋体" w:cs="宋体" w:hint="eastAsia"/>
                <w:kern w:val="0"/>
                <w:sz w:val="24"/>
                <w:szCs w:val="24"/>
              </w:rPr>
              <w:t xml:space="preserve">　</w:t>
            </w:r>
          </w:p>
        </w:tc>
        <w:tc>
          <w:tcPr>
            <w:tcW w:w="4678" w:type="dxa"/>
            <w:gridSpan w:val="5"/>
            <w:tcBorders>
              <w:top w:val="nil"/>
              <w:left w:val="nil"/>
              <w:bottom w:val="single" w:sz="4" w:space="0" w:color="auto"/>
              <w:right w:val="nil"/>
            </w:tcBorders>
            <w:shd w:val="clear" w:color="auto" w:fill="auto"/>
            <w:vAlign w:val="bottom"/>
            <w:hideMark/>
          </w:tcPr>
          <w:p w:rsidR="00E841C4" w:rsidRPr="00E841C4" w:rsidRDefault="00E841C4" w:rsidP="00E841C4">
            <w:pPr>
              <w:widowControl/>
              <w:spacing w:line="240" w:lineRule="auto"/>
              <w:ind w:firstLineChars="650" w:firstLine="1560"/>
              <w:jc w:val="left"/>
              <w:rPr>
                <w:rFonts w:ascii="宋体" w:hAnsi="宋体" w:cs="宋体"/>
                <w:kern w:val="0"/>
                <w:sz w:val="24"/>
                <w:szCs w:val="24"/>
              </w:rPr>
            </w:pPr>
            <w:r w:rsidRPr="00E841C4">
              <w:rPr>
                <w:rFonts w:ascii="宋体" w:hAnsi="宋体" w:cs="宋体" w:hint="eastAsia"/>
                <w:kern w:val="0"/>
                <w:sz w:val="24"/>
                <w:szCs w:val="24"/>
              </w:rPr>
              <w:t>填表日期：</w:t>
            </w:r>
          </w:p>
        </w:tc>
      </w:tr>
      <w:tr w:rsidR="00E841C4" w:rsidRPr="00E841C4" w:rsidTr="00F36E92">
        <w:trPr>
          <w:trHeight w:val="312"/>
        </w:trPr>
        <w:tc>
          <w:tcPr>
            <w:tcW w:w="480" w:type="dxa"/>
            <w:vMerge w:val="restart"/>
            <w:tcBorders>
              <w:top w:val="nil"/>
              <w:left w:val="single" w:sz="4" w:space="0" w:color="auto"/>
              <w:bottom w:val="single" w:sz="4" w:space="0" w:color="auto"/>
              <w:right w:val="single" w:sz="4" w:space="0" w:color="auto"/>
            </w:tcBorders>
            <w:shd w:val="clear" w:color="auto" w:fill="auto"/>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序号</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姓名</w:t>
            </w:r>
          </w:p>
        </w:tc>
        <w:tc>
          <w:tcPr>
            <w:tcW w:w="1880" w:type="dxa"/>
            <w:vMerge w:val="restart"/>
            <w:tcBorders>
              <w:top w:val="nil"/>
              <w:left w:val="single" w:sz="4" w:space="0" w:color="auto"/>
              <w:bottom w:val="single" w:sz="4" w:space="0" w:color="000000"/>
              <w:right w:val="single" w:sz="4" w:space="0" w:color="auto"/>
            </w:tcBorders>
            <w:shd w:val="clear" w:color="auto" w:fill="auto"/>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身份证号码</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出生日期</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参加工作时间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退休时间</w:t>
            </w:r>
          </w:p>
        </w:tc>
        <w:tc>
          <w:tcPr>
            <w:tcW w:w="1142" w:type="dxa"/>
            <w:vMerge w:val="restart"/>
            <w:tcBorders>
              <w:top w:val="nil"/>
              <w:left w:val="single" w:sz="4" w:space="0" w:color="auto"/>
              <w:bottom w:val="single" w:sz="4" w:space="0" w:color="auto"/>
              <w:right w:val="single" w:sz="4" w:space="0" w:color="auto"/>
            </w:tcBorders>
            <w:shd w:val="clear" w:color="auto" w:fill="auto"/>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视同缴费＿月</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实际缴费＿月</w:t>
            </w:r>
          </w:p>
        </w:tc>
        <w:tc>
          <w:tcPr>
            <w:tcW w:w="1098" w:type="dxa"/>
            <w:vMerge w:val="restart"/>
            <w:tcBorders>
              <w:top w:val="nil"/>
              <w:left w:val="single" w:sz="4" w:space="0" w:color="auto"/>
              <w:bottom w:val="single" w:sz="4" w:space="0" w:color="auto"/>
              <w:right w:val="single" w:sz="4" w:space="0" w:color="auto"/>
            </w:tcBorders>
            <w:shd w:val="clear" w:color="auto" w:fill="auto"/>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基本退休金</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生活补贴</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独生子女补贴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其它</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统筹内合计</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备注</w:t>
            </w:r>
          </w:p>
        </w:tc>
      </w:tr>
      <w:tr w:rsidR="00E841C4" w:rsidRPr="00E841C4" w:rsidTr="00F36E92">
        <w:trPr>
          <w:trHeight w:val="312"/>
        </w:trPr>
        <w:tc>
          <w:tcPr>
            <w:tcW w:w="480" w:type="dxa"/>
            <w:vMerge/>
            <w:tcBorders>
              <w:top w:val="nil"/>
              <w:left w:val="single" w:sz="4" w:space="0" w:color="auto"/>
              <w:bottom w:val="single" w:sz="4" w:space="0" w:color="auto"/>
              <w:right w:val="single" w:sz="4" w:space="0" w:color="auto"/>
            </w:tcBorders>
            <w:vAlign w:val="center"/>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p>
        </w:tc>
        <w:tc>
          <w:tcPr>
            <w:tcW w:w="980" w:type="dxa"/>
            <w:vMerge/>
            <w:tcBorders>
              <w:top w:val="nil"/>
              <w:left w:val="single" w:sz="4" w:space="0" w:color="auto"/>
              <w:bottom w:val="single" w:sz="4" w:space="0" w:color="auto"/>
              <w:right w:val="single" w:sz="4" w:space="0" w:color="auto"/>
            </w:tcBorders>
            <w:vAlign w:val="center"/>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p>
        </w:tc>
        <w:tc>
          <w:tcPr>
            <w:tcW w:w="1200" w:type="dxa"/>
            <w:vMerge/>
            <w:tcBorders>
              <w:top w:val="nil"/>
              <w:left w:val="single" w:sz="4" w:space="0" w:color="auto"/>
              <w:bottom w:val="single" w:sz="4" w:space="0" w:color="auto"/>
              <w:right w:val="single" w:sz="4" w:space="0" w:color="auto"/>
            </w:tcBorders>
            <w:vAlign w:val="center"/>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p>
        </w:tc>
        <w:tc>
          <w:tcPr>
            <w:tcW w:w="1004" w:type="dxa"/>
            <w:vMerge/>
            <w:tcBorders>
              <w:top w:val="nil"/>
              <w:left w:val="single" w:sz="4" w:space="0" w:color="auto"/>
              <w:bottom w:val="single" w:sz="4" w:space="0" w:color="auto"/>
              <w:right w:val="single" w:sz="4" w:space="0" w:color="auto"/>
            </w:tcBorders>
            <w:vAlign w:val="center"/>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p>
        </w:tc>
        <w:tc>
          <w:tcPr>
            <w:tcW w:w="1142" w:type="dxa"/>
            <w:vMerge/>
            <w:tcBorders>
              <w:top w:val="nil"/>
              <w:left w:val="single" w:sz="4" w:space="0" w:color="auto"/>
              <w:bottom w:val="single" w:sz="4" w:space="0" w:color="auto"/>
              <w:right w:val="single" w:sz="4" w:space="0" w:color="auto"/>
            </w:tcBorders>
            <w:vAlign w:val="center"/>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p>
        </w:tc>
        <w:tc>
          <w:tcPr>
            <w:tcW w:w="1020" w:type="dxa"/>
            <w:vMerge/>
            <w:tcBorders>
              <w:top w:val="nil"/>
              <w:left w:val="single" w:sz="4" w:space="0" w:color="auto"/>
              <w:bottom w:val="single" w:sz="4" w:space="0" w:color="auto"/>
              <w:right w:val="single" w:sz="4" w:space="0" w:color="auto"/>
            </w:tcBorders>
            <w:vAlign w:val="center"/>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p>
        </w:tc>
        <w:tc>
          <w:tcPr>
            <w:tcW w:w="1098" w:type="dxa"/>
            <w:vMerge/>
            <w:tcBorders>
              <w:top w:val="nil"/>
              <w:left w:val="single" w:sz="4" w:space="0" w:color="auto"/>
              <w:bottom w:val="single" w:sz="4" w:space="0" w:color="auto"/>
              <w:right w:val="single" w:sz="4" w:space="0" w:color="auto"/>
            </w:tcBorders>
            <w:vAlign w:val="center"/>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p>
        </w:tc>
      </w:tr>
      <w:tr w:rsidR="00E841C4" w:rsidRPr="00E841C4" w:rsidTr="00F36E92">
        <w:trPr>
          <w:trHeight w:val="39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04"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142"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98"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r w:rsidRPr="00E841C4">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r>
      <w:tr w:rsidR="00E841C4" w:rsidRPr="00E841C4" w:rsidTr="00F36E92">
        <w:trPr>
          <w:trHeight w:val="39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04"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142"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98"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r w:rsidRPr="00E841C4">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r>
      <w:tr w:rsidR="00E841C4" w:rsidRPr="00E841C4" w:rsidTr="00F36E92">
        <w:trPr>
          <w:trHeight w:val="39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04"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142"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98"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r w:rsidRPr="00E841C4">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r>
      <w:tr w:rsidR="00E841C4" w:rsidRPr="00E841C4" w:rsidTr="00F36E92">
        <w:trPr>
          <w:trHeight w:val="39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04"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142"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98"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r w:rsidRPr="00E841C4">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r>
      <w:tr w:rsidR="00E841C4" w:rsidRPr="00E841C4" w:rsidTr="00F36E92">
        <w:trPr>
          <w:trHeight w:val="39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04"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142"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98"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r w:rsidRPr="00E841C4">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r>
      <w:tr w:rsidR="00E841C4" w:rsidRPr="00E841C4" w:rsidTr="00F36E92">
        <w:trPr>
          <w:trHeight w:val="39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04"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142"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98"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r w:rsidRPr="00E841C4">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r>
      <w:tr w:rsidR="00E841C4" w:rsidRPr="00E841C4" w:rsidTr="00F36E92">
        <w:trPr>
          <w:trHeight w:val="39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04"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142"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98"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left"/>
              <w:rPr>
                <w:rFonts w:ascii="宋体" w:hAnsi="宋体" w:cs="宋体"/>
                <w:kern w:val="0"/>
                <w:sz w:val="24"/>
                <w:szCs w:val="24"/>
              </w:rPr>
            </w:pPr>
            <w:r w:rsidRPr="00E841C4">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r>
      <w:tr w:rsidR="00E841C4" w:rsidRPr="00E841C4" w:rsidTr="00F36E92">
        <w:trPr>
          <w:trHeight w:val="39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04"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142"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98"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r>
      <w:tr w:rsidR="00E841C4" w:rsidRPr="00E841C4" w:rsidTr="00F36E92">
        <w:trPr>
          <w:trHeight w:val="39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04"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142"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98"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r>
      <w:tr w:rsidR="00E841C4" w:rsidRPr="00E841C4" w:rsidTr="00F36E92">
        <w:trPr>
          <w:trHeight w:val="39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04"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142"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1098"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E841C4" w:rsidRPr="00E841C4" w:rsidRDefault="00E841C4" w:rsidP="00E841C4">
            <w:pPr>
              <w:widowControl/>
              <w:spacing w:line="240" w:lineRule="auto"/>
              <w:ind w:firstLineChars="0" w:firstLine="0"/>
              <w:jc w:val="center"/>
              <w:rPr>
                <w:rFonts w:ascii="宋体" w:hAnsi="宋体" w:cs="宋体"/>
                <w:kern w:val="0"/>
                <w:sz w:val="24"/>
                <w:szCs w:val="24"/>
              </w:rPr>
            </w:pPr>
            <w:r w:rsidRPr="00E841C4">
              <w:rPr>
                <w:rFonts w:ascii="宋体" w:hAnsi="宋体" w:cs="宋体" w:hint="eastAsia"/>
                <w:kern w:val="0"/>
                <w:sz w:val="24"/>
                <w:szCs w:val="24"/>
              </w:rPr>
              <w:t xml:space="preserve">　</w:t>
            </w:r>
          </w:p>
        </w:tc>
      </w:tr>
    </w:tbl>
    <w:p w:rsidR="00E841C4" w:rsidRPr="00E841C4" w:rsidRDefault="00E841C4" w:rsidP="00E841C4">
      <w:pPr>
        <w:spacing w:line="240" w:lineRule="auto"/>
        <w:ind w:firstLineChars="0" w:firstLine="0"/>
        <w:rPr>
          <w:rFonts w:asciiTheme="minorHAnsi" w:eastAsiaTheme="minorEastAsia" w:hAnsiTheme="minorHAnsi"/>
        </w:rPr>
      </w:pPr>
      <w:r w:rsidRPr="00E841C4">
        <w:rPr>
          <w:rFonts w:asciiTheme="minorHAnsi" w:eastAsiaTheme="minorEastAsia" w:hAnsiTheme="minorHAnsi" w:hint="eastAsia"/>
        </w:rPr>
        <w:t>注：</w:t>
      </w:r>
      <w:r w:rsidR="0028076F">
        <w:rPr>
          <w:rFonts w:asciiTheme="minorHAnsi" w:eastAsiaTheme="minorEastAsia" w:hAnsiTheme="minorHAnsi" w:hint="eastAsia"/>
        </w:rPr>
        <w:t>1.</w:t>
      </w:r>
      <w:r w:rsidRPr="00E841C4">
        <w:rPr>
          <w:rFonts w:asciiTheme="minorHAnsi" w:eastAsiaTheme="minorEastAsia" w:hAnsiTheme="minorHAnsi" w:hint="eastAsia"/>
        </w:rPr>
        <w:t>2014</w:t>
      </w:r>
      <w:r w:rsidRPr="00E841C4">
        <w:rPr>
          <w:rFonts w:asciiTheme="minorHAnsi" w:eastAsiaTheme="minorEastAsia" w:hAnsiTheme="minorHAnsi" w:hint="eastAsia"/>
        </w:rPr>
        <w:t>年</w:t>
      </w:r>
      <w:r w:rsidRPr="00E841C4">
        <w:rPr>
          <w:rFonts w:asciiTheme="minorHAnsi" w:eastAsiaTheme="minorEastAsia" w:hAnsiTheme="minorHAnsi" w:hint="eastAsia"/>
        </w:rPr>
        <w:t>9</w:t>
      </w:r>
      <w:r w:rsidRPr="00E841C4">
        <w:rPr>
          <w:rFonts w:asciiTheme="minorHAnsi" w:eastAsiaTheme="minorEastAsia" w:hAnsiTheme="minorHAnsi" w:hint="eastAsia"/>
        </w:rPr>
        <w:t>月</w:t>
      </w:r>
      <w:r w:rsidRPr="00E841C4">
        <w:rPr>
          <w:rFonts w:asciiTheme="minorHAnsi" w:eastAsiaTheme="minorEastAsia" w:hAnsiTheme="minorHAnsi" w:hint="eastAsia"/>
        </w:rPr>
        <w:t>30</w:t>
      </w:r>
      <w:r w:rsidRPr="00E841C4">
        <w:rPr>
          <w:rFonts w:asciiTheme="minorHAnsi" w:eastAsiaTheme="minorEastAsia" w:hAnsiTheme="minorHAnsi" w:hint="eastAsia"/>
        </w:rPr>
        <w:t>日前为视同缴费年限，</w:t>
      </w:r>
      <w:r w:rsidRPr="00E841C4">
        <w:rPr>
          <w:rFonts w:asciiTheme="minorHAnsi" w:eastAsiaTheme="minorEastAsia" w:hAnsiTheme="minorHAnsi" w:hint="eastAsia"/>
        </w:rPr>
        <w:t>2014</w:t>
      </w:r>
      <w:r w:rsidRPr="00E841C4">
        <w:rPr>
          <w:rFonts w:asciiTheme="minorHAnsi" w:eastAsiaTheme="minorEastAsia" w:hAnsiTheme="minorHAnsi" w:hint="eastAsia"/>
        </w:rPr>
        <w:t>年</w:t>
      </w:r>
      <w:r w:rsidRPr="00E841C4">
        <w:rPr>
          <w:rFonts w:asciiTheme="minorHAnsi" w:eastAsiaTheme="minorEastAsia" w:hAnsiTheme="minorHAnsi" w:hint="eastAsia"/>
        </w:rPr>
        <w:t>10</w:t>
      </w:r>
      <w:r w:rsidRPr="00E841C4">
        <w:rPr>
          <w:rFonts w:asciiTheme="minorHAnsi" w:eastAsiaTheme="minorEastAsia" w:hAnsiTheme="minorHAnsi" w:hint="eastAsia"/>
        </w:rPr>
        <w:t>月</w:t>
      </w:r>
      <w:r w:rsidRPr="00E841C4">
        <w:rPr>
          <w:rFonts w:asciiTheme="minorHAnsi" w:eastAsiaTheme="minorEastAsia" w:hAnsiTheme="minorHAnsi" w:hint="eastAsia"/>
        </w:rPr>
        <w:t>1</w:t>
      </w:r>
      <w:r w:rsidRPr="00E841C4">
        <w:rPr>
          <w:rFonts w:asciiTheme="minorHAnsi" w:eastAsiaTheme="minorEastAsia" w:hAnsiTheme="minorHAnsi" w:hint="eastAsia"/>
        </w:rPr>
        <w:t>日后为实际缴费年限。</w:t>
      </w:r>
    </w:p>
    <w:p w:rsidR="00E841C4" w:rsidRPr="0028076F" w:rsidRDefault="0028076F" w:rsidP="00E841C4">
      <w:pPr>
        <w:spacing w:line="240" w:lineRule="auto"/>
        <w:ind w:firstLineChars="0" w:firstLine="0"/>
        <w:rPr>
          <w:rFonts w:asciiTheme="minorHAnsi" w:eastAsiaTheme="minorEastAsia" w:hAnsiTheme="minorHAnsi"/>
        </w:rPr>
      </w:pPr>
      <w:r>
        <w:rPr>
          <w:rFonts w:asciiTheme="minorHAnsi" w:eastAsiaTheme="minorEastAsia" w:hAnsiTheme="minorHAnsi" w:hint="eastAsia"/>
        </w:rPr>
        <w:t xml:space="preserve">    2.</w:t>
      </w:r>
      <w:r w:rsidRPr="0028076F">
        <w:rPr>
          <w:rFonts w:asciiTheme="minorHAnsi" w:eastAsiaTheme="minorEastAsia" w:hAnsiTheme="minorHAnsi" w:hint="eastAsia"/>
        </w:rPr>
        <w:t xml:space="preserve"> </w:t>
      </w:r>
      <w:r>
        <w:rPr>
          <w:rFonts w:asciiTheme="minorHAnsi" w:eastAsiaTheme="minorEastAsia" w:hAnsiTheme="minorHAnsi" w:hint="eastAsia"/>
        </w:rPr>
        <w:t>“</w:t>
      </w:r>
      <w:r w:rsidRPr="0028076F">
        <w:rPr>
          <w:rFonts w:asciiTheme="minorHAnsi" w:eastAsiaTheme="minorEastAsia" w:hAnsiTheme="minorHAnsi" w:hint="eastAsia"/>
        </w:rPr>
        <w:t>其它</w:t>
      </w:r>
      <w:r>
        <w:rPr>
          <w:rFonts w:asciiTheme="minorHAnsi" w:eastAsiaTheme="minorEastAsia" w:hAnsiTheme="minorHAnsi" w:hint="eastAsia"/>
        </w:rPr>
        <w:t>”栏填写：</w:t>
      </w:r>
      <w:proofErr w:type="gramStart"/>
      <w:r w:rsidRPr="0028076F">
        <w:rPr>
          <w:rFonts w:asciiTheme="minorHAnsi" w:eastAsiaTheme="minorEastAsia" w:hAnsiTheme="minorHAnsi" w:hint="eastAsia"/>
        </w:rPr>
        <w:t>按辽人社发</w:t>
      </w:r>
      <w:proofErr w:type="gramEnd"/>
      <w:r w:rsidRPr="0028076F">
        <w:rPr>
          <w:rFonts w:asciiTheme="minorHAnsi" w:eastAsiaTheme="minorEastAsia" w:hAnsiTheme="minorHAnsi" w:hint="eastAsia"/>
        </w:rPr>
        <w:t>〔</w:t>
      </w:r>
      <w:r w:rsidRPr="0028076F">
        <w:rPr>
          <w:rFonts w:asciiTheme="minorHAnsi" w:eastAsiaTheme="minorEastAsia" w:hAnsiTheme="minorHAnsi" w:hint="eastAsia"/>
        </w:rPr>
        <w:t>2015</w:t>
      </w:r>
      <w:r w:rsidRPr="0028076F">
        <w:rPr>
          <w:rFonts w:asciiTheme="minorHAnsi" w:eastAsiaTheme="minorEastAsia" w:hAnsiTheme="minorHAnsi" w:hint="eastAsia"/>
        </w:rPr>
        <w:t>〕</w:t>
      </w:r>
      <w:r w:rsidRPr="0028076F">
        <w:rPr>
          <w:rFonts w:asciiTheme="minorHAnsi" w:eastAsiaTheme="minorEastAsia" w:hAnsiTheme="minorHAnsi" w:hint="eastAsia"/>
        </w:rPr>
        <w:t>123</w:t>
      </w:r>
      <w:r w:rsidRPr="0028076F">
        <w:rPr>
          <w:rFonts w:asciiTheme="minorHAnsi" w:eastAsiaTheme="minorEastAsia" w:hAnsiTheme="minorHAnsi" w:hint="eastAsia"/>
        </w:rPr>
        <w:t>号文件增加部分</w:t>
      </w:r>
    </w:p>
    <w:p w:rsidR="00E841C4" w:rsidRPr="00E841C4" w:rsidRDefault="00E841C4" w:rsidP="00E841C4">
      <w:pPr>
        <w:spacing w:line="240" w:lineRule="auto"/>
        <w:ind w:firstLineChars="0" w:firstLine="0"/>
        <w:rPr>
          <w:rFonts w:asciiTheme="minorHAnsi" w:eastAsiaTheme="minorEastAsia" w:hAnsiTheme="minorHAnsi"/>
        </w:rPr>
      </w:pPr>
    </w:p>
    <w:p w:rsidR="002C7324" w:rsidRDefault="00E841C4" w:rsidP="0028076F">
      <w:pPr>
        <w:spacing w:line="240" w:lineRule="auto"/>
        <w:ind w:firstLineChars="0" w:firstLine="0"/>
        <w:rPr>
          <w:rFonts w:asciiTheme="minorHAnsi" w:eastAsiaTheme="minorEastAsia" w:hAnsiTheme="minorHAnsi"/>
        </w:rPr>
      </w:pPr>
      <w:r w:rsidRPr="00E841C4">
        <w:rPr>
          <w:rFonts w:asciiTheme="minorHAnsi" w:eastAsiaTheme="minorEastAsia" w:hAnsiTheme="minorHAnsi" w:hint="eastAsia"/>
        </w:rPr>
        <w:t>认定部门签章：</w:t>
      </w:r>
      <w:r w:rsidRPr="00E841C4">
        <w:rPr>
          <w:rFonts w:asciiTheme="minorHAnsi" w:eastAsiaTheme="minorEastAsia" w:hAnsiTheme="minorHAnsi" w:hint="eastAsia"/>
        </w:rPr>
        <w:t xml:space="preserve">                                                                    </w:t>
      </w:r>
      <w:r w:rsidRPr="00E841C4">
        <w:rPr>
          <w:rFonts w:asciiTheme="minorHAnsi" w:eastAsiaTheme="minorEastAsia" w:hAnsiTheme="minorHAnsi" w:hint="eastAsia"/>
        </w:rPr>
        <w:t>经办人：</w:t>
      </w:r>
      <w:r w:rsidRPr="00E841C4">
        <w:rPr>
          <w:rFonts w:asciiTheme="minorHAnsi" w:eastAsiaTheme="minorEastAsia" w:hAnsiTheme="minorHAnsi" w:hint="eastAsia"/>
        </w:rPr>
        <w:t xml:space="preserve">                       </w:t>
      </w:r>
      <w:r w:rsidRPr="00E841C4">
        <w:rPr>
          <w:rFonts w:asciiTheme="minorHAnsi" w:eastAsiaTheme="minorEastAsia" w:hAnsiTheme="minorHAnsi" w:hint="eastAsia"/>
        </w:rPr>
        <w:t>联系电话：</w:t>
      </w:r>
    </w:p>
    <w:sectPr w:rsidR="002C7324" w:rsidSect="00E841C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4F1" w:rsidRDefault="006304F1" w:rsidP="00E841C4">
      <w:pPr>
        <w:spacing w:line="240" w:lineRule="auto"/>
        <w:ind w:firstLine="420"/>
      </w:pPr>
      <w:r>
        <w:separator/>
      </w:r>
    </w:p>
  </w:endnote>
  <w:endnote w:type="continuationSeparator" w:id="0">
    <w:p w:rsidR="006304F1" w:rsidRDefault="006304F1" w:rsidP="00E841C4">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C4" w:rsidRDefault="00E841C4" w:rsidP="00E841C4">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2972914"/>
      <w:docPartObj>
        <w:docPartGallery w:val="Page Numbers (Bottom of Page)"/>
        <w:docPartUnique/>
      </w:docPartObj>
    </w:sdtPr>
    <w:sdtContent>
      <w:p w:rsidR="0028076F" w:rsidRDefault="005D2D17" w:rsidP="0028076F">
        <w:pPr>
          <w:pStyle w:val="a4"/>
          <w:ind w:firstLine="360"/>
          <w:jc w:val="center"/>
        </w:pPr>
        <w:r w:rsidRPr="005D2D17">
          <w:fldChar w:fldCharType="begin"/>
        </w:r>
        <w:r w:rsidR="00472E45">
          <w:instrText xml:space="preserve"> PAGE   \* MERGEFORMAT </w:instrText>
        </w:r>
        <w:r w:rsidRPr="005D2D17">
          <w:fldChar w:fldCharType="separate"/>
        </w:r>
        <w:r w:rsidR="00232E95" w:rsidRPr="00232E95">
          <w:rPr>
            <w:noProof/>
            <w:lang w:val="zh-CN"/>
          </w:rPr>
          <w:t>1</w:t>
        </w:r>
        <w:r>
          <w:rPr>
            <w:noProof/>
            <w:lang w:val="zh-CN"/>
          </w:rPr>
          <w:fldChar w:fldCharType="end"/>
        </w:r>
      </w:p>
    </w:sdtContent>
  </w:sdt>
  <w:p w:rsidR="00E841C4" w:rsidRDefault="00E841C4" w:rsidP="00E841C4">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C4" w:rsidRDefault="00E841C4" w:rsidP="00E841C4">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4F1" w:rsidRDefault="006304F1" w:rsidP="00E841C4">
      <w:pPr>
        <w:spacing w:line="240" w:lineRule="auto"/>
        <w:ind w:firstLine="420"/>
      </w:pPr>
      <w:r>
        <w:separator/>
      </w:r>
    </w:p>
  </w:footnote>
  <w:footnote w:type="continuationSeparator" w:id="0">
    <w:p w:rsidR="006304F1" w:rsidRDefault="006304F1" w:rsidP="00E841C4">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C4" w:rsidRDefault="00E841C4" w:rsidP="00E841C4">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C4" w:rsidRDefault="00E841C4" w:rsidP="003371A9">
    <w:pPr>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C4" w:rsidRDefault="00E841C4" w:rsidP="00E841C4">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7324"/>
    <w:rsid w:val="000415F7"/>
    <w:rsid w:val="00042675"/>
    <w:rsid w:val="00114A7C"/>
    <w:rsid w:val="001169CF"/>
    <w:rsid w:val="001438A6"/>
    <w:rsid w:val="00162C4E"/>
    <w:rsid w:val="0016391E"/>
    <w:rsid w:val="001C3ABB"/>
    <w:rsid w:val="001E434D"/>
    <w:rsid w:val="001F3825"/>
    <w:rsid w:val="001F7970"/>
    <w:rsid w:val="002068DF"/>
    <w:rsid w:val="00232E95"/>
    <w:rsid w:val="0028076F"/>
    <w:rsid w:val="002C7324"/>
    <w:rsid w:val="002D6B5D"/>
    <w:rsid w:val="00312260"/>
    <w:rsid w:val="00317B8D"/>
    <w:rsid w:val="003371A9"/>
    <w:rsid w:val="00382656"/>
    <w:rsid w:val="003B6601"/>
    <w:rsid w:val="00472E45"/>
    <w:rsid w:val="004E5BC6"/>
    <w:rsid w:val="005578F2"/>
    <w:rsid w:val="005646EC"/>
    <w:rsid w:val="00583F90"/>
    <w:rsid w:val="005B0C05"/>
    <w:rsid w:val="005D2D17"/>
    <w:rsid w:val="005D4C4E"/>
    <w:rsid w:val="005E1B66"/>
    <w:rsid w:val="00616BF6"/>
    <w:rsid w:val="006209B1"/>
    <w:rsid w:val="006304F1"/>
    <w:rsid w:val="00672682"/>
    <w:rsid w:val="00681828"/>
    <w:rsid w:val="00693216"/>
    <w:rsid w:val="006D53C3"/>
    <w:rsid w:val="006E4D16"/>
    <w:rsid w:val="00711BDA"/>
    <w:rsid w:val="00723FCF"/>
    <w:rsid w:val="0077522D"/>
    <w:rsid w:val="007B27B7"/>
    <w:rsid w:val="007B448F"/>
    <w:rsid w:val="007C3C18"/>
    <w:rsid w:val="007D2BA6"/>
    <w:rsid w:val="00860EEB"/>
    <w:rsid w:val="008751D3"/>
    <w:rsid w:val="008A48C2"/>
    <w:rsid w:val="00900C28"/>
    <w:rsid w:val="009369C3"/>
    <w:rsid w:val="0093746C"/>
    <w:rsid w:val="00971A9B"/>
    <w:rsid w:val="00985863"/>
    <w:rsid w:val="00995661"/>
    <w:rsid w:val="009D520F"/>
    <w:rsid w:val="00A375EA"/>
    <w:rsid w:val="00A432F8"/>
    <w:rsid w:val="00A47262"/>
    <w:rsid w:val="00A53D21"/>
    <w:rsid w:val="00A60F55"/>
    <w:rsid w:val="00A676EF"/>
    <w:rsid w:val="00A7075C"/>
    <w:rsid w:val="00AA65D4"/>
    <w:rsid w:val="00AB0FB9"/>
    <w:rsid w:val="00AC258D"/>
    <w:rsid w:val="00B072FF"/>
    <w:rsid w:val="00B56DBF"/>
    <w:rsid w:val="00B76CEF"/>
    <w:rsid w:val="00BA1EA4"/>
    <w:rsid w:val="00BE0521"/>
    <w:rsid w:val="00BE35A0"/>
    <w:rsid w:val="00BF244E"/>
    <w:rsid w:val="00C14356"/>
    <w:rsid w:val="00C1453D"/>
    <w:rsid w:val="00C16EF9"/>
    <w:rsid w:val="00C27FEB"/>
    <w:rsid w:val="00C95888"/>
    <w:rsid w:val="00CD362B"/>
    <w:rsid w:val="00CF64DB"/>
    <w:rsid w:val="00D51E4A"/>
    <w:rsid w:val="00D75438"/>
    <w:rsid w:val="00D823E8"/>
    <w:rsid w:val="00DA53A6"/>
    <w:rsid w:val="00DA6583"/>
    <w:rsid w:val="00DC4322"/>
    <w:rsid w:val="00DD0649"/>
    <w:rsid w:val="00DE1B5A"/>
    <w:rsid w:val="00E02787"/>
    <w:rsid w:val="00E2205C"/>
    <w:rsid w:val="00E665D4"/>
    <w:rsid w:val="00E841C4"/>
    <w:rsid w:val="00F254B5"/>
    <w:rsid w:val="00F256A6"/>
    <w:rsid w:val="00F75A3D"/>
    <w:rsid w:val="00FA75E1"/>
    <w:rsid w:val="00FB6FCB"/>
    <w:rsid w:val="00FD43E6"/>
    <w:rsid w:val="00FD4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F90"/>
    <w:pPr>
      <w:widowControl w:val="0"/>
      <w:spacing w:line="600" w:lineRule="exact"/>
      <w:ind w:firstLineChars="200" w:firstLine="200"/>
      <w:jc w:val="both"/>
    </w:pPr>
    <w:rPr>
      <w:rFonts w:ascii="Calibri" w:eastAsia="宋体"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41C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E841C4"/>
    <w:rPr>
      <w:rFonts w:ascii="Calibri" w:eastAsia="宋体" w:hAnsi="Calibri"/>
      <w:sz w:val="18"/>
      <w:szCs w:val="18"/>
    </w:rPr>
  </w:style>
  <w:style w:type="paragraph" w:styleId="a4">
    <w:name w:val="footer"/>
    <w:basedOn w:val="a"/>
    <w:link w:val="Char0"/>
    <w:uiPriority w:val="99"/>
    <w:unhideWhenUsed/>
    <w:rsid w:val="00E841C4"/>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E841C4"/>
    <w:rPr>
      <w:rFonts w:ascii="Calibri" w:eastAsia="宋体" w:hAnsi="Calibri"/>
      <w:sz w:val="18"/>
      <w:szCs w:val="18"/>
    </w:rPr>
  </w:style>
  <w:style w:type="paragraph" w:styleId="a5">
    <w:name w:val="Balloon Text"/>
    <w:basedOn w:val="a"/>
    <w:link w:val="Char1"/>
    <w:uiPriority w:val="99"/>
    <w:semiHidden/>
    <w:unhideWhenUsed/>
    <w:rsid w:val="001F7970"/>
    <w:pPr>
      <w:spacing w:line="240" w:lineRule="auto"/>
    </w:pPr>
    <w:rPr>
      <w:sz w:val="18"/>
      <w:szCs w:val="18"/>
    </w:rPr>
  </w:style>
  <w:style w:type="character" w:customStyle="1" w:styleId="Char1">
    <w:name w:val="批注框文本 Char"/>
    <w:basedOn w:val="a0"/>
    <w:link w:val="a5"/>
    <w:uiPriority w:val="99"/>
    <w:semiHidden/>
    <w:rsid w:val="001F7970"/>
    <w:rPr>
      <w:rFonts w:ascii="Calibri" w:eastAsia="宋体"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129248">
      <w:bodyDiv w:val="1"/>
      <w:marLeft w:val="0"/>
      <w:marRight w:val="0"/>
      <w:marTop w:val="0"/>
      <w:marBottom w:val="0"/>
      <w:divBdr>
        <w:top w:val="none" w:sz="0" w:space="0" w:color="auto"/>
        <w:left w:val="none" w:sz="0" w:space="0" w:color="auto"/>
        <w:bottom w:val="none" w:sz="0" w:space="0" w:color="auto"/>
        <w:right w:val="none" w:sz="0" w:space="0" w:color="auto"/>
      </w:divBdr>
    </w:div>
    <w:div w:id="434253909">
      <w:bodyDiv w:val="1"/>
      <w:marLeft w:val="0"/>
      <w:marRight w:val="0"/>
      <w:marTop w:val="0"/>
      <w:marBottom w:val="0"/>
      <w:divBdr>
        <w:top w:val="none" w:sz="0" w:space="0" w:color="auto"/>
        <w:left w:val="none" w:sz="0" w:space="0" w:color="auto"/>
        <w:bottom w:val="none" w:sz="0" w:space="0" w:color="auto"/>
        <w:right w:val="none" w:sz="0" w:space="0" w:color="auto"/>
      </w:divBdr>
    </w:div>
    <w:div w:id="200404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44054-22B0-4AC0-8787-F69F3260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551</Words>
  <Characters>3143</Characters>
  <Application>Microsoft Office Word</Application>
  <DocSecurity>0</DocSecurity>
  <Lines>26</Lines>
  <Paragraphs>7</Paragraphs>
  <ScaleCrop>false</ScaleCrop>
  <Company>Sky123.Org</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15</cp:revision>
  <cp:lastPrinted>2019-01-08T06:47:00Z</cp:lastPrinted>
  <dcterms:created xsi:type="dcterms:W3CDTF">2019-01-08T07:14:00Z</dcterms:created>
  <dcterms:modified xsi:type="dcterms:W3CDTF">2019-12-04T01:45:00Z</dcterms:modified>
</cp:coreProperties>
</file>