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default"/>
          <w:b/>
          <w:sz w:val="44"/>
        </w:rPr>
      </w:pPr>
    </w:p>
    <w:p>
      <w:pPr>
        <w:pStyle w:val="7"/>
        <w:rPr>
          <w:rFonts w:hint="default"/>
          <w:b/>
          <w:sz w:val="44"/>
        </w:rPr>
      </w:pPr>
    </w:p>
    <w:p>
      <w:pPr>
        <w:pStyle w:val="7"/>
        <w:rPr>
          <w:rFonts w:hint="default"/>
          <w:b/>
          <w:sz w:val="44"/>
        </w:rPr>
      </w:pPr>
    </w:p>
    <w:p>
      <w:pPr>
        <w:pStyle w:val="7"/>
        <w:rPr>
          <w:rFonts w:hint="default"/>
          <w:b/>
          <w:sz w:val="44"/>
        </w:rPr>
      </w:pPr>
    </w:p>
    <w:p>
      <w:pPr>
        <w:pStyle w:val="7"/>
        <w:rPr>
          <w:rFonts w:hint="default"/>
          <w:b/>
          <w:sz w:val="44"/>
        </w:rPr>
      </w:pPr>
    </w:p>
    <w:p>
      <w:pPr>
        <w:pStyle w:val="7"/>
        <w:rPr>
          <w:rFonts w:hint="default"/>
          <w:b/>
          <w:sz w:val="44"/>
        </w:rPr>
      </w:pPr>
    </w:p>
    <w:p>
      <w:pPr>
        <w:pStyle w:val="7"/>
        <w:rPr>
          <w:rFonts w:hint="default"/>
          <w:b/>
          <w:sz w:val="44"/>
        </w:rPr>
      </w:pPr>
    </w:p>
    <w:p>
      <w:pPr>
        <w:pStyle w:val="7"/>
        <w:jc w:val="center"/>
        <w:rPr>
          <w:rFonts w:hint="default" w:ascii="仿宋_GB2312" w:eastAsia="仿宋_GB2312"/>
          <w:b/>
          <w:sz w:val="52"/>
        </w:rPr>
      </w:pPr>
      <w:r>
        <w:rPr>
          <w:rFonts w:hint="eastAsia" w:ascii="仿宋_GB2312" w:eastAsia="仿宋_GB2312"/>
          <w:b/>
          <w:sz w:val="52"/>
          <w:lang w:eastAsia="zh-CN"/>
        </w:rPr>
        <w:t>沈阳市人力资源和社会保障局（本级）</w:t>
      </w:r>
      <w:r>
        <w:rPr>
          <w:rFonts w:ascii="仿宋_GB2312" w:eastAsia="仿宋_GB2312"/>
          <w:b/>
          <w:sz w:val="52"/>
        </w:rPr>
        <w:t>2021年度决算</w:t>
      </w:r>
      <w:r>
        <w:rPr>
          <w:rFonts w:hint="eastAsia" w:ascii="仿宋_GB2312" w:eastAsia="仿宋_GB2312"/>
          <w:b/>
          <w:sz w:val="52"/>
          <w:lang w:eastAsia="zh-CN"/>
        </w:rPr>
        <w:t>（含三公经费决算）</w:t>
      </w:r>
    </w:p>
    <w:p>
      <w:pPr>
        <w:pStyle w:val="7"/>
        <w:jc w:val="center"/>
        <w:rPr>
          <w:rFonts w:hint="default" w:ascii="仿宋_GB2312" w:eastAsia="仿宋_GB2312"/>
          <w:b/>
          <w:sz w:val="52"/>
        </w:rPr>
      </w:pPr>
    </w:p>
    <w:p>
      <w:pPr>
        <w:pStyle w:val="7"/>
        <w:jc w:val="center"/>
        <w:rPr>
          <w:rFonts w:hint="default" w:ascii="Times New Roman" w:eastAsia="Times New Roman"/>
          <w:b/>
          <w:sz w:val="44"/>
          <w:u w:val="single"/>
        </w:rPr>
      </w:pPr>
    </w:p>
    <w:p>
      <w:pPr>
        <w:pStyle w:val="7"/>
        <w:jc w:val="center"/>
        <w:rPr>
          <w:rFonts w:hint="default" w:ascii="Times New Roman" w:eastAsia="Times New Roman"/>
          <w:b/>
          <w:sz w:val="44"/>
          <w:u w:val="single"/>
        </w:rPr>
      </w:pPr>
    </w:p>
    <w:p>
      <w:pPr>
        <w:pStyle w:val="7"/>
        <w:jc w:val="center"/>
        <w:rPr>
          <w:rFonts w:hint="default" w:ascii="Times New Roman" w:eastAsia="Times New Roman"/>
          <w:b/>
          <w:sz w:val="44"/>
          <w:u w:val="single"/>
        </w:rPr>
      </w:pPr>
    </w:p>
    <w:p>
      <w:pPr>
        <w:pStyle w:val="7"/>
        <w:jc w:val="center"/>
        <w:rPr>
          <w:rFonts w:hint="default" w:ascii="Times New Roman" w:eastAsia="Times New Roman"/>
          <w:b/>
          <w:sz w:val="44"/>
          <w:u w:val="single"/>
        </w:rPr>
      </w:pPr>
    </w:p>
    <w:p>
      <w:pPr>
        <w:pStyle w:val="7"/>
        <w:jc w:val="center"/>
        <w:rPr>
          <w:rFonts w:hint="default" w:ascii="Times New Roman" w:eastAsia="Times New Roman"/>
          <w:b/>
          <w:sz w:val="44"/>
          <w:u w:val="single"/>
        </w:rPr>
      </w:pPr>
    </w:p>
    <w:p>
      <w:pPr>
        <w:pStyle w:val="7"/>
        <w:jc w:val="center"/>
        <w:rPr>
          <w:rFonts w:hint="default" w:ascii="Times New Roman" w:eastAsia="Times New Roman"/>
          <w:b/>
          <w:sz w:val="44"/>
          <w:u w:val="single"/>
        </w:rPr>
      </w:pPr>
    </w:p>
    <w:p>
      <w:pPr>
        <w:pStyle w:val="7"/>
        <w:jc w:val="both"/>
        <w:rPr>
          <w:rFonts w:hint="default" w:ascii="Times New Roman" w:eastAsia="Times New Roman"/>
          <w:b/>
          <w:sz w:val="44"/>
          <w:u w:val="single"/>
        </w:rPr>
      </w:pPr>
    </w:p>
    <w:p>
      <w:pPr>
        <w:pStyle w:val="7"/>
        <w:jc w:val="center"/>
        <w:rPr>
          <w:rFonts w:hint="default" w:ascii="Times New Roman" w:eastAsia="Times New Roman"/>
          <w:b/>
          <w:sz w:val="44"/>
          <w:u w:val="single"/>
        </w:rPr>
      </w:pPr>
    </w:p>
    <w:p>
      <w:pPr>
        <w:pStyle w:val="7"/>
        <w:spacing w:line="560" w:lineRule="exact"/>
        <w:jc w:val="both"/>
        <w:rPr>
          <w:rFonts w:hint="default"/>
          <w:b/>
          <w:sz w:val="44"/>
        </w:rPr>
      </w:pPr>
    </w:p>
    <w:p>
      <w:pPr>
        <w:pStyle w:val="7"/>
        <w:spacing w:line="560" w:lineRule="exact"/>
        <w:jc w:val="center"/>
        <w:rPr>
          <w:rFonts w:hint="default"/>
          <w:b/>
          <w:sz w:val="44"/>
        </w:rPr>
      </w:pPr>
    </w:p>
    <w:p>
      <w:pPr>
        <w:pStyle w:val="7"/>
        <w:spacing w:line="560" w:lineRule="exact"/>
        <w:jc w:val="center"/>
        <w:rPr>
          <w:rFonts w:hint="default" w:ascii="Times New Roman" w:eastAsia="Times New Roman"/>
          <w:b/>
          <w:sz w:val="44"/>
          <w:u w:val="single"/>
        </w:rPr>
      </w:pPr>
      <w:r>
        <w:rPr>
          <w:b/>
          <w:sz w:val="44"/>
        </w:rPr>
        <w:t>目</w:t>
      </w:r>
      <w:r>
        <w:rPr>
          <w:rFonts w:hint="default" w:ascii="Times New Roman" w:hAnsi="Times New Roman"/>
          <w:b/>
          <w:sz w:val="44"/>
        </w:rPr>
        <w:t xml:space="preserve">    </w:t>
      </w:r>
      <w:r>
        <w:rPr>
          <w:b/>
          <w:sz w:val="44"/>
        </w:rPr>
        <w:t>录</w:t>
      </w:r>
    </w:p>
    <w:p>
      <w:pPr>
        <w:pStyle w:val="7"/>
        <w:spacing w:line="560" w:lineRule="exact"/>
        <w:rPr>
          <w:rFonts w:hint="default" w:ascii="黑体" w:eastAsia="黑体"/>
          <w:sz w:val="32"/>
        </w:rPr>
      </w:pPr>
      <w:r>
        <w:rPr>
          <w:rFonts w:ascii="黑体" w:eastAsia="黑体"/>
          <w:sz w:val="32"/>
        </w:rPr>
        <w:t>第一部分    概况</w:t>
      </w:r>
    </w:p>
    <w:p>
      <w:pPr>
        <w:pStyle w:val="7"/>
        <w:spacing w:line="560" w:lineRule="exact"/>
        <w:ind w:left="720" w:hanging="720"/>
        <w:rPr>
          <w:rFonts w:hint="default" w:ascii="仿宋_GB2312" w:eastAsia="仿宋_GB2312"/>
          <w:sz w:val="32"/>
        </w:rPr>
      </w:pPr>
      <w:r>
        <w:rPr>
          <w:rFonts w:ascii="Times New Roman" w:hAnsi="Times New Roman"/>
          <w:sz w:val="32"/>
        </w:rPr>
        <w:t>一、</w:t>
      </w:r>
      <w:r>
        <w:rPr>
          <w:rFonts w:ascii="仿宋_GB2312" w:eastAsia="仿宋_GB2312"/>
          <w:sz w:val="32"/>
        </w:rPr>
        <w:t>主要职责</w:t>
      </w:r>
    </w:p>
    <w:p>
      <w:pPr>
        <w:pStyle w:val="7"/>
        <w:spacing w:line="560" w:lineRule="exact"/>
        <w:rPr>
          <w:rFonts w:hint="default" w:ascii="仿宋_GB2312" w:eastAsia="仿宋_GB2312"/>
          <w:sz w:val="32"/>
        </w:rPr>
      </w:pPr>
      <w:r>
        <w:rPr>
          <w:rFonts w:ascii="仿宋_GB2312" w:eastAsia="仿宋_GB2312"/>
          <w:sz w:val="32"/>
        </w:rPr>
        <w:t>二、决算单位构成</w:t>
      </w:r>
    </w:p>
    <w:p>
      <w:pPr>
        <w:pStyle w:val="7"/>
        <w:spacing w:line="560" w:lineRule="exact"/>
        <w:rPr>
          <w:rFonts w:hint="default" w:ascii="黑体" w:eastAsia="黑体"/>
          <w:sz w:val="32"/>
        </w:rPr>
      </w:pPr>
      <w:r>
        <w:rPr>
          <w:rFonts w:ascii="黑体" w:eastAsia="黑体"/>
          <w:sz w:val="32"/>
        </w:rPr>
        <w:t>第二部分    2021年决算情况说明</w:t>
      </w:r>
    </w:p>
    <w:p>
      <w:pPr>
        <w:pStyle w:val="7"/>
        <w:spacing w:line="560" w:lineRule="exact"/>
        <w:rPr>
          <w:rFonts w:hint="default" w:ascii="仿宋_GB2312" w:eastAsia="仿宋_GB2312"/>
          <w:sz w:val="32"/>
        </w:rPr>
      </w:pPr>
      <w:r>
        <w:rPr>
          <w:rFonts w:ascii="仿宋_GB2312" w:eastAsia="仿宋_GB2312"/>
          <w:sz w:val="32"/>
        </w:rPr>
        <w:t>一、收入支出决算总体情况说明</w:t>
      </w:r>
    </w:p>
    <w:p>
      <w:pPr>
        <w:pStyle w:val="7"/>
        <w:spacing w:line="560" w:lineRule="exact"/>
        <w:rPr>
          <w:rFonts w:hint="default" w:ascii="仿宋_GB2312" w:eastAsia="仿宋_GB2312"/>
          <w:sz w:val="32"/>
        </w:rPr>
      </w:pPr>
      <w:r>
        <w:rPr>
          <w:rFonts w:ascii="仿宋_GB2312" w:eastAsia="仿宋_GB2312"/>
          <w:sz w:val="32"/>
        </w:rPr>
        <w:t>二、财政拨款收入支出决算情况说明</w:t>
      </w:r>
    </w:p>
    <w:p>
      <w:pPr>
        <w:pStyle w:val="7"/>
        <w:spacing w:line="560" w:lineRule="exact"/>
        <w:rPr>
          <w:rFonts w:hint="default" w:ascii="仿宋_GB2312" w:eastAsia="仿宋_GB2312"/>
          <w:sz w:val="32"/>
        </w:rPr>
      </w:pPr>
      <w:r>
        <w:rPr>
          <w:rFonts w:ascii="仿宋_GB2312" w:eastAsia="仿宋_GB2312"/>
          <w:sz w:val="32"/>
        </w:rPr>
        <w:t>三、一般公共预算财政拨款“三公”经费支出决算情况说明</w:t>
      </w:r>
    </w:p>
    <w:p>
      <w:pPr>
        <w:pStyle w:val="7"/>
        <w:spacing w:line="560" w:lineRule="exact"/>
        <w:rPr>
          <w:rFonts w:hint="default" w:ascii="仿宋_GB2312" w:eastAsia="仿宋_GB2312"/>
          <w:sz w:val="32"/>
        </w:rPr>
      </w:pPr>
      <w:r>
        <w:rPr>
          <w:rFonts w:ascii="仿宋_GB2312" w:eastAsia="仿宋_GB2312"/>
          <w:sz w:val="32"/>
        </w:rPr>
        <w:t>四、一般公共预算财政拨款基本支出决算情况说明</w:t>
      </w:r>
    </w:p>
    <w:p>
      <w:pPr>
        <w:pStyle w:val="7"/>
        <w:spacing w:line="560" w:lineRule="exact"/>
        <w:rPr>
          <w:rFonts w:hint="default" w:ascii="黑体" w:eastAsia="黑体"/>
          <w:sz w:val="32"/>
        </w:rPr>
      </w:pPr>
      <w:r>
        <w:rPr>
          <w:rFonts w:ascii="仿宋_GB2312" w:eastAsia="仿宋_GB2312"/>
          <w:sz w:val="32"/>
        </w:rPr>
        <w:t>五、其他重要事项的情况说明</w:t>
      </w:r>
    </w:p>
    <w:p>
      <w:pPr>
        <w:pStyle w:val="7"/>
        <w:spacing w:line="560" w:lineRule="exact"/>
        <w:rPr>
          <w:rFonts w:hint="default" w:ascii="黑体" w:eastAsia="黑体"/>
          <w:sz w:val="32"/>
        </w:rPr>
      </w:pPr>
      <w:r>
        <w:rPr>
          <w:rFonts w:ascii="黑体" w:eastAsia="黑体"/>
          <w:sz w:val="32"/>
        </w:rPr>
        <w:t>第三部分    名词解释</w:t>
      </w:r>
    </w:p>
    <w:p>
      <w:pPr>
        <w:pStyle w:val="7"/>
        <w:spacing w:line="560" w:lineRule="exact"/>
        <w:rPr>
          <w:rFonts w:hint="default" w:ascii="黑体" w:eastAsia="黑体"/>
          <w:sz w:val="32"/>
        </w:rPr>
      </w:pPr>
      <w:r>
        <w:rPr>
          <w:rFonts w:ascii="黑体" w:eastAsia="黑体"/>
          <w:sz w:val="32"/>
        </w:rPr>
        <w:t xml:space="preserve">第四部分   </w:t>
      </w:r>
      <w:r>
        <w:rPr>
          <w:rFonts w:hint="eastAsia" w:ascii="黑体" w:eastAsia="黑体"/>
          <w:sz w:val="32"/>
          <w:lang w:val="en-US" w:eastAsia="zh-CN"/>
        </w:rPr>
        <w:t xml:space="preserve"> </w:t>
      </w:r>
      <w:r>
        <w:rPr>
          <w:rFonts w:ascii="黑体" w:eastAsia="黑体"/>
          <w:sz w:val="32"/>
        </w:rPr>
        <w:t>2021年决算报表</w:t>
      </w:r>
    </w:p>
    <w:p>
      <w:pPr>
        <w:pStyle w:val="7"/>
        <w:spacing w:line="560" w:lineRule="exact"/>
        <w:rPr>
          <w:rFonts w:hint="default" w:ascii="仿宋_GB2312" w:eastAsia="仿宋_GB2312"/>
          <w:sz w:val="32"/>
        </w:rPr>
      </w:pPr>
      <w:r>
        <w:rPr>
          <w:rFonts w:ascii="仿宋_GB2312" w:eastAsia="仿宋_GB2312"/>
          <w:sz w:val="32"/>
        </w:rPr>
        <w:t>一、2021年度收入支出决算总表</w:t>
      </w:r>
    </w:p>
    <w:p>
      <w:pPr>
        <w:pStyle w:val="7"/>
        <w:spacing w:line="560" w:lineRule="exact"/>
        <w:rPr>
          <w:rFonts w:hint="default" w:ascii="仿宋_GB2312" w:eastAsia="仿宋_GB2312"/>
          <w:sz w:val="32"/>
        </w:rPr>
      </w:pPr>
      <w:r>
        <w:rPr>
          <w:rFonts w:ascii="仿宋_GB2312" w:eastAsia="仿宋_GB2312"/>
          <w:sz w:val="32"/>
        </w:rPr>
        <w:t>二、2021年度收入决算表</w:t>
      </w:r>
    </w:p>
    <w:p>
      <w:pPr>
        <w:pStyle w:val="7"/>
        <w:spacing w:line="560" w:lineRule="exact"/>
        <w:rPr>
          <w:rFonts w:hint="default" w:ascii="仿宋_GB2312" w:eastAsia="仿宋_GB2312"/>
          <w:sz w:val="32"/>
        </w:rPr>
      </w:pPr>
      <w:r>
        <w:rPr>
          <w:rFonts w:ascii="仿宋_GB2312" w:eastAsia="仿宋_GB2312"/>
          <w:sz w:val="32"/>
        </w:rPr>
        <w:t>三、2021年度支出决算表</w:t>
      </w:r>
    </w:p>
    <w:p>
      <w:pPr>
        <w:pStyle w:val="7"/>
        <w:spacing w:line="560" w:lineRule="exact"/>
        <w:rPr>
          <w:rFonts w:hint="default" w:ascii="仿宋_GB2312" w:eastAsia="仿宋_GB2312"/>
          <w:sz w:val="32"/>
        </w:rPr>
      </w:pPr>
      <w:r>
        <w:rPr>
          <w:rFonts w:ascii="仿宋_GB2312" w:eastAsia="仿宋_GB2312"/>
          <w:sz w:val="32"/>
        </w:rPr>
        <w:t>四、2021年度财政拨款收入支出决算总表</w:t>
      </w:r>
    </w:p>
    <w:p>
      <w:pPr>
        <w:pStyle w:val="7"/>
        <w:spacing w:line="560" w:lineRule="exact"/>
        <w:rPr>
          <w:rFonts w:hint="default" w:ascii="仿宋_GB2312" w:eastAsia="仿宋_GB2312"/>
          <w:sz w:val="32"/>
        </w:rPr>
      </w:pPr>
      <w:r>
        <w:rPr>
          <w:rFonts w:ascii="仿宋_GB2312" w:eastAsia="仿宋_GB2312"/>
          <w:sz w:val="32"/>
        </w:rPr>
        <w:t>五、2021年度一般公共预算财政拨款支出决算表</w:t>
      </w:r>
    </w:p>
    <w:p>
      <w:pPr>
        <w:pStyle w:val="7"/>
        <w:spacing w:line="560" w:lineRule="exact"/>
        <w:rPr>
          <w:rFonts w:hint="default" w:ascii="仿宋_GB2312" w:eastAsia="仿宋_GB2312"/>
          <w:sz w:val="32"/>
        </w:rPr>
      </w:pPr>
      <w:r>
        <w:rPr>
          <w:rFonts w:ascii="仿宋_GB2312" w:eastAsia="仿宋_GB2312"/>
          <w:sz w:val="32"/>
        </w:rPr>
        <w:t>六、2021年度一般公共预算财政拨款基本支出决算表</w:t>
      </w:r>
    </w:p>
    <w:p>
      <w:pPr>
        <w:pStyle w:val="7"/>
        <w:spacing w:line="560" w:lineRule="exact"/>
        <w:rPr>
          <w:rFonts w:hint="default" w:ascii="仿宋_GB2312" w:eastAsia="仿宋_GB2312"/>
          <w:sz w:val="32"/>
        </w:rPr>
      </w:pPr>
      <w:r>
        <w:rPr>
          <w:rFonts w:ascii="仿宋_GB2312" w:eastAsia="仿宋_GB2312"/>
          <w:sz w:val="32"/>
        </w:rPr>
        <w:t>七、2021年度政府性基金预算财政拨款收入支出决算表</w:t>
      </w:r>
    </w:p>
    <w:p>
      <w:pPr>
        <w:pStyle w:val="7"/>
        <w:spacing w:line="560" w:lineRule="exact"/>
        <w:rPr>
          <w:rFonts w:hint="default" w:ascii="仿宋_GB2312" w:eastAsia="仿宋_GB2312"/>
          <w:sz w:val="32"/>
        </w:rPr>
      </w:pPr>
      <w:r>
        <w:rPr>
          <w:rFonts w:ascii="仿宋_GB2312" w:eastAsia="仿宋_GB2312"/>
          <w:sz w:val="32"/>
        </w:rPr>
        <w:t>八、2021年度一般公共预算财政拨款“三公”经费支出决算表</w:t>
      </w:r>
    </w:p>
    <w:p>
      <w:pPr>
        <w:pStyle w:val="7"/>
        <w:spacing w:line="560" w:lineRule="exact"/>
        <w:rPr>
          <w:rFonts w:hint="default" w:ascii="仿宋_GB2312" w:eastAsia="仿宋_GB2312"/>
          <w:sz w:val="32"/>
        </w:rPr>
      </w:pPr>
      <w:r>
        <w:rPr>
          <w:rFonts w:ascii="仿宋_GB2312" w:eastAsia="仿宋_GB2312"/>
          <w:sz w:val="32"/>
        </w:rPr>
        <w:t>九、2021年度国有资本经营预算财政拨款支出决算表</w:t>
      </w:r>
    </w:p>
    <w:p>
      <w:pPr>
        <w:pStyle w:val="7"/>
        <w:spacing w:line="560" w:lineRule="exact"/>
        <w:jc w:val="center"/>
        <w:rPr>
          <w:rFonts w:hint="default"/>
          <w:b/>
          <w:sz w:val="36"/>
        </w:rPr>
      </w:pPr>
    </w:p>
    <w:p>
      <w:pPr>
        <w:pStyle w:val="7"/>
        <w:spacing w:line="560" w:lineRule="exact"/>
        <w:jc w:val="center"/>
        <w:rPr>
          <w:rFonts w:hint="default"/>
          <w:b/>
          <w:sz w:val="36"/>
        </w:rPr>
      </w:pPr>
      <w:r>
        <w:rPr>
          <w:b/>
          <w:sz w:val="36"/>
        </w:rPr>
        <w:t>第一部分 概况</w:t>
      </w:r>
    </w:p>
    <w:p>
      <w:pPr>
        <w:pStyle w:val="7"/>
        <w:spacing w:line="560" w:lineRule="exact"/>
        <w:ind w:firstLine="640"/>
        <w:rPr>
          <w:rFonts w:hint="default" w:ascii="黑体" w:eastAsia="黑体"/>
          <w:sz w:val="32"/>
        </w:rPr>
      </w:pPr>
    </w:p>
    <w:p>
      <w:pPr>
        <w:pStyle w:val="7"/>
        <w:spacing w:line="560" w:lineRule="exact"/>
        <w:ind w:firstLine="640"/>
        <w:rPr>
          <w:rFonts w:hint="default" w:ascii="黑体" w:eastAsia="黑体"/>
          <w:sz w:val="32"/>
        </w:rPr>
      </w:pPr>
      <w:r>
        <w:rPr>
          <w:rFonts w:ascii="黑体" w:eastAsia="黑体"/>
          <w:sz w:val="32"/>
        </w:rPr>
        <w:t>一、主要职责</w:t>
      </w:r>
    </w:p>
    <w:p>
      <w:pPr>
        <w:pStyle w:val="7"/>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沈阳市人力资源和社会保障局贯彻落实党中央、省委关于人力资源和社会保障工作的方针政策和决策部署，在履行职责过程中坚持和加强党对人力资源和社会保障工作的集中统一领导。主要职责是：</w:t>
      </w:r>
    </w:p>
    <w:p>
      <w:pPr>
        <w:pStyle w:val="7"/>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（一）贯彻执行国家、省有关人力资源和社会保障的方针、</w:t>
      </w:r>
    </w:p>
    <w:p>
      <w:pPr>
        <w:pStyle w:val="7"/>
        <w:keepNext w:val="0"/>
        <w:keepLines w:val="0"/>
        <w:pageBreakBefore w:val="0"/>
        <w:widowControl/>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政策和法律、法规、规章，拟订全市人力资源和社会保障事业发展规划，组织起草人力资源和社会保障（不含医疗保障，下同） 地方性法规草案、规章、政策并组织实施和监督检查。</w:t>
      </w:r>
    </w:p>
    <w:p>
      <w:pPr>
        <w:pStyle w:val="7"/>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（二）拟订并组织实施全市人力资源市场发展规划和人力资源流动政策，指导全市人力资源市场建设，规范人才、劳动力、高等院校毕业生就业市场。</w:t>
      </w:r>
    </w:p>
    <w:p>
      <w:pPr>
        <w:pStyle w:val="7"/>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三）负责促进就业工作，拟订统筹城乡的就业发展规划和政策，完善公共就业服务体系；拟订就业援助制度；完善职业资格制度相关政策，建立面向城乡劳动者的职业培训制度；牵头拟订高校毕业生就业政策；统筹协调选拔高等院校优秀毕业生赴基层工作；会同有关部门拟订高技能人才、农村实用人才培养和激励政策；贯彻落实国家、省、市关于国（境）外人员（不含专家）就业管理政策，做好组织实施工作。</w:t>
      </w:r>
    </w:p>
    <w:p>
      <w:pPr>
        <w:pStyle w:val="7"/>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四）会同有关部门拟订事业单位人员工资收入分配制度改革实施意见，建立企事业单位人员工资正常增长和支付保障机制，拟订企事业单位人员福利政策和机关企事业单位离退休政策。代市政府承办有关人事任免事项；组织实施国家功勋荣誉制度；拟订表彰奖励制度，指导和协调表彰奖励工作。</w:t>
      </w:r>
    </w:p>
    <w:p>
      <w:pPr>
        <w:pStyle w:val="7"/>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（五）会同有关部门负责事业单位人事制度改革；拟订事业</w:t>
      </w:r>
    </w:p>
    <w:p>
      <w:pPr>
        <w:pStyle w:val="7"/>
        <w:keepNext w:val="0"/>
        <w:keepLines w:val="0"/>
        <w:pageBreakBefore w:val="0"/>
        <w:widowControl/>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单位人员管理政策；参与人才管理工作，制定专业技术人员管理和继续教育政策；牵头推进深化职称制度改革工作；健全博士后管理办法，负责高层次专业技术人才选拔、培养和引进工作。</w:t>
      </w:r>
    </w:p>
    <w:p>
      <w:pPr>
        <w:pStyle w:val="7"/>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（六）贯彻落实国家、省、市关于农民工工作的决策部署，</w:t>
      </w:r>
    </w:p>
    <w:p>
      <w:pPr>
        <w:pStyle w:val="7"/>
        <w:keepNext w:val="0"/>
        <w:keepLines w:val="0"/>
        <w:pageBreakBefore w:val="0"/>
        <w:widowControl/>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组织制定和审议全市农民工工作的重大方针政策措施，组织推动全市农民工工作；督促检查各地区、各部门相关政策落实情况和任务完成情况，协调解决政策落实中的重点难点问题；统筹协调落实国家、省、市关于家庭服务业工作重大决策和部署。</w:t>
      </w:r>
    </w:p>
    <w:p>
      <w:pPr>
        <w:pStyle w:val="7"/>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（七）统筹实施劳动、人事争议调解仲裁制度；拟订劳动关</w:t>
      </w:r>
    </w:p>
    <w:p>
      <w:pPr>
        <w:pStyle w:val="7"/>
        <w:keepNext w:val="0"/>
        <w:keepLines w:val="0"/>
        <w:pageBreakBefore w:val="0"/>
        <w:widowControl/>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系政策，完善劳动关系协调机制；拟订和监督落实非法使用童工 政策和女工、未成年工的特殊劳动保护政策；组织实施劳动监察</w:t>
      </w:r>
      <w:r>
        <w:rPr>
          <w:rFonts w:hint="eastAsia" w:ascii="仿宋_GB2312" w:hAnsi="Calibri" w:eastAsia="仿宋_GB2312" w:cs="Times New Roman"/>
          <w:sz w:val="32"/>
          <w:szCs w:val="32"/>
          <w:lang w:val="en-US" w:eastAsia="zh-CN"/>
        </w:rPr>
        <w:t>,</w:t>
      </w:r>
      <w:r>
        <w:rPr>
          <w:rFonts w:hint="eastAsia" w:ascii="仿宋_GB2312" w:hAnsi="Calibri" w:eastAsia="仿宋_GB2312" w:cs="Times New Roman"/>
          <w:sz w:val="32"/>
          <w:szCs w:val="32"/>
        </w:rPr>
        <w:t>协调劳动者维权工作，依法查处重大案件；完善人力资源和社会保障系统信访工作制度。</w:t>
      </w:r>
    </w:p>
    <w:p>
      <w:pPr>
        <w:pStyle w:val="7"/>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（八）统筹建立覆盖城乡的社会保障体系</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统筹拟订并组织实施城乡社会保险及其补充保险政策和标准；拟订并组织实施城乡社会保险及其补充保险政策和标准，组织拟订全市统一的社会保险关系转移接续办法，统筹拟订机关企事业单位基本养老保险政策，会同有关部门拟订全市社会保险及其补充保险基金的管理和监督办法，编制全市社会保险基金预决算草案，拟订全市社会保险基金投资运营政策。</w:t>
      </w:r>
    </w:p>
    <w:p>
      <w:pPr>
        <w:pStyle w:val="7"/>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（九）负责就业、失业、社会保险基金预测预警和信息引导，</w:t>
      </w:r>
    </w:p>
    <w:p>
      <w:pPr>
        <w:pStyle w:val="7"/>
        <w:keepNext w:val="0"/>
        <w:keepLines w:val="0"/>
        <w:pageBreakBefore w:val="0"/>
        <w:widowControl/>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拟订应对预案，实施预防、调节和控制，保持就业形势稳定和社会保险基金总体收支平衡。</w:t>
      </w:r>
    </w:p>
    <w:p>
      <w:pPr>
        <w:pStyle w:val="7"/>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（十）承担本部门及所属单位党组织建设相关工作。</w:t>
      </w:r>
    </w:p>
    <w:p>
      <w:pPr>
        <w:pStyle w:val="7"/>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（十一）指导全市技工学校、职业培训机构的安全生产和职 业健康工作。负责相关部门将安全生产和职业健康内容纳入政府工作人员培训教育计划，并作为奖惩、考核重要内容之一。</w:t>
      </w:r>
    </w:p>
    <w:p>
      <w:pPr>
        <w:pStyle w:val="7"/>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（十二）将环境保护法律法规纳入有关行政部门专业培训内 容和事业单位工作人员培训内容。</w:t>
      </w:r>
    </w:p>
    <w:p>
      <w:pPr>
        <w:pStyle w:val="7"/>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（十三）按分工负责企业帮扶工作。</w:t>
      </w:r>
    </w:p>
    <w:p>
      <w:pPr>
        <w:pStyle w:val="7"/>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（十四）本部门具体行政职权见政府门户网站公布的权责清 单和政务服务事项清单。</w:t>
      </w:r>
    </w:p>
    <w:p>
      <w:pPr>
        <w:pStyle w:val="7"/>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（十五）完成市委、市政府交办的其他任务。</w:t>
      </w:r>
    </w:p>
    <w:p>
      <w:pPr>
        <w:pStyle w:val="7"/>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十六）职能转变。沈阳市人力资源和社会保障局应加强促进就业创业、确保就业局势稳定，持续推进养老保险制度改革，做好治欠保支工作、保障农民工权益，适应现代化经济体系需要、激发人才创新创造活力等职责。</w:t>
      </w:r>
    </w:p>
    <w:p>
      <w:pPr>
        <w:pStyle w:val="7"/>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十七）与市教育局的有关职责分工。毕业生就业政策由市人力资源和社会保障局牵头，会同市教育局等部门拟订。毕业生离校前的就业指导和服务工作，由市教育局负责，毕业生离校后的就业指导和服务工作，由市人力资源和社会保障局负责。</w:t>
      </w:r>
    </w:p>
    <w:p>
      <w:pPr>
        <w:pStyle w:val="7"/>
        <w:spacing w:line="560" w:lineRule="exact"/>
        <w:ind w:firstLine="640"/>
        <w:rPr>
          <w:rFonts w:hint="default" w:ascii="黑体" w:eastAsia="黑体"/>
          <w:sz w:val="32"/>
        </w:rPr>
      </w:pPr>
      <w:r>
        <w:rPr>
          <w:rFonts w:ascii="黑体" w:eastAsia="黑体"/>
          <w:sz w:val="32"/>
        </w:rPr>
        <w:t>二、</w:t>
      </w:r>
      <w:r>
        <w:rPr>
          <w:rFonts w:hint="eastAsia" w:ascii="黑体" w:eastAsia="黑体"/>
          <w:sz w:val="32"/>
          <w:lang w:eastAsia="zh-CN"/>
        </w:rPr>
        <w:t>沈阳市人力资源和社会保障局</w:t>
      </w:r>
      <w:r>
        <w:rPr>
          <w:rFonts w:ascii="黑体" w:eastAsia="黑体"/>
          <w:sz w:val="32"/>
        </w:rPr>
        <w:t>决算单位构成</w:t>
      </w:r>
    </w:p>
    <w:p>
      <w:pPr>
        <w:pStyle w:val="7"/>
        <w:spacing w:line="560" w:lineRule="exact"/>
        <w:ind w:firstLine="64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纳入</w:t>
      </w:r>
      <w:r>
        <w:rPr>
          <w:rFonts w:hint="eastAsia" w:ascii="黑体" w:hAnsi="黑体" w:eastAsia="黑体" w:cs="黑体"/>
          <w:sz w:val="32"/>
          <w:lang w:eastAsia="zh-CN"/>
        </w:rPr>
        <w:t>沈阳市人力资源和社会保障局</w:t>
      </w:r>
      <w:r>
        <w:rPr>
          <w:rFonts w:hint="eastAsia" w:ascii="仿宋_GB2312" w:hAnsi="仿宋_GB2312" w:eastAsia="仿宋_GB2312" w:cs="仿宋_GB2312"/>
          <w:b/>
          <w:sz w:val="32"/>
          <w:szCs w:val="32"/>
        </w:rPr>
        <w:t>2021年部门决算编制范围的二级预算单位包括：</w:t>
      </w:r>
    </w:p>
    <w:p>
      <w:pPr>
        <w:pStyle w:val="7"/>
        <w:numPr>
          <w:ilvl w:val="0"/>
          <w:numId w:val="0"/>
        </w:numPr>
        <w:spacing w:line="560" w:lineRule="exact"/>
        <w:ind w:firstLine="640" w:firstLineChars="200"/>
        <w:rPr>
          <w:rFonts w:hint="eastAsia" w:ascii="仿宋_GB2312" w:hAnsi="仿宋_GB2312" w:eastAsia="仿宋_GB2312" w:cs="仿宋_GB2312"/>
          <w:b/>
          <w:sz w:val="36"/>
        </w:rPr>
      </w:pPr>
      <w:r>
        <w:rPr>
          <w:rFonts w:hint="eastAsia" w:ascii="仿宋_GB2312" w:hAnsi="仿宋_GB2312" w:eastAsia="仿宋_GB2312" w:cs="仿宋_GB2312"/>
          <w:sz w:val="32"/>
          <w:lang w:eastAsia="zh-CN"/>
        </w:rPr>
        <w:t>沈阳市人力资源和社会保障局本级</w:t>
      </w:r>
    </w:p>
    <w:p>
      <w:pPr>
        <w:pStyle w:val="7"/>
        <w:spacing w:line="560" w:lineRule="exact"/>
        <w:jc w:val="center"/>
        <w:rPr>
          <w:rFonts w:hint="default"/>
          <w:b/>
          <w:sz w:val="36"/>
        </w:rPr>
      </w:pPr>
      <w:r>
        <w:rPr>
          <w:b/>
          <w:sz w:val="36"/>
        </w:rPr>
        <w:t>第二部分 2021年决算情况说明</w:t>
      </w:r>
    </w:p>
    <w:p>
      <w:pPr>
        <w:pStyle w:val="7"/>
        <w:spacing w:line="560" w:lineRule="exact"/>
        <w:ind w:firstLine="640" w:firstLineChars="200"/>
        <w:rPr>
          <w:rFonts w:hint="default" w:ascii="黑体" w:eastAsia="黑体"/>
          <w:sz w:val="32"/>
        </w:rPr>
      </w:pPr>
    </w:p>
    <w:p>
      <w:pPr>
        <w:pStyle w:val="7"/>
        <w:spacing w:line="560" w:lineRule="exact"/>
        <w:ind w:firstLine="640" w:firstLineChars="200"/>
        <w:rPr>
          <w:rFonts w:hint="default" w:ascii="黑体" w:eastAsia="黑体"/>
          <w:sz w:val="32"/>
        </w:rPr>
      </w:pPr>
      <w:r>
        <w:rPr>
          <w:rFonts w:ascii="黑体" w:eastAsia="黑体"/>
          <w:sz w:val="32"/>
        </w:rPr>
        <w:t>一、收入支出决算总体情况说明</w:t>
      </w:r>
    </w:p>
    <w:p>
      <w:pPr>
        <w:pStyle w:val="7"/>
        <w:spacing w:line="560" w:lineRule="exact"/>
        <w:ind w:firstLine="660"/>
        <w:rPr>
          <w:rFonts w:hint="default" w:ascii="楷体_GB2312" w:eastAsia="楷体_GB2312"/>
          <w:b/>
          <w:sz w:val="32"/>
        </w:rPr>
      </w:pPr>
      <w:r>
        <w:rPr>
          <w:rFonts w:ascii="楷体_GB2312" w:eastAsia="楷体_GB2312"/>
          <w:b/>
          <w:sz w:val="32"/>
        </w:rPr>
        <w:t>（一）收入总计</w:t>
      </w:r>
      <w:r>
        <w:rPr>
          <w:rFonts w:hint="eastAsia" w:ascii="楷体_GB2312" w:eastAsia="楷体_GB2312"/>
          <w:b/>
          <w:sz w:val="32"/>
          <w:lang w:val="en-US" w:eastAsia="zh-CN"/>
        </w:rPr>
        <w:t>33924.67</w:t>
      </w:r>
      <w:r>
        <w:rPr>
          <w:rFonts w:ascii="楷体_GB2312" w:eastAsia="楷体_GB2312"/>
          <w:b/>
          <w:sz w:val="32"/>
        </w:rPr>
        <w:t>万元，包括：</w:t>
      </w:r>
    </w:p>
    <w:p>
      <w:pPr>
        <w:pStyle w:val="7"/>
        <w:spacing w:line="560" w:lineRule="exact"/>
        <w:ind w:firstLine="660"/>
        <w:rPr>
          <w:rFonts w:hint="default" w:ascii="仿宋_GB2312" w:eastAsia="仿宋_GB2312"/>
          <w:sz w:val="32"/>
        </w:rPr>
      </w:pPr>
      <w:r>
        <w:rPr>
          <w:rFonts w:ascii="仿宋_GB2312" w:eastAsia="仿宋_GB2312"/>
          <w:sz w:val="32"/>
        </w:rPr>
        <w:t>1.财政拨款收入</w:t>
      </w:r>
      <w:r>
        <w:rPr>
          <w:rFonts w:hint="eastAsia" w:ascii="仿宋_GB2312" w:eastAsia="仿宋_GB2312"/>
          <w:sz w:val="32"/>
          <w:lang w:val="en-US" w:eastAsia="zh-CN"/>
        </w:rPr>
        <w:t>26720.89</w:t>
      </w:r>
      <w:r>
        <w:rPr>
          <w:rFonts w:ascii="仿宋_GB2312" w:eastAsia="仿宋_GB2312"/>
          <w:sz w:val="32"/>
        </w:rPr>
        <w:t>万元，占收入总计的</w:t>
      </w:r>
      <w:r>
        <w:rPr>
          <w:rFonts w:hint="eastAsia" w:ascii="仿宋_GB2312" w:eastAsia="仿宋_GB2312"/>
          <w:sz w:val="32"/>
          <w:lang w:val="en-US" w:eastAsia="zh-CN"/>
        </w:rPr>
        <w:t>78.77</w:t>
      </w:r>
      <w:r>
        <w:rPr>
          <w:rFonts w:ascii="仿宋_GB2312" w:eastAsia="仿宋_GB2312"/>
          <w:sz w:val="32"/>
        </w:rPr>
        <w:t>%。其中：一般公共预算财政拨款收入</w:t>
      </w:r>
      <w:r>
        <w:rPr>
          <w:rFonts w:hint="eastAsia" w:ascii="仿宋_GB2312" w:eastAsia="仿宋_GB2312"/>
          <w:sz w:val="32"/>
          <w:lang w:val="en-US" w:eastAsia="zh-CN"/>
        </w:rPr>
        <w:t>26720.89</w:t>
      </w:r>
      <w:r>
        <w:rPr>
          <w:rFonts w:ascii="仿宋_GB2312" w:eastAsia="仿宋_GB2312"/>
          <w:sz w:val="32"/>
        </w:rPr>
        <w:t>万元，政府性基金收入</w:t>
      </w:r>
      <w:r>
        <w:rPr>
          <w:rFonts w:hint="eastAsia" w:ascii="仿宋_GB2312" w:eastAsia="仿宋_GB2312"/>
          <w:sz w:val="32"/>
          <w:lang w:val="en-US" w:eastAsia="zh-CN"/>
        </w:rPr>
        <w:t>0</w:t>
      </w:r>
      <w:r>
        <w:rPr>
          <w:rFonts w:ascii="仿宋_GB2312" w:eastAsia="仿宋_GB2312"/>
          <w:sz w:val="32"/>
        </w:rPr>
        <w:t>万元，国有资本经营预算财政拨款收入</w:t>
      </w:r>
      <w:r>
        <w:rPr>
          <w:rFonts w:hint="eastAsia" w:ascii="仿宋_GB2312" w:eastAsia="仿宋_GB2312"/>
          <w:sz w:val="32"/>
          <w:lang w:val="en-US" w:eastAsia="zh-CN"/>
        </w:rPr>
        <w:t>0</w:t>
      </w:r>
      <w:r>
        <w:rPr>
          <w:rFonts w:ascii="仿宋_GB2312" w:eastAsia="仿宋_GB2312"/>
          <w:sz w:val="32"/>
        </w:rPr>
        <w:t>万元。</w:t>
      </w:r>
    </w:p>
    <w:p>
      <w:pPr>
        <w:pStyle w:val="7"/>
        <w:spacing w:line="560" w:lineRule="exact"/>
        <w:ind w:firstLine="660"/>
        <w:rPr>
          <w:rFonts w:ascii="仿宋_GB2312" w:eastAsia="仿宋_GB2312"/>
          <w:sz w:val="32"/>
        </w:rPr>
      </w:pPr>
      <w:r>
        <w:rPr>
          <w:rFonts w:ascii="仿宋_GB2312" w:eastAsia="仿宋_GB2312"/>
          <w:sz w:val="32"/>
        </w:rPr>
        <w:t>2.上级补助收入</w:t>
      </w:r>
      <w:r>
        <w:rPr>
          <w:rFonts w:hint="eastAsia" w:ascii="仿宋_GB2312" w:eastAsia="仿宋_GB2312"/>
          <w:sz w:val="32"/>
          <w:lang w:val="en-US" w:eastAsia="zh-CN"/>
        </w:rPr>
        <w:t>0</w:t>
      </w:r>
      <w:r>
        <w:rPr>
          <w:rFonts w:ascii="仿宋_GB2312" w:eastAsia="仿宋_GB2312"/>
          <w:sz w:val="32"/>
        </w:rPr>
        <w:t>万元，占收入总计的</w:t>
      </w:r>
      <w:r>
        <w:rPr>
          <w:rFonts w:hint="eastAsia" w:ascii="仿宋_GB2312" w:eastAsia="仿宋_GB2312"/>
          <w:sz w:val="32"/>
          <w:lang w:val="en-US" w:eastAsia="zh-CN"/>
        </w:rPr>
        <w:t>0</w:t>
      </w:r>
      <w:r>
        <w:rPr>
          <w:rFonts w:ascii="仿宋_GB2312" w:eastAsia="仿宋_GB2312"/>
          <w:sz w:val="32"/>
        </w:rPr>
        <w:t>%。</w:t>
      </w:r>
    </w:p>
    <w:p>
      <w:pPr>
        <w:pStyle w:val="7"/>
        <w:spacing w:line="560" w:lineRule="exact"/>
        <w:ind w:firstLine="660"/>
        <w:rPr>
          <w:rFonts w:ascii="仿宋_GB2312" w:eastAsia="仿宋_GB2312"/>
          <w:sz w:val="32"/>
        </w:rPr>
      </w:pPr>
      <w:r>
        <w:rPr>
          <w:rFonts w:ascii="仿宋_GB2312" w:eastAsia="仿宋_GB2312"/>
          <w:sz w:val="32"/>
        </w:rPr>
        <w:t>3.事业收入</w:t>
      </w:r>
      <w:r>
        <w:rPr>
          <w:rFonts w:hint="eastAsia" w:ascii="仿宋_GB2312" w:eastAsia="仿宋_GB2312"/>
          <w:sz w:val="32"/>
          <w:lang w:val="en-US" w:eastAsia="zh-CN"/>
        </w:rPr>
        <w:t>0</w:t>
      </w:r>
      <w:r>
        <w:rPr>
          <w:rFonts w:ascii="仿宋_GB2312" w:eastAsia="仿宋_GB2312"/>
          <w:sz w:val="32"/>
        </w:rPr>
        <w:t>万元，占收入总计的</w:t>
      </w:r>
      <w:r>
        <w:rPr>
          <w:rFonts w:hint="eastAsia" w:ascii="仿宋_GB2312" w:eastAsia="仿宋_GB2312"/>
          <w:sz w:val="32"/>
          <w:lang w:val="en-US" w:eastAsia="zh-CN"/>
        </w:rPr>
        <w:t>0</w:t>
      </w:r>
      <w:r>
        <w:rPr>
          <w:rFonts w:ascii="仿宋_GB2312" w:eastAsia="仿宋_GB2312"/>
          <w:sz w:val="32"/>
        </w:rPr>
        <w:t>%。</w:t>
      </w:r>
    </w:p>
    <w:p>
      <w:pPr>
        <w:pStyle w:val="7"/>
        <w:spacing w:line="560" w:lineRule="exact"/>
        <w:ind w:firstLine="660"/>
        <w:rPr>
          <w:rFonts w:ascii="仿宋_GB2312" w:eastAsia="仿宋_GB2312"/>
          <w:sz w:val="32"/>
        </w:rPr>
      </w:pPr>
      <w:r>
        <w:rPr>
          <w:rFonts w:ascii="仿宋_GB2312" w:eastAsia="仿宋_GB2312"/>
          <w:sz w:val="32"/>
        </w:rPr>
        <w:t>4.经营收入</w:t>
      </w:r>
      <w:r>
        <w:rPr>
          <w:rFonts w:hint="eastAsia" w:ascii="仿宋_GB2312" w:eastAsia="仿宋_GB2312"/>
          <w:sz w:val="32"/>
          <w:lang w:val="en-US" w:eastAsia="zh-CN"/>
        </w:rPr>
        <w:t>0</w:t>
      </w:r>
      <w:r>
        <w:rPr>
          <w:rFonts w:ascii="仿宋_GB2312" w:eastAsia="仿宋_GB2312"/>
          <w:sz w:val="32"/>
        </w:rPr>
        <w:t>万元，占收入总计的</w:t>
      </w:r>
      <w:r>
        <w:rPr>
          <w:rFonts w:hint="eastAsia" w:ascii="仿宋_GB2312" w:eastAsia="仿宋_GB2312"/>
          <w:sz w:val="32"/>
          <w:lang w:val="en-US" w:eastAsia="zh-CN"/>
        </w:rPr>
        <w:t>0</w:t>
      </w:r>
      <w:r>
        <w:rPr>
          <w:rFonts w:ascii="仿宋_GB2312" w:eastAsia="仿宋_GB2312"/>
          <w:sz w:val="32"/>
        </w:rPr>
        <w:t>%。</w:t>
      </w:r>
    </w:p>
    <w:p>
      <w:pPr>
        <w:pStyle w:val="7"/>
        <w:spacing w:line="560" w:lineRule="exact"/>
        <w:ind w:firstLine="660"/>
        <w:rPr>
          <w:rFonts w:ascii="仿宋_GB2312" w:eastAsia="仿宋_GB2312"/>
          <w:sz w:val="32"/>
        </w:rPr>
      </w:pPr>
      <w:r>
        <w:rPr>
          <w:rFonts w:ascii="仿宋_GB2312" w:eastAsia="仿宋_GB2312"/>
          <w:sz w:val="32"/>
        </w:rPr>
        <w:t>5.附属单位上缴收入</w:t>
      </w:r>
      <w:r>
        <w:rPr>
          <w:rFonts w:hint="eastAsia" w:ascii="仿宋_GB2312" w:eastAsia="仿宋_GB2312"/>
          <w:sz w:val="32"/>
          <w:lang w:val="en-US" w:eastAsia="zh-CN"/>
        </w:rPr>
        <w:t>0</w:t>
      </w:r>
      <w:r>
        <w:rPr>
          <w:rFonts w:ascii="仿宋_GB2312" w:eastAsia="仿宋_GB2312"/>
          <w:sz w:val="32"/>
        </w:rPr>
        <w:t>万元，占收入总计的</w:t>
      </w:r>
      <w:r>
        <w:rPr>
          <w:rFonts w:hint="eastAsia" w:ascii="仿宋_GB2312" w:eastAsia="仿宋_GB2312"/>
          <w:sz w:val="32"/>
          <w:lang w:val="en-US" w:eastAsia="zh-CN"/>
        </w:rPr>
        <w:t>0</w:t>
      </w:r>
      <w:r>
        <w:rPr>
          <w:rFonts w:ascii="仿宋_GB2312" w:eastAsia="仿宋_GB2312"/>
          <w:sz w:val="32"/>
        </w:rPr>
        <w:t>%。</w:t>
      </w:r>
    </w:p>
    <w:p>
      <w:pPr>
        <w:pStyle w:val="7"/>
        <w:spacing w:line="560" w:lineRule="exact"/>
        <w:ind w:firstLine="660"/>
        <w:rPr>
          <w:rFonts w:ascii="仿宋_GB2312" w:eastAsia="仿宋_GB2312"/>
          <w:sz w:val="32"/>
        </w:rPr>
      </w:pPr>
      <w:r>
        <w:rPr>
          <w:rFonts w:ascii="仿宋_GB2312" w:eastAsia="仿宋_GB2312"/>
          <w:sz w:val="32"/>
        </w:rPr>
        <w:t>6.其他收入</w:t>
      </w:r>
      <w:r>
        <w:rPr>
          <w:rFonts w:hint="eastAsia" w:ascii="仿宋_GB2312" w:eastAsia="仿宋_GB2312"/>
          <w:sz w:val="32"/>
          <w:lang w:val="en-US" w:eastAsia="zh-CN"/>
        </w:rPr>
        <w:t>0</w:t>
      </w:r>
      <w:r>
        <w:rPr>
          <w:rFonts w:ascii="仿宋_GB2312" w:eastAsia="仿宋_GB2312"/>
          <w:sz w:val="32"/>
        </w:rPr>
        <w:t>万元，占收入总计的</w:t>
      </w:r>
      <w:r>
        <w:rPr>
          <w:rFonts w:hint="eastAsia" w:ascii="仿宋_GB2312" w:eastAsia="仿宋_GB2312"/>
          <w:sz w:val="32"/>
          <w:lang w:val="en-US" w:eastAsia="zh-CN"/>
        </w:rPr>
        <w:t>0</w:t>
      </w:r>
      <w:r>
        <w:rPr>
          <w:rFonts w:ascii="仿宋_GB2312" w:eastAsia="仿宋_GB2312"/>
          <w:sz w:val="32"/>
        </w:rPr>
        <w:t>%。</w:t>
      </w:r>
    </w:p>
    <w:p>
      <w:pPr>
        <w:pStyle w:val="7"/>
        <w:spacing w:line="560" w:lineRule="exact"/>
        <w:ind w:firstLine="660"/>
        <w:rPr>
          <w:rFonts w:ascii="仿宋_GB2312" w:eastAsia="仿宋_GB2312"/>
          <w:sz w:val="32"/>
        </w:rPr>
      </w:pPr>
      <w:r>
        <w:rPr>
          <w:rFonts w:ascii="仿宋_GB2312" w:eastAsia="仿宋_GB2312"/>
          <w:sz w:val="32"/>
        </w:rPr>
        <w:t>7.使用非财政拨款结余</w:t>
      </w:r>
      <w:r>
        <w:rPr>
          <w:rFonts w:hint="eastAsia" w:ascii="仿宋_GB2312" w:eastAsia="仿宋_GB2312"/>
          <w:sz w:val="32"/>
          <w:lang w:val="en-US" w:eastAsia="zh-CN"/>
        </w:rPr>
        <w:t>0</w:t>
      </w:r>
      <w:r>
        <w:rPr>
          <w:rFonts w:ascii="仿宋_GB2312" w:eastAsia="仿宋_GB2312"/>
          <w:sz w:val="32"/>
        </w:rPr>
        <w:t>万元，占收入总计的</w:t>
      </w:r>
      <w:r>
        <w:rPr>
          <w:rFonts w:hint="eastAsia" w:ascii="仿宋_GB2312" w:eastAsia="仿宋_GB2312"/>
          <w:sz w:val="32"/>
          <w:lang w:val="en-US" w:eastAsia="zh-CN"/>
        </w:rPr>
        <w:t>0</w:t>
      </w:r>
      <w:r>
        <w:rPr>
          <w:rFonts w:ascii="仿宋_GB2312" w:eastAsia="仿宋_GB2312"/>
          <w:sz w:val="32"/>
        </w:rPr>
        <w:t>%。</w:t>
      </w:r>
    </w:p>
    <w:p>
      <w:pPr>
        <w:pStyle w:val="7"/>
        <w:spacing w:line="560" w:lineRule="exact"/>
        <w:ind w:firstLine="660"/>
        <w:rPr>
          <w:rFonts w:ascii="仿宋_GB2312" w:eastAsia="仿宋_GB2312"/>
          <w:sz w:val="32"/>
        </w:rPr>
      </w:pPr>
      <w:r>
        <w:rPr>
          <w:rFonts w:ascii="仿宋_GB2312" w:eastAsia="仿宋_GB2312"/>
          <w:sz w:val="32"/>
        </w:rPr>
        <w:t>8.上年结转和结余</w:t>
      </w:r>
      <w:r>
        <w:rPr>
          <w:rFonts w:hint="eastAsia" w:ascii="仿宋_GB2312" w:eastAsia="仿宋_GB2312"/>
          <w:sz w:val="32"/>
          <w:lang w:val="en-US" w:eastAsia="zh-CN"/>
        </w:rPr>
        <w:t>7203.78</w:t>
      </w:r>
      <w:r>
        <w:rPr>
          <w:rFonts w:ascii="仿宋_GB2312" w:eastAsia="仿宋_GB2312"/>
          <w:sz w:val="32"/>
        </w:rPr>
        <w:t>万元，占收入总计的</w:t>
      </w:r>
      <w:r>
        <w:rPr>
          <w:rFonts w:hint="eastAsia" w:ascii="仿宋_GB2312" w:eastAsia="仿宋_GB2312"/>
          <w:sz w:val="32"/>
          <w:lang w:val="en-US" w:eastAsia="zh-CN"/>
        </w:rPr>
        <w:t>21.23</w:t>
      </w:r>
      <w:r>
        <w:rPr>
          <w:rFonts w:ascii="仿宋_GB2312" w:eastAsia="仿宋_GB2312"/>
          <w:sz w:val="32"/>
        </w:rPr>
        <w:t>%。</w:t>
      </w:r>
    </w:p>
    <w:p>
      <w:pPr>
        <w:pStyle w:val="7"/>
        <w:spacing w:line="560" w:lineRule="exact"/>
        <w:ind w:firstLine="660"/>
        <w:rPr>
          <w:rFonts w:hint="default" w:ascii="仿宋_GB2312" w:eastAsia="仿宋_GB2312"/>
          <w:color w:val="auto"/>
          <w:sz w:val="32"/>
        </w:rPr>
      </w:pPr>
      <w:r>
        <w:rPr>
          <w:rFonts w:ascii="仿宋_GB2312" w:eastAsia="仿宋_GB2312"/>
          <w:sz w:val="32"/>
        </w:rPr>
        <w:t>与上年相比，今年收入减少</w:t>
      </w:r>
      <w:r>
        <w:rPr>
          <w:rFonts w:hint="eastAsia" w:ascii="仿宋_GB2312" w:eastAsia="仿宋_GB2312"/>
          <w:sz w:val="32"/>
          <w:lang w:val="en-US" w:eastAsia="zh-CN"/>
        </w:rPr>
        <w:t>5905.30</w:t>
      </w:r>
      <w:r>
        <w:rPr>
          <w:rFonts w:ascii="仿宋_GB2312" w:eastAsia="仿宋_GB2312"/>
          <w:sz w:val="32"/>
        </w:rPr>
        <w:t>万元，降低</w:t>
      </w:r>
      <w:r>
        <w:rPr>
          <w:rFonts w:hint="eastAsia" w:ascii="仿宋_GB2312" w:eastAsia="仿宋_GB2312"/>
          <w:sz w:val="32"/>
          <w:lang w:val="en-US" w:eastAsia="zh-CN"/>
        </w:rPr>
        <w:t>14.83</w:t>
      </w:r>
      <w:r>
        <w:rPr>
          <w:rFonts w:ascii="仿宋_GB2312" w:eastAsia="仿宋_GB2312"/>
          <w:sz w:val="32"/>
        </w:rPr>
        <w:t>%，主要原因：</w:t>
      </w:r>
      <w:r>
        <w:rPr>
          <w:rFonts w:ascii="黑体" w:eastAsia="黑体"/>
          <w:color w:val="auto"/>
          <w:sz w:val="32"/>
        </w:rPr>
        <w:t>一是</w:t>
      </w:r>
      <w:r>
        <w:rPr>
          <w:rFonts w:hint="eastAsia" w:ascii="仿宋_GB2312" w:eastAsia="仿宋_GB2312"/>
          <w:color w:val="auto"/>
          <w:sz w:val="32"/>
          <w:lang w:eastAsia="zh-CN"/>
        </w:rPr>
        <w:t>财政“一体化”支付平台实施收付实现制，年底资金全部收回财政，结余资金未确认收入；</w:t>
      </w:r>
      <w:r>
        <w:rPr>
          <w:rFonts w:ascii="黑体" w:eastAsia="黑体"/>
          <w:color w:val="auto"/>
          <w:sz w:val="32"/>
        </w:rPr>
        <w:t>二是</w:t>
      </w:r>
      <w:r>
        <w:rPr>
          <w:rFonts w:hint="eastAsia" w:ascii="仿宋_GB2312" w:eastAsia="仿宋_GB2312"/>
          <w:color w:val="auto"/>
          <w:sz w:val="32"/>
          <w:lang w:eastAsia="zh-CN"/>
        </w:rPr>
        <w:t>就业稳企等专项资金取消</w:t>
      </w:r>
      <w:r>
        <w:rPr>
          <w:rFonts w:ascii="仿宋_GB2312" w:eastAsia="仿宋_GB2312"/>
          <w:color w:val="auto"/>
          <w:sz w:val="32"/>
        </w:rPr>
        <w:t>。</w:t>
      </w:r>
    </w:p>
    <w:p>
      <w:pPr>
        <w:pStyle w:val="7"/>
        <w:spacing w:line="560" w:lineRule="exact"/>
        <w:ind w:firstLine="660"/>
        <w:rPr>
          <w:rFonts w:hint="default" w:ascii="楷体_GB2312" w:eastAsia="楷体_GB2312"/>
          <w:b/>
          <w:sz w:val="32"/>
        </w:rPr>
      </w:pPr>
      <w:r>
        <w:rPr>
          <w:rFonts w:ascii="楷体_GB2312" w:eastAsia="楷体_GB2312"/>
          <w:b/>
          <w:sz w:val="32"/>
        </w:rPr>
        <w:t>（二）支出总计</w:t>
      </w:r>
      <w:r>
        <w:rPr>
          <w:rFonts w:hint="eastAsia" w:ascii="楷体_GB2312" w:eastAsia="楷体_GB2312"/>
          <w:b/>
          <w:sz w:val="32"/>
          <w:lang w:val="en-US" w:eastAsia="zh-CN"/>
        </w:rPr>
        <w:t>33692.31</w:t>
      </w:r>
      <w:r>
        <w:rPr>
          <w:rFonts w:ascii="楷体_GB2312" w:eastAsia="楷体_GB2312"/>
          <w:b/>
          <w:sz w:val="32"/>
        </w:rPr>
        <w:t>万元，包括：</w:t>
      </w:r>
    </w:p>
    <w:p>
      <w:pPr>
        <w:pStyle w:val="7"/>
        <w:spacing w:line="560" w:lineRule="exact"/>
        <w:ind w:firstLine="660"/>
        <w:rPr>
          <w:rFonts w:hint="default" w:ascii="仿宋_GB2312" w:eastAsia="仿宋_GB2312"/>
          <w:sz w:val="32"/>
        </w:rPr>
      </w:pPr>
      <w:r>
        <w:rPr>
          <w:rFonts w:ascii="仿宋_GB2312" w:eastAsia="仿宋_GB2312"/>
          <w:sz w:val="32"/>
        </w:rPr>
        <w:t>1.基本支出</w:t>
      </w:r>
      <w:r>
        <w:rPr>
          <w:rFonts w:hint="eastAsia" w:ascii="仿宋_GB2312" w:eastAsia="仿宋_GB2312"/>
          <w:sz w:val="32"/>
          <w:lang w:val="en-US" w:eastAsia="zh-CN"/>
        </w:rPr>
        <w:t>4763.80</w:t>
      </w:r>
      <w:r>
        <w:rPr>
          <w:rFonts w:ascii="仿宋_GB2312" w:eastAsia="仿宋_GB2312"/>
          <w:sz w:val="32"/>
        </w:rPr>
        <w:t>万元，占支出总计的</w:t>
      </w:r>
      <w:r>
        <w:rPr>
          <w:rFonts w:hint="eastAsia" w:ascii="仿宋_GB2312" w:eastAsia="仿宋_GB2312"/>
          <w:sz w:val="32"/>
          <w:lang w:val="en-US" w:eastAsia="zh-CN"/>
        </w:rPr>
        <w:t>14.14</w:t>
      </w:r>
      <w:r>
        <w:rPr>
          <w:rFonts w:ascii="仿宋_GB2312" w:eastAsia="仿宋_GB2312"/>
          <w:sz w:val="32"/>
        </w:rPr>
        <w:t>%。主要是为保障机构正常运转、完成日常工作任务而发生的各项支出，其中：工资福利支出</w:t>
      </w:r>
      <w:r>
        <w:rPr>
          <w:rFonts w:hint="eastAsia" w:ascii="仿宋_GB2312" w:eastAsia="仿宋_GB2312"/>
          <w:sz w:val="32"/>
          <w:lang w:val="en-US" w:eastAsia="zh-CN"/>
        </w:rPr>
        <w:t>2965.93</w:t>
      </w:r>
      <w:r>
        <w:rPr>
          <w:rFonts w:ascii="仿宋_GB2312" w:eastAsia="仿宋_GB2312"/>
          <w:sz w:val="32"/>
        </w:rPr>
        <w:t>万元，对个人和家庭的补助支出</w:t>
      </w:r>
      <w:r>
        <w:rPr>
          <w:rFonts w:hint="eastAsia" w:ascii="仿宋_GB2312" w:eastAsia="仿宋_GB2312"/>
          <w:sz w:val="32"/>
          <w:lang w:val="en-US" w:eastAsia="zh-CN"/>
        </w:rPr>
        <w:t>979.08</w:t>
      </w:r>
      <w:r>
        <w:rPr>
          <w:rFonts w:ascii="仿宋_GB2312" w:eastAsia="仿宋_GB2312"/>
          <w:sz w:val="32"/>
        </w:rPr>
        <w:t>万元，商品和服务支出</w:t>
      </w:r>
      <w:r>
        <w:rPr>
          <w:rFonts w:hint="eastAsia" w:ascii="仿宋_GB2312" w:eastAsia="仿宋_GB2312"/>
          <w:sz w:val="32"/>
          <w:lang w:val="en-US" w:eastAsia="zh-CN"/>
        </w:rPr>
        <w:t>797.00</w:t>
      </w:r>
      <w:r>
        <w:rPr>
          <w:rFonts w:ascii="仿宋_GB2312" w:eastAsia="仿宋_GB2312"/>
          <w:sz w:val="32"/>
        </w:rPr>
        <w:t>万元，</w:t>
      </w:r>
      <w:r>
        <w:rPr>
          <w:rFonts w:hint="eastAsia" w:ascii="仿宋_GB2312" w:eastAsia="仿宋_GB2312"/>
          <w:sz w:val="32"/>
          <w:highlight w:val="none"/>
        </w:rPr>
        <w:t>资本性支出</w:t>
      </w:r>
      <w:r>
        <w:rPr>
          <w:rFonts w:hint="eastAsia" w:ascii="仿宋_GB2312" w:eastAsia="仿宋_GB2312"/>
          <w:sz w:val="32"/>
          <w:highlight w:val="none"/>
          <w:lang w:val="en-US" w:eastAsia="zh-CN"/>
        </w:rPr>
        <w:t>21.78万元</w:t>
      </w:r>
      <w:r>
        <w:rPr>
          <w:rFonts w:ascii="仿宋_GB2312" w:eastAsia="仿宋_GB2312"/>
          <w:sz w:val="32"/>
        </w:rPr>
        <w:t>。</w:t>
      </w:r>
    </w:p>
    <w:p>
      <w:pPr>
        <w:pStyle w:val="7"/>
        <w:spacing w:line="560" w:lineRule="exact"/>
        <w:ind w:firstLine="660"/>
        <w:rPr>
          <w:rFonts w:hint="default" w:ascii="仿宋_GB2312" w:eastAsia="仿宋_GB2312"/>
          <w:color w:val="auto"/>
          <w:sz w:val="32"/>
        </w:rPr>
      </w:pPr>
      <w:r>
        <w:rPr>
          <w:rFonts w:ascii="仿宋_GB2312" w:eastAsia="仿宋_GB2312"/>
          <w:sz w:val="32"/>
        </w:rPr>
        <w:t>2.项目支出</w:t>
      </w:r>
      <w:r>
        <w:rPr>
          <w:rFonts w:hint="eastAsia" w:ascii="仿宋_GB2312" w:eastAsia="仿宋_GB2312"/>
          <w:sz w:val="32"/>
          <w:lang w:val="en-US" w:eastAsia="zh-CN"/>
        </w:rPr>
        <w:t>28928.51</w:t>
      </w:r>
      <w:r>
        <w:rPr>
          <w:rFonts w:ascii="仿宋_GB2312" w:eastAsia="仿宋_GB2312"/>
          <w:sz w:val="32"/>
        </w:rPr>
        <w:t>万元，占支出总计的</w:t>
      </w:r>
      <w:r>
        <w:rPr>
          <w:rFonts w:hint="eastAsia" w:ascii="仿宋_GB2312" w:eastAsia="仿宋_GB2312"/>
          <w:sz w:val="32"/>
          <w:lang w:val="en-US" w:eastAsia="zh-CN"/>
        </w:rPr>
        <w:t>85.86</w:t>
      </w:r>
      <w:r>
        <w:rPr>
          <w:rFonts w:ascii="仿宋_GB2312" w:eastAsia="仿宋_GB2312"/>
          <w:sz w:val="32"/>
        </w:rPr>
        <w:t>%。主要包括</w:t>
      </w:r>
      <w:r>
        <w:rPr>
          <w:rFonts w:hint="eastAsia" w:ascii="仿宋_GB2312" w:eastAsia="仿宋_GB2312"/>
          <w:sz w:val="32"/>
          <w:lang w:eastAsia="zh-CN"/>
        </w:rPr>
        <w:t>一是</w:t>
      </w:r>
      <w:r>
        <w:rPr>
          <w:rFonts w:hint="eastAsia" w:ascii="仿宋_GB2312" w:eastAsia="仿宋_GB2312"/>
          <w:color w:val="auto"/>
          <w:sz w:val="32"/>
        </w:rPr>
        <w:t>教育支出</w:t>
      </w:r>
      <w:r>
        <w:rPr>
          <w:rFonts w:hint="eastAsia" w:ascii="仿宋_GB2312" w:eastAsia="仿宋_GB2312"/>
          <w:color w:val="auto"/>
          <w:sz w:val="32"/>
          <w:lang w:val="en-US" w:eastAsia="zh-CN"/>
        </w:rPr>
        <w:t>7469.77万元，用于职业技术学校的免学费和助学金的补助费用；二是社会保障和就业支出17018.18万元，用于一般行政管理事务337.12万元，机关服务59.16万元，引进人才费用3372.04万元，其他人力资源和社会保障管理事务支出12699.38万元，高技能人才培养补助550.48万元；三是其</w:t>
      </w:r>
      <w:r>
        <w:rPr>
          <w:rFonts w:hint="eastAsia" w:ascii="仿宋_GB2312" w:eastAsia="仿宋_GB2312"/>
          <w:color w:val="auto"/>
          <w:sz w:val="32"/>
          <w:highlight w:val="none"/>
          <w:lang w:val="en-US" w:eastAsia="zh-CN"/>
        </w:rPr>
        <w:t>他节能环保支出4440.55万元等</w:t>
      </w:r>
      <w:r>
        <w:rPr>
          <w:rFonts w:hint="eastAsia" w:ascii="仿宋_GB2312" w:eastAsia="仿宋_GB2312"/>
          <w:color w:val="auto"/>
          <w:sz w:val="32"/>
          <w:highlight w:val="none"/>
        </w:rPr>
        <w:t>业务支出</w:t>
      </w:r>
      <w:r>
        <w:rPr>
          <w:rFonts w:ascii="仿宋_GB2312" w:eastAsia="仿宋_GB2312"/>
          <w:color w:val="auto"/>
          <w:sz w:val="32"/>
        </w:rPr>
        <w:t>。</w:t>
      </w:r>
    </w:p>
    <w:p>
      <w:pPr>
        <w:pStyle w:val="7"/>
        <w:spacing w:line="560" w:lineRule="exact"/>
        <w:ind w:firstLine="660"/>
        <w:rPr>
          <w:rFonts w:ascii="仿宋_GB2312" w:eastAsia="仿宋_GB2312"/>
          <w:sz w:val="32"/>
        </w:rPr>
      </w:pPr>
      <w:r>
        <w:rPr>
          <w:rFonts w:ascii="仿宋_GB2312" w:eastAsia="仿宋_GB2312"/>
          <w:sz w:val="32"/>
        </w:rPr>
        <w:t>3.上缴上级支出</w:t>
      </w:r>
      <w:r>
        <w:rPr>
          <w:rFonts w:hint="eastAsia" w:ascii="仿宋_GB2312" w:eastAsia="仿宋_GB2312"/>
          <w:sz w:val="32"/>
          <w:lang w:val="en-US" w:eastAsia="zh-CN"/>
        </w:rPr>
        <w:t>0</w:t>
      </w:r>
      <w:r>
        <w:rPr>
          <w:rFonts w:ascii="仿宋_GB2312" w:eastAsia="仿宋_GB2312"/>
          <w:sz w:val="32"/>
        </w:rPr>
        <w:t>万元，占支出总计的</w:t>
      </w:r>
      <w:r>
        <w:rPr>
          <w:rFonts w:hint="eastAsia" w:ascii="仿宋_GB2312" w:eastAsia="仿宋_GB2312"/>
          <w:sz w:val="32"/>
          <w:lang w:val="en-US" w:eastAsia="zh-CN"/>
        </w:rPr>
        <w:t>0</w:t>
      </w:r>
      <w:r>
        <w:rPr>
          <w:rFonts w:ascii="仿宋_GB2312" w:eastAsia="仿宋_GB2312"/>
          <w:sz w:val="32"/>
        </w:rPr>
        <w:t>%。</w:t>
      </w:r>
    </w:p>
    <w:p>
      <w:pPr>
        <w:pStyle w:val="7"/>
        <w:spacing w:line="560" w:lineRule="exact"/>
        <w:ind w:firstLine="660"/>
        <w:rPr>
          <w:rFonts w:ascii="仿宋_GB2312" w:eastAsia="仿宋_GB2312"/>
          <w:sz w:val="32"/>
        </w:rPr>
      </w:pPr>
      <w:r>
        <w:rPr>
          <w:rFonts w:ascii="仿宋_GB2312" w:eastAsia="仿宋_GB2312"/>
          <w:sz w:val="32"/>
        </w:rPr>
        <w:t>4.经营支出</w:t>
      </w:r>
      <w:r>
        <w:rPr>
          <w:rFonts w:hint="eastAsia" w:ascii="仿宋_GB2312" w:eastAsia="仿宋_GB2312"/>
          <w:sz w:val="32"/>
          <w:lang w:val="en-US" w:eastAsia="zh-CN"/>
        </w:rPr>
        <w:t>0</w:t>
      </w:r>
      <w:r>
        <w:rPr>
          <w:rFonts w:ascii="仿宋_GB2312" w:eastAsia="仿宋_GB2312"/>
          <w:sz w:val="32"/>
        </w:rPr>
        <w:t>万元，占支出总计的</w:t>
      </w:r>
      <w:r>
        <w:rPr>
          <w:rFonts w:hint="eastAsia" w:ascii="仿宋_GB2312" w:eastAsia="仿宋_GB2312"/>
          <w:sz w:val="32"/>
          <w:lang w:val="en-US" w:eastAsia="zh-CN"/>
        </w:rPr>
        <w:t>0</w:t>
      </w:r>
      <w:r>
        <w:rPr>
          <w:rFonts w:ascii="仿宋_GB2312" w:eastAsia="仿宋_GB2312"/>
          <w:sz w:val="32"/>
        </w:rPr>
        <w:t>%。</w:t>
      </w:r>
    </w:p>
    <w:p>
      <w:pPr>
        <w:pStyle w:val="7"/>
        <w:spacing w:line="560" w:lineRule="exact"/>
        <w:ind w:firstLine="660"/>
        <w:rPr>
          <w:rFonts w:ascii="仿宋_GB2312" w:eastAsia="仿宋_GB2312"/>
          <w:sz w:val="32"/>
        </w:rPr>
      </w:pPr>
      <w:r>
        <w:rPr>
          <w:rFonts w:ascii="仿宋_GB2312" w:eastAsia="仿宋_GB2312"/>
          <w:sz w:val="32"/>
        </w:rPr>
        <w:t>5.对附属单位补助支出</w:t>
      </w:r>
      <w:r>
        <w:rPr>
          <w:rFonts w:hint="eastAsia" w:ascii="仿宋_GB2312" w:eastAsia="仿宋_GB2312"/>
          <w:sz w:val="32"/>
          <w:lang w:val="en-US" w:eastAsia="zh-CN"/>
        </w:rPr>
        <w:t>0</w:t>
      </w:r>
      <w:r>
        <w:rPr>
          <w:rFonts w:ascii="仿宋_GB2312" w:eastAsia="仿宋_GB2312"/>
          <w:sz w:val="32"/>
        </w:rPr>
        <w:t>万元，占支出总计的</w:t>
      </w:r>
      <w:r>
        <w:rPr>
          <w:rFonts w:hint="eastAsia" w:ascii="仿宋_GB2312" w:eastAsia="仿宋_GB2312"/>
          <w:sz w:val="32"/>
          <w:lang w:val="en-US" w:eastAsia="zh-CN"/>
        </w:rPr>
        <w:t>0</w:t>
      </w:r>
      <w:r>
        <w:rPr>
          <w:rFonts w:ascii="仿宋_GB2312" w:eastAsia="仿宋_GB2312"/>
          <w:sz w:val="32"/>
        </w:rPr>
        <w:t>%。</w:t>
      </w:r>
    </w:p>
    <w:p>
      <w:pPr>
        <w:pStyle w:val="7"/>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60"/>
        <w:jc w:val="both"/>
        <w:textAlignment w:val="auto"/>
        <w:outlineLvl w:val="9"/>
        <w:rPr>
          <w:rFonts w:hint="default" w:ascii="仿宋_GB2312" w:eastAsia="仿宋_GB2312"/>
          <w:sz w:val="32"/>
          <w:highlight w:val="none"/>
        </w:rPr>
      </w:pPr>
      <w:r>
        <w:rPr>
          <w:rFonts w:ascii="仿宋_GB2312" w:eastAsia="仿宋_GB2312"/>
          <w:sz w:val="32"/>
        </w:rPr>
        <w:t>与上年相比，今年支出增加</w:t>
      </w:r>
      <w:r>
        <w:rPr>
          <w:rFonts w:hint="eastAsia" w:ascii="仿宋_GB2312" w:eastAsia="仿宋_GB2312"/>
          <w:sz w:val="32"/>
          <w:lang w:val="en-US" w:eastAsia="zh-CN"/>
        </w:rPr>
        <w:t>5942.67</w:t>
      </w:r>
      <w:r>
        <w:rPr>
          <w:rFonts w:ascii="仿宋_GB2312" w:eastAsia="仿宋_GB2312"/>
          <w:sz w:val="32"/>
        </w:rPr>
        <w:t>万元，增长</w:t>
      </w:r>
      <w:r>
        <w:rPr>
          <w:rFonts w:hint="eastAsia" w:ascii="仿宋_GB2312" w:eastAsia="仿宋_GB2312"/>
          <w:sz w:val="32"/>
          <w:lang w:val="en-US" w:eastAsia="zh-CN"/>
        </w:rPr>
        <w:t>21.42</w:t>
      </w:r>
      <w:r>
        <w:rPr>
          <w:rFonts w:ascii="仿宋_GB2312" w:eastAsia="仿宋_GB2312"/>
          <w:sz w:val="32"/>
        </w:rPr>
        <w:t>%，主要原因：</w:t>
      </w:r>
      <w:r>
        <w:rPr>
          <w:rFonts w:hint="eastAsia" w:ascii="黑体" w:eastAsia="黑体"/>
          <w:sz w:val="32"/>
          <w:highlight w:val="none"/>
        </w:rPr>
        <w:t>一是</w:t>
      </w:r>
      <w:r>
        <w:rPr>
          <w:rFonts w:hint="eastAsia" w:ascii="仿宋" w:hAnsi="仿宋" w:eastAsia="仿宋" w:cs="仿宋"/>
          <w:sz w:val="32"/>
          <w:highlight w:val="none"/>
          <w:lang w:eastAsia="zh-CN"/>
        </w:rPr>
        <w:t>基本支出增加</w:t>
      </w:r>
      <w:r>
        <w:rPr>
          <w:rFonts w:hint="eastAsia" w:ascii="仿宋" w:hAnsi="仿宋" w:eastAsia="仿宋" w:cs="仿宋"/>
          <w:sz w:val="32"/>
          <w:highlight w:val="none"/>
          <w:lang w:val="en-US" w:eastAsia="zh-CN"/>
        </w:rPr>
        <w:t>281.91万元，其中人员经费增加133.53万元，公用经费增加148.37万元；</w:t>
      </w:r>
      <w:r>
        <w:rPr>
          <w:rFonts w:hint="eastAsia" w:ascii="黑体" w:eastAsia="黑体"/>
          <w:sz w:val="32"/>
          <w:highlight w:val="none"/>
        </w:rPr>
        <w:t>二是</w:t>
      </w:r>
      <w:r>
        <w:rPr>
          <w:rFonts w:hint="eastAsia" w:ascii="仿宋" w:hAnsi="仿宋" w:eastAsia="仿宋" w:cs="仿宋"/>
          <w:sz w:val="32"/>
          <w:highlight w:val="none"/>
          <w:lang w:eastAsia="zh-CN"/>
        </w:rPr>
        <w:t>项目支出增加</w:t>
      </w:r>
      <w:r>
        <w:rPr>
          <w:rFonts w:hint="eastAsia" w:ascii="仿宋" w:hAnsi="仿宋" w:eastAsia="仿宋" w:cs="仿宋"/>
          <w:sz w:val="32"/>
          <w:highlight w:val="none"/>
          <w:lang w:val="en-US" w:eastAsia="zh-CN"/>
        </w:rPr>
        <w:t>5660.76万元，主要包括</w:t>
      </w:r>
      <w:r>
        <w:rPr>
          <w:rFonts w:hint="eastAsia" w:ascii="仿宋_GB2312" w:eastAsia="仿宋_GB2312"/>
          <w:color w:val="auto"/>
          <w:sz w:val="32"/>
        </w:rPr>
        <w:t>教育支出</w:t>
      </w:r>
      <w:r>
        <w:rPr>
          <w:rFonts w:hint="eastAsia" w:ascii="仿宋" w:hAnsi="仿宋" w:eastAsia="仿宋" w:cs="仿宋"/>
          <w:sz w:val="32"/>
          <w:highlight w:val="none"/>
          <w:lang w:eastAsia="zh-CN"/>
        </w:rPr>
        <w:t>增加</w:t>
      </w:r>
      <w:r>
        <w:rPr>
          <w:rFonts w:hint="eastAsia" w:ascii="仿宋_GB2312" w:eastAsia="仿宋_GB2312"/>
          <w:sz w:val="32"/>
          <w:highlight w:val="none"/>
          <w:lang w:val="en-US" w:eastAsia="zh-CN"/>
        </w:rPr>
        <w:t>4755.42万元，其他节能环保支出减少2171.92万元，</w:t>
      </w:r>
      <w:r>
        <w:rPr>
          <w:rFonts w:hint="eastAsia" w:ascii="仿宋_GB2312" w:eastAsia="仿宋_GB2312"/>
          <w:color w:val="auto"/>
          <w:sz w:val="32"/>
          <w:lang w:val="en-US" w:eastAsia="zh-CN"/>
        </w:rPr>
        <w:t>人力资源和社会保障管理事务等</w:t>
      </w:r>
      <w:r>
        <w:rPr>
          <w:rFonts w:hint="eastAsia" w:ascii="仿宋_GB2312" w:eastAsia="仿宋_GB2312"/>
          <w:sz w:val="32"/>
          <w:highlight w:val="none"/>
          <w:lang w:val="en-US" w:eastAsia="zh-CN"/>
        </w:rPr>
        <w:t>支出增加3077.26万元</w:t>
      </w:r>
      <w:r>
        <w:rPr>
          <w:rFonts w:hint="eastAsia" w:ascii="仿宋_GB2312" w:eastAsia="仿宋_GB2312"/>
          <w:sz w:val="32"/>
          <w:highlight w:val="none"/>
        </w:rPr>
        <w:t>。</w:t>
      </w:r>
    </w:p>
    <w:p>
      <w:pPr>
        <w:pStyle w:val="7"/>
        <w:spacing w:line="560" w:lineRule="exact"/>
        <w:ind w:firstLine="660"/>
        <w:rPr>
          <w:rFonts w:hint="default" w:ascii="楷体_GB2312" w:eastAsia="楷体_GB2312"/>
          <w:b/>
          <w:sz w:val="32"/>
        </w:rPr>
      </w:pPr>
      <w:r>
        <w:rPr>
          <w:rFonts w:ascii="楷体_GB2312" w:eastAsia="楷体_GB2312"/>
          <w:b/>
          <w:sz w:val="32"/>
        </w:rPr>
        <w:t>（三）年末结转和结余</w:t>
      </w:r>
      <w:r>
        <w:rPr>
          <w:rFonts w:hint="eastAsia" w:ascii="楷体_GB2312" w:eastAsia="楷体_GB2312"/>
          <w:b/>
          <w:sz w:val="32"/>
          <w:lang w:val="en-US" w:eastAsia="zh-CN"/>
        </w:rPr>
        <w:t>232.36</w:t>
      </w:r>
      <w:r>
        <w:rPr>
          <w:rFonts w:ascii="楷体_GB2312" w:eastAsia="楷体_GB2312"/>
          <w:b/>
          <w:sz w:val="32"/>
        </w:rPr>
        <w:t>万元</w:t>
      </w:r>
    </w:p>
    <w:p>
      <w:pPr>
        <w:pStyle w:val="7"/>
        <w:spacing w:line="560" w:lineRule="exact"/>
        <w:ind w:firstLine="660"/>
        <w:rPr>
          <w:rFonts w:hint="default" w:ascii="仿宋_GB2312" w:eastAsia="仿宋_GB2312"/>
          <w:color w:val="auto"/>
          <w:sz w:val="32"/>
        </w:rPr>
      </w:pPr>
      <w:r>
        <w:rPr>
          <w:rFonts w:ascii="仿宋_GB2312" w:eastAsia="仿宋_GB2312"/>
          <w:sz w:val="32"/>
        </w:rPr>
        <w:t>主要是</w:t>
      </w:r>
      <w:r>
        <w:rPr>
          <w:rFonts w:hint="eastAsia" w:ascii="仿宋_GB2312" w:eastAsia="仿宋_GB2312"/>
          <w:sz w:val="32"/>
          <w:lang w:eastAsia="zh-CN"/>
        </w:rPr>
        <w:t>代扣代缴的个人保险等产生</w:t>
      </w:r>
      <w:r>
        <w:rPr>
          <w:rFonts w:ascii="仿宋_GB2312" w:eastAsia="仿宋_GB2312"/>
          <w:sz w:val="32"/>
        </w:rPr>
        <w:t>的结余。与上年相比，今年结转结余减少</w:t>
      </w:r>
      <w:r>
        <w:rPr>
          <w:rFonts w:hint="eastAsia" w:ascii="仿宋_GB2312" w:eastAsia="仿宋_GB2312"/>
          <w:sz w:val="32"/>
          <w:lang w:val="en-US" w:eastAsia="zh-CN"/>
        </w:rPr>
        <w:t>11847.97</w:t>
      </w:r>
      <w:r>
        <w:rPr>
          <w:rFonts w:ascii="仿宋_GB2312" w:eastAsia="仿宋_GB2312"/>
          <w:sz w:val="32"/>
        </w:rPr>
        <w:t>万元，降低</w:t>
      </w:r>
      <w:r>
        <w:rPr>
          <w:rFonts w:hint="eastAsia" w:ascii="仿宋_GB2312" w:eastAsia="仿宋_GB2312"/>
          <w:sz w:val="32"/>
          <w:lang w:val="en-US" w:eastAsia="zh-CN"/>
        </w:rPr>
        <w:t>98.08</w:t>
      </w:r>
      <w:r>
        <w:rPr>
          <w:rFonts w:ascii="仿宋_GB2312" w:eastAsia="仿宋_GB2312"/>
          <w:sz w:val="32"/>
        </w:rPr>
        <w:t>%，主要原因：</w:t>
      </w:r>
      <w:r>
        <w:rPr>
          <w:rFonts w:ascii="黑体" w:eastAsia="黑体"/>
          <w:color w:val="auto"/>
          <w:sz w:val="32"/>
        </w:rPr>
        <w:t>一是</w:t>
      </w:r>
      <w:r>
        <w:rPr>
          <w:rFonts w:hint="eastAsia" w:ascii="仿宋" w:hAnsi="仿宋" w:eastAsia="仿宋" w:cs="仿宋"/>
          <w:color w:val="auto"/>
          <w:sz w:val="32"/>
        </w:rPr>
        <w:t>财政“一体化”支付平台实施收付实现制，年底资金全部收回财政；</w:t>
      </w:r>
      <w:r>
        <w:rPr>
          <w:rFonts w:ascii="黑体" w:eastAsia="黑体"/>
          <w:color w:val="auto"/>
          <w:sz w:val="32"/>
        </w:rPr>
        <w:t>二是</w:t>
      </w:r>
      <w:r>
        <w:rPr>
          <w:rFonts w:hint="eastAsia" w:ascii="仿宋" w:hAnsi="仿宋" w:eastAsia="仿宋" w:cs="仿宋"/>
          <w:color w:val="auto"/>
          <w:sz w:val="32"/>
          <w:lang w:eastAsia="zh-CN"/>
        </w:rPr>
        <w:t>受</w:t>
      </w:r>
      <w:r>
        <w:rPr>
          <w:rFonts w:hint="eastAsia" w:ascii="仿宋_GB2312" w:eastAsia="仿宋_GB2312"/>
          <w:color w:val="auto"/>
          <w:sz w:val="32"/>
          <w:highlight w:val="none"/>
          <w:lang w:eastAsia="zh-CN"/>
        </w:rPr>
        <w:t>疫情影响的上年未支付的专项资金在本年开展项目并实现支付</w:t>
      </w:r>
      <w:r>
        <w:rPr>
          <w:rFonts w:ascii="仿宋_GB2312" w:eastAsia="仿宋_GB2312"/>
          <w:color w:val="auto"/>
          <w:sz w:val="32"/>
        </w:rPr>
        <w:t>。</w:t>
      </w:r>
    </w:p>
    <w:p>
      <w:pPr>
        <w:pStyle w:val="7"/>
        <w:spacing w:line="560" w:lineRule="exact"/>
        <w:ind w:firstLine="660"/>
        <w:rPr>
          <w:rFonts w:hint="default" w:ascii="黑体" w:eastAsia="黑体"/>
          <w:sz w:val="32"/>
        </w:rPr>
      </w:pPr>
      <w:r>
        <w:rPr>
          <w:rFonts w:ascii="黑体" w:eastAsia="黑体"/>
          <w:sz w:val="32"/>
        </w:rPr>
        <w:t>二、财政拨款收入支出决算情况说明</w:t>
      </w:r>
    </w:p>
    <w:p>
      <w:pPr>
        <w:pStyle w:val="7"/>
        <w:spacing w:line="560" w:lineRule="exact"/>
        <w:ind w:firstLine="660"/>
        <w:rPr>
          <w:rFonts w:hint="default" w:ascii="楷体_GB2312" w:eastAsia="楷体_GB2312"/>
          <w:b/>
          <w:sz w:val="32"/>
        </w:rPr>
      </w:pPr>
      <w:r>
        <w:rPr>
          <w:rFonts w:ascii="楷体_GB2312" w:eastAsia="楷体_GB2312"/>
          <w:b/>
          <w:sz w:val="32"/>
        </w:rPr>
        <w:t>（一）总体情况</w:t>
      </w:r>
    </w:p>
    <w:p>
      <w:pPr>
        <w:pStyle w:val="7"/>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60"/>
        <w:jc w:val="both"/>
        <w:textAlignment w:val="auto"/>
        <w:outlineLvl w:val="9"/>
        <w:rPr>
          <w:rFonts w:hint="default" w:ascii="仿宋_GB2312" w:eastAsia="仿宋_GB2312"/>
          <w:sz w:val="32"/>
          <w:highlight w:val="none"/>
        </w:rPr>
      </w:pPr>
      <w:r>
        <w:rPr>
          <w:rFonts w:ascii="仿宋_GB2312" w:eastAsia="仿宋_GB2312"/>
          <w:sz w:val="32"/>
        </w:rPr>
        <w:t>2021年度财政拨款支出</w:t>
      </w:r>
      <w:r>
        <w:rPr>
          <w:rFonts w:hint="eastAsia" w:ascii="仿宋_GB2312" w:eastAsia="仿宋_GB2312"/>
          <w:sz w:val="32"/>
          <w:lang w:val="en-US" w:eastAsia="zh-CN"/>
        </w:rPr>
        <w:t>33692.31</w:t>
      </w:r>
      <w:r>
        <w:rPr>
          <w:rFonts w:ascii="仿宋_GB2312" w:eastAsia="仿宋_GB2312"/>
          <w:sz w:val="32"/>
        </w:rPr>
        <w:t>万元，其中：基本支出</w:t>
      </w:r>
      <w:r>
        <w:rPr>
          <w:rFonts w:hint="eastAsia" w:ascii="仿宋_GB2312" w:eastAsia="仿宋_GB2312"/>
          <w:sz w:val="32"/>
          <w:lang w:val="en-US" w:eastAsia="zh-CN"/>
        </w:rPr>
        <w:t>4763.80</w:t>
      </w:r>
      <w:r>
        <w:rPr>
          <w:rFonts w:ascii="仿宋_GB2312" w:eastAsia="仿宋_GB2312"/>
          <w:sz w:val="32"/>
        </w:rPr>
        <w:t>万元，项目支出</w:t>
      </w:r>
      <w:r>
        <w:rPr>
          <w:rFonts w:hint="eastAsia" w:ascii="仿宋_GB2312" w:eastAsia="仿宋_GB2312"/>
          <w:sz w:val="32"/>
          <w:lang w:val="en-US" w:eastAsia="zh-CN"/>
        </w:rPr>
        <w:t>28928.51</w:t>
      </w:r>
      <w:r>
        <w:rPr>
          <w:rFonts w:ascii="仿宋_GB2312" w:eastAsia="仿宋_GB2312"/>
          <w:sz w:val="32"/>
        </w:rPr>
        <w:t>万元。与上年相比，财政拨款支出增加</w:t>
      </w:r>
      <w:r>
        <w:rPr>
          <w:rFonts w:hint="eastAsia" w:ascii="仿宋_GB2312" w:eastAsia="仿宋_GB2312"/>
          <w:sz w:val="32"/>
          <w:lang w:val="en-US" w:eastAsia="zh-CN"/>
        </w:rPr>
        <w:t>5942.67</w:t>
      </w:r>
      <w:r>
        <w:rPr>
          <w:rFonts w:ascii="仿宋_GB2312" w:eastAsia="仿宋_GB2312"/>
          <w:sz w:val="32"/>
        </w:rPr>
        <w:t>万元，增长</w:t>
      </w:r>
      <w:r>
        <w:rPr>
          <w:rFonts w:hint="eastAsia" w:ascii="仿宋_GB2312" w:eastAsia="仿宋_GB2312"/>
          <w:sz w:val="32"/>
          <w:lang w:val="en-US" w:eastAsia="zh-CN"/>
        </w:rPr>
        <w:t>21.42</w:t>
      </w:r>
      <w:r>
        <w:rPr>
          <w:rFonts w:ascii="仿宋_GB2312" w:eastAsia="仿宋_GB2312"/>
          <w:sz w:val="32"/>
        </w:rPr>
        <w:t>%，主要原因：</w:t>
      </w:r>
      <w:r>
        <w:rPr>
          <w:rFonts w:hint="eastAsia" w:ascii="黑体" w:eastAsia="黑体"/>
          <w:sz w:val="32"/>
          <w:highlight w:val="none"/>
        </w:rPr>
        <w:t>一是</w:t>
      </w:r>
      <w:r>
        <w:rPr>
          <w:rFonts w:hint="eastAsia" w:ascii="仿宋" w:hAnsi="仿宋" w:eastAsia="仿宋" w:cs="仿宋"/>
          <w:sz w:val="32"/>
          <w:highlight w:val="none"/>
          <w:lang w:eastAsia="zh-CN"/>
        </w:rPr>
        <w:t>基本支出增加</w:t>
      </w:r>
      <w:r>
        <w:rPr>
          <w:rFonts w:hint="eastAsia" w:ascii="仿宋" w:hAnsi="仿宋" w:eastAsia="仿宋" w:cs="仿宋"/>
          <w:sz w:val="32"/>
          <w:highlight w:val="none"/>
          <w:lang w:val="en-US" w:eastAsia="zh-CN"/>
        </w:rPr>
        <w:t>281.91万元，其中人员经费增加133.53万元，公用经费增加148.37万元；</w:t>
      </w:r>
      <w:r>
        <w:rPr>
          <w:rFonts w:hint="eastAsia" w:ascii="黑体" w:eastAsia="黑体"/>
          <w:sz w:val="32"/>
          <w:highlight w:val="none"/>
        </w:rPr>
        <w:t>二是</w:t>
      </w:r>
      <w:r>
        <w:rPr>
          <w:rFonts w:hint="eastAsia" w:ascii="仿宋" w:hAnsi="仿宋" w:eastAsia="仿宋" w:cs="仿宋"/>
          <w:sz w:val="32"/>
          <w:highlight w:val="none"/>
          <w:lang w:eastAsia="zh-CN"/>
        </w:rPr>
        <w:t>项目支出增加</w:t>
      </w:r>
      <w:r>
        <w:rPr>
          <w:rFonts w:hint="eastAsia" w:ascii="仿宋" w:hAnsi="仿宋" w:eastAsia="仿宋" w:cs="仿宋"/>
          <w:sz w:val="32"/>
          <w:highlight w:val="none"/>
          <w:lang w:val="en-US" w:eastAsia="zh-CN"/>
        </w:rPr>
        <w:t>5660.76万元，主要包括</w:t>
      </w:r>
      <w:r>
        <w:rPr>
          <w:rFonts w:hint="eastAsia" w:ascii="仿宋_GB2312" w:eastAsia="仿宋_GB2312"/>
          <w:color w:val="auto"/>
          <w:sz w:val="32"/>
        </w:rPr>
        <w:t>教育支出</w:t>
      </w:r>
      <w:r>
        <w:rPr>
          <w:rFonts w:hint="eastAsia" w:ascii="仿宋" w:hAnsi="仿宋" w:eastAsia="仿宋" w:cs="仿宋"/>
          <w:sz w:val="32"/>
          <w:highlight w:val="none"/>
          <w:lang w:eastAsia="zh-CN"/>
        </w:rPr>
        <w:t>增加</w:t>
      </w:r>
      <w:r>
        <w:rPr>
          <w:rFonts w:hint="eastAsia" w:ascii="仿宋_GB2312" w:eastAsia="仿宋_GB2312"/>
          <w:sz w:val="32"/>
          <w:highlight w:val="none"/>
          <w:lang w:val="en-US" w:eastAsia="zh-CN"/>
        </w:rPr>
        <w:t>4755.42万元，其他节能环保支出减少2171.92万元，</w:t>
      </w:r>
      <w:r>
        <w:rPr>
          <w:rFonts w:hint="eastAsia" w:ascii="仿宋_GB2312" w:eastAsia="仿宋_GB2312"/>
          <w:color w:val="auto"/>
          <w:sz w:val="32"/>
          <w:lang w:val="en-US" w:eastAsia="zh-CN"/>
        </w:rPr>
        <w:t>人力资源和社会保障管理事务等</w:t>
      </w:r>
      <w:r>
        <w:rPr>
          <w:rFonts w:hint="eastAsia" w:ascii="仿宋_GB2312" w:eastAsia="仿宋_GB2312"/>
          <w:sz w:val="32"/>
          <w:highlight w:val="none"/>
          <w:lang w:val="en-US" w:eastAsia="zh-CN"/>
        </w:rPr>
        <w:t>支出增加3077.26万元</w:t>
      </w:r>
      <w:r>
        <w:rPr>
          <w:rFonts w:hint="eastAsia" w:ascii="仿宋_GB2312" w:eastAsia="仿宋_GB2312"/>
          <w:sz w:val="32"/>
          <w:highlight w:val="none"/>
        </w:rPr>
        <w:t>。</w:t>
      </w:r>
    </w:p>
    <w:p>
      <w:pPr>
        <w:pStyle w:val="7"/>
        <w:spacing w:line="560" w:lineRule="exact"/>
        <w:ind w:firstLine="660"/>
        <w:rPr>
          <w:rFonts w:ascii="仿宋_GB2312" w:eastAsia="仿宋_GB2312"/>
          <w:color w:val="auto"/>
          <w:sz w:val="32"/>
        </w:rPr>
      </w:pPr>
      <w:r>
        <w:rPr>
          <w:rFonts w:ascii="仿宋_GB2312" w:eastAsia="仿宋_GB2312"/>
          <w:sz w:val="32"/>
        </w:rPr>
        <w:t>与年初预算相比，</w:t>
      </w:r>
      <w:r>
        <w:rPr>
          <w:rFonts w:ascii="仿宋_GB2312" w:eastAsia="仿宋_GB2312"/>
          <w:color w:val="auto"/>
          <w:sz w:val="32"/>
        </w:rPr>
        <w:t>2021年度财政拨款支出完成年初预算的</w:t>
      </w:r>
    </w:p>
    <w:p>
      <w:pPr>
        <w:pStyle w:val="7"/>
        <w:spacing w:line="560" w:lineRule="exact"/>
        <w:rPr>
          <w:rFonts w:hint="default" w:ascii="仿宋_GB2312" w:eastAsia="仿宋_GB2312"/>
          <w:color w:val="auto"/>
          <w:sz w:val="32"/>
        </w:rPr>
      </w:pPr>
      <w:r>
        <w:rPr>
          <w:rFonts w:hint="eastAsia" w:ascii="仿宋_GB2312" w:eastAsia="仿宋_GB2312"/>
          <w:color w:val="auto"/>
          <w:sz w:val="32"/>
          <w:lang w:val="en-US" w:eastAsia="zh-CN"/>
        </w:rPr>
        <w:t>95.09</w:t>
      </w:r>
      <w:r>
        <w:rPr>
          <w:rFonts w:ascii="仿宋_GB2312" w:eastAsia="仿宋_GB2312"/>
          <w:color w:val="auto"/>
          <w:sz w:val="32"/>
        </w:rPr>
        <w:t>%，其中：基本支出完成年初预算的</w:t>
      </w:r>
      <w:r>
        <w:rPr>
          <w:rFonts w:hint="eastAsia" w:ascii="仿宋_GB2312" w:eastAsia="仿宋_GB2312"/>
          <w:color w:val="auto"/>
          <w:sz w:val="32"/>
          <w:lang w:val="en-US" w:eastAsia="zh-CN"/>
        </w:rPr>
        <w:t>122.34</w:t>
      </w:r>
      <w:r>
        <w:rPr>
          <w:rFonts w:ascii="仿宋_GB2312" w:eastAsia="仿宋_GB2312"/>
          <w:color w:val="auto"/>
          <w:sz w:val="32"/>
        </w:rPr>
        <w:t>%，项目支出完成年初预算的</w:t>
      </w:r>
      <w:r>
        <w:rPr>
          <w:rFonts w:hint="eastAsia" w:ascii="仿宋_GB2312" w:eastAsia="仿宋_GB2312"/>
          <w:color w:val="auto"/>
          <w:sz w:val="32"/>
          <w:lang w:val="en-US" w:eastAsia="zh-CN"/>
        </w:rPr>
        <w:t>91.72</w:t>
      </w:r>
      <w:r>
        <w:rPr>
          <w:rFonts w:ascii="仿宋_GB2312" w:eastAsia="仿宋_GB2312"/>
          <w:color w:val="auto"/>
          <w:sz w:val="32"/>
        </w:rPr>
        <w:t>%。</w:t>
      </w:r>
    </w:p>
    <w:p>
      <w:pPr>
        <w:spacing w:line="560" w:lineRule="exact"/>
        <w:ind w:firstLine="660"/>
        <w:rPr>
          <w:rFonts w:hint="default" w:ascii="楷体_GB2312" w:hAnsi="宋体" w:eastAsia="楷体_GB2312"/>
          <w:b/>
          <w:sz w:val="32"/>
          <w:szCs w:val="32"/>
        </w:rPr>
      </w:pPr>
      <w:r>
        <w:rPr>
          <w:rFonts w:ascii="楷体_GB2312" w:hAnsi="宋体" w:eastAsia="楷体_GB2312"/>
          <w:b/>
          <w:sz w:val="32"/>
          <w:szCs w:val="32"/>
        </w:rPr>
        <w:t>（二）一般公共预算财政拨款支出情况</w:t>
      </w:r>
    </w:p>
    <w:p>
      <w:pPr>
        <w:spacing w:line="560" w:lineRule="exact"/>
        <w:ind w:firstLine="660"/>
        <w:rPr>
          <w:rFonts w:hint="eastAsia" w:ascii="仿宋_GB2312" w:hAnsi="宋体" w:eastAsia="仿宋_GB2312"/>
          <w:sz w:val="32"/>
          <w:szCs w:val="32"/>
          <w:lang w:val="en-US" w:eastAsia="zh-CN"/>
        </w:rPr>
      </w:pPr>
      <w:r>
        <w:rPr>
          <w:rFonts w:ascii="仿宋_GB2312" w:hAnsi="宋体" w:eastAsia="仿宋_GB2312"/>
          <w:sz w:val="32"/>
          <w:szCs w:val="32"/>
        </w:rPr>
        <w:t>2021年度一般公共预算财政拨款支出</w:t>
      </w:r>
      <w:r>
        <w:rPr>
          <w:rFonts w:hint="eastAsia" w:ascii="仿宋_GB2312" w:eastAsia="仿宋_GB2312"/>
          <w:sz w:val="32"/>
          <w:lang w:val="en-US" w:eastAsia="zh-CN"/>
        </w:rPr>
        <w:t>33692.31</w:t>
      </w:r>
      <w:r>
        <w:rPr>
          <w:rFonts w:ascii="仿宋_GB2312" w:hAnsi="宋体" w:eastAsia="仿宋_GB2312"/>
          <w:sz w:val="32"/>
          <w:szCs w:val="32"/>
        </w:rPr>
        <w:t>万元，按支出功能分类科目分，包括：</w:t>
      </w:r>
      <w:r>
        <w:rPr>
          <w:rFonts w:hint="eastAsia" w:ascii="仿宋_GB2312" w:hAnsi="宋体" w:eastAsia="仿宋_GB2312"/>
          <w:sz w:val="32"/>
          <w:szCs w:val="32"/>
        </w:rPr>
        <w:t>教育支出7469.77</w:t>
      </w:r>
      <w:r>
        <w:rPr>
          <w:rFonts w:hint="eastAsia" w:ascii="仿宋_GB2312" w:hAnsi="宋体" w:eastAsia="仿宋_GB2312"/>
          <w:sz w:val="32"/>
          <w:szCs w:val="32"/>
          <w:lang w:eastAsia="zh-CN"/>
        </w:rPr>
        <w:t>万元，社会保障和就业支出21237.3</w:t>
      </w:r>
      <w:r>
        <w:rPr>
          <w:rFonts w:hint="eastAsia" w:ascii="仿宋_GB2312" w:hAnsi="宋体" w:eastAsia="仿宋_GB2312"/>
          <w:sz w:val="32"/>
          <w:szCs w:val="32"/>
          <w:lang w:val="en-US" w:eastAsia="zh-CN"/>
        </w:rPr>
        <w:t>0万元，卫生健康支出122.50万元，节能环保支出4440.55万元，住房保障支出422.19万元。</w:t>
      </w:r>
    </w:p>
    <w:p>
      <w:pPr>
        <w:spacing w:line="560" w:lineRule="exact"/>
        <w:ind w:firstLine="660"/>
        <w:rPr>
          <w:rFonts w:hint="default"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教育支出7469.77</w:t>
      </w:r>
      <w:r>
        <w:rPr>
          <w:rFonts w:hint="eastAsia" w:ascii="仿宋_GB2312" w:hAnsi="宋体" w:eastAsia="仿宋_GB2312"/>
          <w:sz w:val="32"/>
          <w:szCs w:val="32"/>
          <w:lang w:eastAsia="zh-CN"/>
        </w:rPr>
        <w:t>万元</w:t>
      </w:r>
      <w:r>
        <w:rPr>
          <w:rFonts w:ascii="仿宋_GB2312" w:hAnsi="宋体" w:eastAsia="仿宋_GB2312"/>
          <w:sz w:val="32"/>
          <w:szCs w:val="32"/>
        </w:rPr>
        <w:t>，具体包括：</w:t>
      </w:r>
    </w:p>
    <w:p>
      <w:pPr>
        <w:spacing w:line="560" w:lineRule="exact"/>
        <w:ind w:firstLine="660"/>
        <w:rPr>
          <w:rFonts w:hint="default" w:ascii="仿宋_GB2312" w:hAnsi="宋体" w:eastAsia="仿宋_GB2312"/>
          <w:sz w:val="32"/>
          <w:szCs w:val="32"/>
        </w:rPr>
      </w:pPr>
      <w:r>
        <w:rPr>
          <w:rFonts w:hint="eastAsia" w:ascii="仿宋_GB2312" w:hAnsi="宋体" w:eastAsia="仿宋_GB2312"/>
          <w:sz w:val="32"/>
          <w:szCs w:val="32"/>
        </w:rPr>
        <w:t>教育支出</w:t>
      </w:r>
      <w:r>
        <w:rPr>
          <w:rFonts w:hint="eastAsia" w:ascii="仿宋_GB2312" w:hAnsi="宋体" w:eastAsia="仿宋_GB2312"/>
          <w:sz w:val="32"/>
          <w:szCs w:val="32"/>
          <w:lang w:eastAsia="zh-CN"/>
        </w:rPr>
        <w:t>（类）职业教育（款） 技校教育（项）</w:t>
      </w:r>
      <w:r>
        <w:rPr>
          <w:rFonts w:hint="eastAsia" w:ascii="仿宋_GB2312" w:hAnsi="宋体" w:eastAsia="仿宋_GB2312"/>
          <w:sz w:val="32"/>
          <w:szCs w:val="32"/>
          <w:lang w:val="en-US" w:eastAsia="zh-CN"/>
        </w:rPr>
        <w:t>1152.50</w:t>
      </w:r>
      <w:r>
        <w:rPr>
          <w:rFonts w:hint="eastAsia" w:ascii="仿宋_GB2312" w:hAnsi="宋体" w:eastAsia="仿宋_GB2312"/>
          <w:sz w:val="32"/>
          <w:szCs w:val="32"/>
          <w:lang w:eastAsia="zh-CN"/>
        </w:rPr>
        <w:t>万元，</w:t>
      </w:r>
      <w:r>
        <w:rPr>
          <w:rFonts w:hint="eastAsia" w:ascii="仿宋_GB2312" w:hAnsi="宋体" w:eastAsia="仿宋_GB2312"/>
          <w:sz w:val="32"/>
          <w:szCs w:val="32"/>
        </w:rPr>
        <w:t>教育支出</w:t>
      </w:r>
      <w:r>
        <w:rPr>
          <w:rFonts w:hint="eastAsia" w:ascii="仿宋_GB2312" w:hAnsi="宋体" w:eastAsia="仿宋_GB2312"/>
          <w:sz w:val="32"/>
          <w:szCs w:val="32"/>
          <w:lang w:eastAsia="zh-CN"/>
        </w:rPr>
        <w:t>（类）教育费附加安排的支出（款）其他教育费附加安排的支出（项）</w:t>
      </w:r>
      <w:r>
        <w:rPr>
          <w:rFonts w:hint="eastAsia" w:ascii="仿宋_GB2312" w:hAnsi="宋体" w:eastAsia="仿宋_GB2312"/>
          <w:sz w:val="32"/>
          <w:szCs w:val="32"/>
          <w:lang w:val="en-US" w:eastAsia="zh-CN"/>
        </w:rPr>
        <w:t>6317.27万元，</w:t>
      </w:r>
      <w:r>
        <w:rPr>
          <w:rFonts w:ascii="仿宋_GB2312" w:hAnsi="宋体" w:eastAsia="仿宋_GB2312"/>
          <w:sz w:val="32"/>
          <w:szCs w:val="32"/>
        </w:rPr>
        <w:t>主要是</w:t>
      </w:r>
      <w:r>
        <w:rPr>
          <w:rFonts w:hint="eastAsia" w:ascii="仿宋_GB2312" w:hAnsi="宋体" w:eastAsia="仿宋_GB2312"/>
          <w:sz w:val="32"/>
          <w:szCs w:val="32"/>
          <w:lang w:eastAsia="zh-CN"/>
        </w:rPr>
        <w:t>中职技工院校的免学费、助学金</w:t>
      </w:r>
      <w:r>
        <w:rPr>
          <w:rFonts w:ascii="仿宋_GB2312" w:hAnsi="宋体" w:eastAsia="仿宋_GB2312"/>
          <w:sz w:val="32"/>
          <w:szCs w:val="32"/>
        </w:rPr>
        <w:t>支出，完成年初预算的</w:t>
      </w:r>
      <w:r>
        <w:rPr>
          <w:rFonts w:hint="eastAsia" w:ascii="仿宋_GB2312" w:hAnsi="宋体" w:eastAsia="仿宋_GB2312"/>
          <w:sz w:val="32"/>
          <w:szCs w:val="32"/>
          <w:lang w:val="en-US" w:eastAsia="zh-CN"/>
        </w:rPr>
        <w:t>161.99</w:t>
      </w:r>
      <w:r>
        <w:rPr>
          <w:rFonts w:ascii="仿宋_GB2312" w:hAnsi="宋体" w:eastAsia="仿宋_GB2312"/>
          <w:sz w:val="32"/>
          <w:szCs w:val="32"/>
        </w:rPr>
        <w:t>%，决算数大于年初预算数的原因主要是</w:t>
      </w:r>
      <w:r>
        <w:rPr>
          <w:rFonts w:hint="eastAsia" w:ascii="仿宋_GB2312" w:hAnsi="宋体" w:eastAsia="仿宋_GB2312"/>
          <w:sz w:val="32"/>
          <w:szCs w:val="32"/>
          <w:lang w:eastAsia="zh-CN"/>
        </w:rPr>
        <w:t>在本年补发了</w:t>
      </w:r>
      <w:r>
        <w:rPr>
          <w:rFonts w:hint="eastAsia" w:ascii="仿宋_GB2312" w:hAnsi="宋体" w:eastAsia="仿宋_GB2312"/>
          <w:sz w:val="32"/>
          <w:szCs w:val="32"/>
          <w:lang w:val="en-US" w:eastAsia="zh-CN"/>
        </w:rPr>
        <w:t>2020年度的免学费、助学金补助费用</w:t>
      </w:r>
      <w:r>
        <w:rPr>
          <w:rFonts w:ascii="仿宋_GB2312" w:hAnsi="宋体" w:eastAsia="仿宋_GB2312"/>
          <w:sz w:val="32"/>
          <w:szCs w:val="32"/>
        </w:rPr>
        <w:t>。</w:t>
      </w:r>
    </w:p>
    <w:p>
      <w:pPr>
        <w:spacing w:line="560" w:lineRule="exact"/>
        <w:ind w:firstLine="66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lang w:eastAsia="zh-CN"/>
        </w:rPr>
        <w:t>社会保障和就业支出21237.</w:t>
      </w:r>
      <w:r>
        <w:rPr>
          <w:rFonts w:hint="eastAsia" w:ascii="仿宋_GB2312" w:hAnsi="宋体" w:eastAsia="仿宋_GB2312"/>
          <w:sz w:val="32"/>
          <w:szCs w:val="32"/>
          <w:lang w:val="en-US" w:eastAsia="zh-CN"/>
        </w:rPr>
        <w:t>28万元，</w:t>
      </w:r>
      <w:r>
        <w:rPr>
          <w:rFonts w:ascii="仿宋_GB2312" w:hAnsi="宋体" w:eastAsia="仿宋_GB2312"/>
          <w:sz w:val="32"/>
          <w:szCs w:val="32"/>
        </w:rPr>
        <w:t>具体包括：</w:t>
      </w:r>
    </w:p>
    <w:p>
      <w:pPr>
        <w:pStyle w:val="7"/>
        <w:spacing w:line="560" w:lineRule="exact"/>
        <w:ind w:firstLine="660"/>
        <w:rPr>
          <w:rFonts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1</w:t>
      </w:r>
      <w:r>
        <w:rPr>
          <w:rFonts w:hint="eastAsia" w:ascii="仿宋_GB2312" w:hAnsi="宋体" w:eastAsia="仿宋_GB2312"/>
          <w:sz w:val="32"/>
          <w:szCs w:val="32"/>
          <w:lang w:eastAsia="zh-CN"/>
        </w:rPr>
        <w:t>）社会保障和就业支出（类）人力资源和社会保障管理事务（款）行政运行（项）</w:t>
      </w:r>
      <w:r>
        <w:rPr>
          <w:rFonts w:hint="eastAsia" w:ascii="仿宋_GB2312" w:hAnsi="宋体" w:eastAsia="仿宋_GB2312"/>
          <w:sz w:val="32"/>
          <w:szCs w:val="32"/>
          <w:lang w:val="en-US" w:eastAsia="zh-CN"/>
        </w:rPr>
        <w:t>3823.00万元，</w:t>
      </w:r>
      <w:r>
        <w:rPr>
          <w:rFonts w:ascii="仿宋_GB2312" w:eastAsia="仿宋_GB2312"/>
          <w:sz w:val="32"/>
        </w:rPr>
        <w:t>主要是为保障机构正常运转、完成日常工作任务而发生的各项支出，其中：工资福利支出</w:t>
      </w:r>
      <w:r>
        <w:rPr>
          <w:rFonts w:hint="eastAsia" w:ascii="仿宋_GB2312" w:eastAsia="仿宋_GB2312"/>
          <w:sz w:val="32"/>
          <w:lang w:val="en-US" w:eastAsia="zh-CN"/>
        </w:rPr>
        <w:t>2194.87</w:t>
      </w:r>
      <w:r>
        <w:rPr>
          <w:rFonts w:ascii="仿宋_GB2312" w:eastAsia="仿宋_GB2312"/>
          <w:sz w:val="32"/>
        </w:rPr>
        <w:t>万元，对个人和家庭的补助支出</w:t>
      </w:r>
      <w:r>
        <w:rPr>
          <w:rFonts w:hint="eastAsia" w:ascii="仿宋_GB2312" w:eastAsia="仿宋_GB2312"/>
          <w:sz w:val="32"/>
          <w:lang w:val="en-US" w:eastAsia="zh-CN"/>
        </w:rPr>
        <w:t>809.35</w:t>
      </w:r>
      <w:r>
        <w:rPr>
          <w:rFonts w:ascii="仿宋_GB2312" w:eastAsia="仿宋_GB2312"/>
          <w:sz w:val="32"/>
        </w:rPr>
        <w:t>万元，商品和服务支出</w:t>
      </w:r>
      <w:r>
        <w:rPr>
          <w:rFonts w:hint="eastAsia" w:ascii="仿宋_GB2312" w:eastAsia="仿宋_GB2312"/>
          <w:sz w:val="32"/>
          <w:lang w:val="en-US" w:eastAsia="zh-CN"/>
        </w:rPr>
        <w:t>797.00</w:t>
      </w:r>
      <w:r>
        <w:rPr>
          <w:rFonts w:ascii="仿宋_GB2312" w:eastAsia="仿宋_GB2312"/>
          <w:sz w:val="32"/>
        </w:rPr>
        <w:t>万元，</w:t>
      </w:r>
      <w:r>
        <w:rPr>
          <w:rFonts w:hint="eastAsia" w:ascii="仿宋_GB2312" w:eastAsia="仿宋_GB2312"/>
          <w:sz w:val="32"/>
          <w:highlight w:val="none"/>
        </w:rPr>
        <w:t>资本性支出</w:t>
      </w:r>
      <w:r>
        <w:rPr>
          <w:rFonts w:hint="eastAsia" w:ascii="仿宋_GB2312" w:eastAsia="仿宋_GB2312"/>
          <w:sz w:val="32"/>
          <w:highlight w:val="none"/>
          <w:lang w:val="en-US" w:eastAsia="zh-CN"/>
        </w:rPr>
        <w:t>21.78万元</w:t>
      </w:r>
      <w:r>
        <w:rPr>
          <w:rFonts w:ascii="仿宋_GB2312" w:hAnsi="宋体" w:eastAsia="仿宋_GB2312"/>
          <w:sz w:val="32"/>
          <w:szCs w:val="32"/>
        </w:rPr>
        <w:t>，完成年初预算的</w:t>
      </w:r>
      <w:r>
        <w:rPr>
          <w:rFonts w:hint="eastAsia" w:ascii="仿宋_GB2312" w:eastAsia="仿宋_GB2312"/>
          <w:sz w:val="32"/>
          <w:szCs w:val="32"/>
          <w:lang w:val="en-US" w:eastAsia="zh-CN"/>
        </w:rPr>
        <w:t>125.37</w:t>
      </w:r>
      <w:r>
        <w:rPr>
          <w:rFonts w:ascii="仿宋_GB2312" w:hAnsi="宋体" w:eastAsia="仿宋_GB2312"/>
          <w:sz w:val="32"/>
          <w:szCs w:val="32"/>
        </w:rPr>
        <w:t>%，决算数大于年初预算数的原因主要是</w:t>
      </w:r>
      <w:r>
        <w:rPr>
          <w:rFonts w:hint="eastAsia" w:ascii="仿宋_GB2312" w:hAnsi="宋体" w:eastAsia="仿宋_GB2312"/>
          <w:sz w:val="32"/>
          <w:szCs w:val="32"/>
          <w:lang w:eastAsia="zh-CN"/>
        </w:rPr>
        <w:t>在本年补发了</w:t>
      </w:r>
      <w:r>
        <w:rPr>
          <w:rFonts w:hint="eastAsia" w:ascii="仿宋_GB2312" w:hAnsi="宋体" w:eastAsia="仿宋_GB2312"/>
          <w:sz w:val="32"/>
          <w:szCs w:val="32"/>
          <w:lang w:val="en-US" w:eastAsia="zh-CN"/>
        </w:rPr>
        <w:t>2020年度</w:t>
      </w:r>
      <w:r>
        <w:rPr>
          <w:rFonts w:hint="eastAsia" w:ascii="仿宋_GB2312" w:eastAsia="仿宋_GB2312"/>
          <w:sz w:val="32"/>
          <w:szCs w:val="32"/>
          <w:lang w:val="en-US" w:eastAsia="zh-CN"/>
        </w:rPr>
        <w:t>的部分工资福利，同时对于办公大楼进行了维修改造</w:t>
      </w:r>
      <w:r>
        <w:rPr>
          <w:rFonts w:ascii="仿宋_GB2312" w:hAnsi="宋体" w:eastAsia="仿宋_GB2312"/>
          <w:sz w:val="32"/>
          <w:szCs w:val="32"/>
        </w:rPr>
        <w:t>。</w:t>
      </w:r>
    </w:p>
    <w:p>
      <w:pPr>
        <w:pStyle w:val="7"/>
        <w:spacing w:line="560" w:lineRule="exact"/>
        <w:ind w:firstLine="660"/>
        <w:rPr>
          <w:rFonts w:hint="eastAsia" w:ascii="仿宋_GB2312" w:hAnsi="宋体" w:eastAsia="仿宋_GB2312"/>
          <w:sz w:val="32"/>
          <w:szCs w:val="32"/>
          <w:highlight w:val="none"/>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hAnsi="宋体" w:eastAsia="仿宋_GB2312"/>
          <w:sz w:val="32"/>
          <w:szCs w:val="32"/>
          <w:lang w:eastAsia="zh-CN"/>
        </w:rPr>
        <w:t>社会保障和就业支出（类）人力资源和社会保障管理事务（款） 一般行政管理事务（项）</w:t>
      </w:r>
      <w:r>
        <w:rPr>
          <w:rFonts w:hint="eastAsia" w:ascii="仿宋_GB2312" w:eastAsia="仿宋_GB2312"/>
          <w:sz w:val="32"/>
          <w:szCs w:val="32"/>
          <w:lang w:val="en-US" w:eastAsia="zh-CN"/>
        </w:rPr>
        <w:t>337.12</w:t>
      </w:r>
      <w:r>
        <w:rPr>
          <w:rFonts w:hint="eastAsia" w:ascii="仿宋_GB2312" w:hAnsi="宋体" w:eastAsia="仿宋_GB2312"/>
          <w:sz w:val="32"/>
          <w:szCs w:val="32"/>
          <w:lang w:val="en-US" w:eastAsia="zh-CN"/>
        </w:rPr>
        <w:t>万元，</w:t>
      </w:r>
      <w:r>
        <w:rPr>
          <w:rFonts w:hint="eastAsia" w:ascii="仿宋_GB2312" w:hAnsi="宋体" w:eastAsia="仿宋_GB2312"/>
          <w:sz w:val="32"/>
          <w:szCs w:val="32"/>
          <w:highlight w:val="none"/>
        </w:rPr>
        <w:t>主要是12333电话咨询中心经费</w:t>
      </w:r>
      <w:r>
        <w:rPr>
          <w:rFonts w:hint="eastAsia" w:ascii="仿宋_GB2312" w:hAnsi="宋体" w:eastAsia="仿宋_GB2312"/>
          <w:sz w:val="32"/>
          <w:szCs w:val="32"/>
          <w:highlight w:val="none"/>
          <w:lang w:eastAsia="zh-CN"/>
        </w:rPr>
        <w:t>支出</w:t>
      </w:r>
      <w:r>
        <w:rPr>
          <w:rFonts w:hint="eastAsia" w:ascii="仿宋_GB2312" w:eastAsia="仿宋_GB2312"/>
          <w:sz w:val="32"/>
          <w:szCs w:val="32"/>
          <w:highlight w:val="none"/>
          <w:lang w:val="en-US" w:eastAsia="zh-CN"/>
        </w:rPr>
        <w:t>182.87</w:t>
      </w:r>
      <w:r>
        <w:rPr>
          <w:rFonts w:hint="eastAsia" w:ascii="仿宋_GB2312" w:hAnsi="宋体" w:eastAsia="仿宋_GB2312"/>
          <w:sz w:val="32"/>
          <w:szCs w:val="32"/>
          <w:highlight w:val="none"/>
          <w:lang w:val="en-US" w:eastAsia="zh-CN"/>
        </w:rPr>
        <w:t>万元，高级专业技术资格评审费支出</w:t>
      </w:r>
      <w:r>
        <w:rPr>
          <w:rFonts w:hint="eastAsia" w:ascii="仿宋_GB2312" w:eastAsia="仿宋_GB2312"/>
          <w:sz w:val="32"/>
          <w:szCs w:val="32"/>
          <w:highlight w:val="none"/>
          <w:lang w:val="en-US" w:eastAsia="zh-CN"/>
        </w:rPr>
        <w:t>40.12</w:t>
      </w:r>
      <w:r>
        <w:rPr>
          <w:rFonts w:hint="eastAsia" w:ascii="仿宋_GB2312" w:hAnsi="宋体" w:eastAsia="仿宋_GB2312"/>
          <w:sz w:val="32"/>
          <w:szCs w:val="32"/>
          <w:highlight w:val="none"/>
          <w:lang w:val="en-US" w:eastAsia="zh-CN"/>
        </w:rPr>
        <w:t>万元</w:t>
      </w:r>
      <w:r>
        <w:rPr>
          <w:rFonts w:hint="eastAsia" w:ascii="仿宋_GB2312" w:hAnsi="宋体" w:eastAsia="仿宋_GB2312"/>
          <w:sz w:val="32"/>
          <w:szCs w:val="32"/>
          <w:highlight w:val="none"/>
        </w:rPr>
        <w:t>等支出，完成年初预算的</w:t>
      </w:r>
      <w:r>
        <w:rPr>
          <w:rFonts w:hint="eastAsia" w:ascii="仿宋_GB2312" w:eastAsia="仿宋_GB2312"/>
          <w:sz w:val="32"/>
          <w:szCs w:val="32"/>
          <w:highlight w:val="none"/>
          <w:lang w:val="en-US" w:eastAsia="zh-CN"/>
        </w:rPr>
        <w:t>87.46</w:t>
      </w:r>
      <w:r>
        <w:rPr>
          <w:rFonts w:hint="eastAsia" w:ascii="仿宋_GB2312" w:hAnsi="宋体" w:eastAsia="仿宋_GB2312"/>
          <w:sz w:val="32"/>
          <w:szCs w:val="32"/>
          <w:highlight w:val="none"/>
        </w:rPr>
        <w:t>%，决算数小于年初预算数的原因主要是</w:t>
      </w:r>
      <w:r>
        <w:rPr>
          <w:rFonts w:hint="eastAsia" w:ascii="仿宋_GB2312" w:hAnsi="宋体" w:eastAsia="仿宋_GB2312"/>
          <w:sz w:val="32"/>
          <w:szCs w:val="32"/>
          <w:highlight w:val="none"/>
          <w:lang w:eastAsia="zh-CN"/>
        </w:rPr>
        <w:t>个别项目</w:t>
      </w:r>
      <w:r>
        <w:rPr>
          <w:rFonts w:hint="eastAsia" w:ascii="仿宋_GB2312" w:eastAsia="仿宋_GB2312"/>
          <w:sz w:val="32"/>
          <w:szCs w:val="32"/>
          <w:highlight w:val="none"/>
          <w:lang w:eastAsia="zh-CN"/>
        </w:rPr>
        <w:t>存在</w:t>
      </w:r>
      <w:r>
        <w:rPr>
          <w:rFonts w:hint="eastAsia" w:ascii="仿宋_GB2312" w:eastAsia="仿宋_GB2312"/>
          <w:sz w:val="32"/>
          <w:szCs w:val="32"/>
          <w:highlight w:val="none"/>
          <w:lang w:val="en-US" w:eastAsia="zh-CN"/>
        </w:rPr>
        <w:t>2020年底的</w:t>
      </w:r>
      <w:r>
        <w:rPr>
          <w:rFonts w:hint="eastAsia" w:ascii="仿宋_GB2312" w:hAnsi="宋体" w:eastAsia="仿宋_GB2312"/>
          <w:sz w:val="32"/>
          <w:szCs w:val="32"/>
          <w:highlight w:val="none"/>
          <w:lang w:eastAsia="zh-CN"/>
        </w:rPr>
        <w:t>结转资金</w:t>
      </w:r>
      <w:r>
        <w:rPr>
          <w:rFonts w:hint="eastAsia" w:ascii="仿宋_GB2312" w:hAnsi="宋体" w:eastAsia="仿宋_GB2312"/>
          <w:sz w:val="32"/>
          <w:szCs w:val="32"/>
          <w:highlight w:val="none"/>
        </w:rPr>
        <w:t>。</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60"/>
        <w:textAlignment w:val="auto"/>
        <w:outlineLvl w:val="9"/>
        <w:rPr>
          <w:rFonts w:hint="eastAsia" w:ascii="仿宋_GB2312" w:hAnsi="宋体" w:eastAsia="仿宋_GB2312"/>
          <w:sz w:val="32"/>
          <w:szCs w:val="32"/>
          <w:highlight w:val="none"/>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lang w:eastAsia="zh-CN"/>
        </w:rPr>
        <w:t>）</w:t>
      </w:r>
      <w:r>
        <w:rPr>
          <w:rFonts w:hint="eastAsia" w:ascii="仿宋_GB2312" w:hAnsi="宋体" w:eastAsia="仿宋_GB2312"/>
          <w:sz w:val="32"/>
          <w:szCs w:val="32"/>
          <w:lang w:eastAsia="zh-CN"/>
        </w:rPr>
        <w:t>社会保障和就业支出（类）人力资源和社会保障管理事务（款）机关服务（项）</w:t>
      </w:r>
      <w:r>
        <w:rPr>
          <w:rFonts w:hint="eastAsia" w:ascii="仿宋_GB2312" w:eastAsia="仿宋_GB2312"/>
          <w:sz w:val="32"/>
          <w:szCs w:val="32"/>
          <w:lang w:val="en-US" w:eastAsia="zh-CN"/>
        </w:rPr>
        <w:t>59.16</w:t>
      </w:r>
      <w:r>
        <w:rPr>
          <w:rFonts w:hint="eastAsia" w:ascii="仿宋_GB2312" w:hAnsi="宋体" w:eastAsia="仿宋_GB2312"/>
          <w:sz w:val="32"/>
          <w:szCs w:val="32"/>
          <w:lang w:val="en-US" w:eastAsia="zh-CN"/>
        </w:rPr>
        <w:t>万元，</w:t>
      </w:r>
      <w:r>
        <w:rPr>
          <w:rFonts w:hint="eastAsia" w:ascii="仿宋_GB2312" w:hAnsi="宋体" w:eastAsia="仿宋_GB2312"/>
          <w:sz w:val="32"/>
          <w:szCs w:val="32"/>
          <w:highlight w:val="none"/>
        </w:rPr>
        <w:t>主要是人才大厦大楼</w:t>
      </w:r>
      <w:r>
        <w:rPr>
          <w:rFonts w:hint="eastAsia" w:ascii="仿宋_GB2312" w:hAnsi="宋体" w:eastAsia="仿宋_GB2312"/>
          <w:sz w:val="32"/>
          <w:szCs w:val="32"/>
          <w:highlight w:val="none"/>
          <w:lang w:eastAsia="zh-CN"/>
        </w:rPr>
        <w:t>维护修缮</w:t>
      </w:r>
      <w:r>
        <w:rPr>
          <w:rFonts w:hint="eastAsia" w:ascii="仿宋_GB2312" w:hAnsi="宋体" w:eastAsia="仿宋_GB2312"/>
          <w:sz w:val="32"/>
          <w:szCs w:val="32"/>
          <w:highlight w:val="none"/>
          <w:lang w:val="en-US" w:eastAsia="zh-CN"/>
        </w:rPr>
        <w:t>22.08万元，物业管理费37.08万元</w:t>
      </w:r>
      <w:r>
        <w:rPr>
          <w:rFonts w:hint="eastAsia" w:ascii="仿宋_GB2312" w:hAnsi="宋体" w:eastAsia="仿宋_GB2312"/>
          <w:sz w:val="32"/>
          <w:szCs w:val="32"/>
          <w:highlight w:val="none"/>
        </w:rPr>
        <w:t>，完成年初预算的</w:t>
      </w:r>
      <w:r>
        <w:rPr>
          <w:rFonts w:hint="eastAsia" w:ascii="仿宋_GB2312" w:hAnsi="宋体" w:eastAsia="仿宋_GB2312"/>
          <w:sz w:val="32"/>
          <w:szCs w:val="32"/>
          <w:highlight w:val="none"/>
          <w:lang w:val="en-US" w:eastAsia="zh-CN"/>
        </w:rPr>
        <w:t>91.27</w:t>
      </w:r>
      <w:r>
        <w:rPr>
          <w:rFonts w:hint="eastAsia" w:ascii="仿宋_GB2312" w:hAnsi="宋体" w:eastAsia="仿宋_GB2312"/>
          <w:sz w:val="32"/>
          <w:szCs w:val="32"/>
          <w:highlight w:val="none"/>
        </w:rPr>
        <w:t>%，决算数小于年初预算数的原因主要是</w:t>
      </w:r>
      <w:r>
        <w:rPr>
          <w:rFonts w:hint="eastAsia" w:ascii="仿宋_GB2312" w:hAnsi="宋体" w:eastAsia="仿宋_GB2312"/>
          <w:sz w:val="32"/>
          <w:szCs w:val="32"/>
          <w:highlight w:val="none"/>
          <w:lang w:eastAsia="zh-CN"/>
        </w:rPr>
        <w:t>人社大楼电梯检修的部分费用应检修公司的要求跨年支付，并已经于</w:t>
      </w:r>
      <w:r>
        <w:rPr>
          <w:rFonts w:hint="eastAsia" w:ascii="仿宋_GB2312" w:hAnsi="宋体" w:eastAsia="仿宋_GB2312"/>
          <w:sz w:val="32"/>
          <w:szCs w:val="32"/>
          <w:highlight w:val="none"/>
          <w:lang w:val="en-US" w:eastAsia="zh-CN"/>
        </w:rPr>
        <w:t>2022年1月份支付完成</w:t>
      </w:r>
      <w:r>
        <w:rPr>
          <w:rFonts w:hint="eastAsia" w:ascii="仿宋_GB2312" w:hAnsi="宋体" w:eastAsia="仿宋_GB2312"/>
          <w:sz w:val="32"/>
          <w:szCs w:val="32"/>
          <w:highlight w:val="none"/>
        </w:rPr>
        <w:t>。</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60"/>
        <w:textAlignment w:val="auto"/>
        <w:outlineLvl w:val="9"/>
        <w:rPr>
          <w:rFonts w:hint="eastAsia" w:ascii="仿宋_GB2312" w:hAnsi="宋体" w:eastAsia="仿宋_GB2312"/>
          <w:sz w:val="32"/>
          <w:szCs w:val="32"/>
          <w:highlight w:val="none"/>
        </w:rPr>
      </w:pP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4</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lang w:eastAsia="zh-CN"/>
        </w:rPr>
        <w:t>社会保障和就业支出（类）人力资源和社会保障管理事务（款）引进人才费用（项）</w:t>
      </w:r>
      <w:r>
        <w:rPr>
          <w:rFonts w:hint="eastAsia" w:ascii="仿宋_GB2312" w:eastAsia="仿宋_GB2312"/>
          <w:sz w:val="32"/>
          <w:szCs w:val="32"/>
          <w:lang w:val="en-US" w:eastAsia="zh-CN"/>
        </w:rPr>
        <w:t>3372.04</w:t>
      </w:r>
      <w:r>
        <w:rPr>
          <w:rFonts w:hint="eastAsia" w:ascii="仿宋_GB2312" w:hAnsi="宋体" w:eastAsia="仿宋_GB2312"/>
          <w:sz w:val="32"/>
          <w:szCs w:val="32"/>
          <w:lang w:val="en-US" w:eastAsia="zh-CN"/>
        </w:rPr>
        <w:t>万元，</w:t>
      </w:r>
      <w:r>
        <w:rPr>
          <w:rFonts w:hint="eastAsia" w:ascii="仿宋_GB2312" w:hAnsi="宋体" w:eastAsia="仿宋_GB2312"/>
          <w:sz w:val="32"/>
          <w:szCs w:val="32"/>
          <w:highlight w:val="none"/>
        </w:rPr>
        <w:t>主要是高精尖优才集聚工程</w:t>
      </w:r>
      <w:r>
        <w:rPr>
          <w:rFonts w:hint="eastAsia" w:ascii="仿宋_GB2312" w:hAnsi="宋体" w:eastAsia="仿宋_GB2312"/>
          <w:sz w:val="32"/>
          <w:szCs w:val="32"/>
          <w:highlight w:val="none"/>
          <w:lang w:val="en-US" w:eastAsia="zh-CN"/>
        </w:rPr>
        <w:t>3003.70万元，各类人才评审及慰问院士经费26.40万元</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候鸟型</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人才工作站</w:t>
      </w:r>
      <w:r>
        <w:rPr>
          <w:rFonts w:hint="eastAsia" w:ascii="仿宋_GB2312" w:hAnsi="宋体" w:eastAsia="仿宋_GB2312"/>
          <w:sz w:val="32"/>
          <w:szCs w:val="32"/>
          <w:highlight w:val="none"/>
          <w:lang w:val="en-US" w:eastAsia="zh-CN"/>
        </w:rPr>
        <w:t>15万元，外埠人才引智活动经费326.94万元，</w:t>
      </w:r>
      <w:r>
        <w:rPr>
          <w:rFonts w:hint="eastAsia" w:ascii="仿宋_GB2312" w:hAnsi="宋体" w:eastAsia="仿宋_GB2312"/>
          <w:sz w:val="32"/>
          <w:szCs w:val="32"/>
          <w:highlight w:val="none"/>
        </w:rPr>
        <w:t>完成年初预算的</w:t>
      </w:r>
      <w:r>
        <w:rPr>
          <w:rFonts w:hint="eastAsia" w:ascii="仿宋_GB2312" w:hAnsi="宋体" w:eastAsia="仿宋_GB2312"/>
          <w:sz w:val="32"/>
          <w:szCs w:val="32"/>
          <w:highlight w:val="none"/>
          <w:lang w:val="en-US" w:eastAsia="zh-CN"/>
        </w:rPr>
        <w:t>101.97</w:t>
      </w:r>
      <w:r>
        <w:rPr>
          <w:rFonts w:hint="eastAsia" w:ascii="仿宋_GB2312" w:hAnsi="宋体" w:eastAsia="仿宋_GB2312"/>
          <w:sz w:val="32"/>
          <w:szCs w:val="32"/>
          <w:highlight w:val="none"/>
        </w:rPr>
        <w:t>%，决算数</w:t>
      </w:r>
      <w:r>
        <w:rPr>
          <w:rFonts w:hint="eastAsia" w:ascii="仿宋_GB2312" w:hAnsi="宋体" w:eastAsia="仿宋_GB2312"/>
          <w:sz w:val="32"/>
          <w:szCs w:val="32"/>
          <w:highlight w:val="none"/>
          <w:lang w:eastAsia="zh-CN"/>
        </w:rPr>
        <w:t>大</w:t>
      </w:r>
      <w:r>
        <w:rPr>
          <w:rFonts w:hint="eastAsia" w:ascii="仿宋_GB2312" w:hAnsi="宋体" w:eastAsia="仿宋_GB2312"/>
          <w:sz w:val="32"/>
          <w:szCs w:val="32"/>
          <w:highlight w:val="none"/>
        </w:rPr>
        <w:t>于年初预算数的原因主要是</w:t>
      </w:r>
      <w:r>
        <w:rPr>
          <w:rFonts w:hint="eastAsia" w:ascii="仿宋_GB2312" w:hAnsi="宋体" w:eastAsia="仿宋_GB2312"/>
          <w:sz w:val="32"/>
          <w:szCs w:val="32"/>
          <w:highlight w:val="none"/>
          <w:lang w:val="en-US" w:eastAsia="zh-CN"/>
        </w:rPr>
        <w:t>外埠人才引智活动经费支出包含上年结转资金</w:t>
      </w:r>
      <w:r>
        <w:rPr>
          <w:rFonts w:hint="eastAsia" w:ascii="仿宋_GB2312" w:hAnsi="宋体" w:eastAsia="仿宋_GB2312"/>
          <w:sz w:val="32"/>
          <w:szCs w:val="32"/>
          <w:highlight w:val="none"/>
        </w:rPr>
        <w:t>。</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60"/>
        <w:textAlignment w:val="auto"/>
        <w:outlineLvl w:val="9"/>
        <w:rPr>
          <w:rFonts w:hint="eastAsia" w:ascii="仿宋_GB2312" w:hAnsi="宋体" w:eastAsia="仿宋_GB2312"/>
          <w:sz w:val="32"/>
          <w:szCs w:val="32"/>
          <w:highlight w:val="none"/>
        </w:rPr>
      </w:pP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5</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lang w:eastAsia="zh-CN"/>
        </w:rPr>
        <w:t>社会保障和就业支出（类）人力资源和社会保障管理事务（款）其他人力资源和社会保障管理事务支出（项）</w:t>
      </w:r>
      <w:r>
        <w:rPr>
          <w:rFonts w:hint="eastAsia" w:ascii="仿宋_GB2312" w:eastAsia="仿宋_GB2312"/>
          <w:sz w:val="32"/>
          <w:szCs w:val="32"/>
          <w:lang w:val="en-US" w:eastAsia="zh-CN"/>
        </w:rPr>
        <w:t>12699.38</w:t>
      </w:r>
      <w:r>
        <w:rPr>
          <w:rFonts w:hint="eastAsia" w:ascii="仿宋_GB2312" w:hAnsi="宋体" w:eastAsia="仿宋_GB2312"/>
          <w:sz w:val="32"/>
          <w:szCs w:val="32"/>
          <w:lang w:val="en-US" w:eastAsia="zh-CN"/>
        </w:rPr>
        <w:t>万元，</w:t>
      </w:r>
      <w:r>
        <w:rPr>
          <w:rFonts w:hint="eastAsia" w:ascii="仿宋_GB2312" w:hAnsi="宋体" w:eastAsia="仿宋_GB2312"/>
          <w:sz w:val="32"/>
          <w:szCs w:val="32"/>
          <w:highlight w:val="none"/>
        </w:rPr>
        <w:t>主要是抗击疫情表彰</w:t>
      </w:r>
      <w:r>
        <w:rPr>
          <w:rFonts w:hint="eastAsia" w:ascii="仿宋_GB2312" w:hAnsi="宋体" w:eastAsia="仿宋_GB2312"/>
          <w:sz w:val="32"/>
          <w:szCs w:val="32"/>
          <w:highlight w:val="none"/>
          <w:lang w:val="en-US" w:eastAsia="zh-CN"/>
        </w:rPr>
        <w:t>290.32万元，高层次人才税收补贴1206.71万元，高层次人才创新创业2150万元，优秀乡村振兴人才奖励金552万元，中青年科技英才培训工程奖励金8160万元，盛京大工匠100万元，技能大师工作室50万元，双元制校企合作64.87万元等专项支出，</w:t>
      </w:r>
      <w:r>
        <w:rPr>
          <w:rFonts w:hint="eastAsia" w:ascii="仿宋_GB2312" w:hAnsi="宋体" w:eastAsia="仿宋_GB2312"/>
          <w:sz w:val="32"/>
          <w:szCs w:val="32"/>
          <w:highlight w:val="none"/>
        </w:rPr>
        <w:t>完成年初预算的</w:t>
      </w:r>
      <w:r>
        <w:rPr>
          <w:rFonts w:hint="eastAsia" w:ascii="仿宋_GB2312" w:hAnsi="宋体" w:eastAsia="仿宋_GB2312"/>
          <w:sz w:val="32"/>
          <w:szCs w:val="32"/>
          <w:highlight w:val="none"/>
          <w:lang w:val="en-US" w:eastAsia="zh-CN"/>
        </w:rPr>
        <w:t>102.20</w:t>
      </w:r>
      <w:r>
        <w:rPr>
          <w:rFonts w:hint="eastAsia" w:ascii="仿宋_GB2312" w:hAnsi="宋体" w:eastAsia="仿宋_GB2312"/>
          <w:sz w:val="32"/>
          <w:szCs w:val="32"/>
          <w:highlight w:val="none"/>
        </w:rPr>
        <w:t>%，决算数</w:t>
      </w:r>
      <w:r>
        <w:rPr>
          <w:rFonts w:hint="eastAsia" w:ascii="仿宋_GB2312" w:hAnsi="宋体" w:eastAsia="仿宋_GB2312"/>
          <w:sz w:val="32"/>
          <w:szCs w:val="32"/>
          <w:highlight w:val="none"/>
          <w:lang w:eastAsia="zh-CN"/>
        </w:rPr>
        <w:t>大</w:t>
      </w:r>
      <w:r>
        <w:rPr>
          <w:rFonts w:hint="eastAsia" w:ascii="仿宋_GB2312" w:hAnsi="宋体" w:eastAsia="仿宋_GB2312"/>
          <w:sz w:val="32"/>
          <w:szCs w:val="32"/>
          <w:highlight w:val="none"/>
        </w:rPr>
        <w:t>于年初预算数的原因主要是</w:t>
      </w:r>
      <w:r>
        <w:rPr>
          <w:rFonts w:hint="eastAsia" w:ascii="仿宋_GB2312" w:hAnsi="宋体" w:eastAsia="仿宋_GB2312"/>
          <w:sz w:val="32"/>
          <w:szCs w:val="32"/>
          <w:highlight w:val="none"/>
          <w:lang w:val="en-US" w:eastAsia="zh-CN"/>
        </w:rPr>
        <w:t>部分专项支出包含上年结转资金</w:t>
      </w:r>
      <w:r>
        <w:rPr>
          <w:rFonts w:hint="eastAsia" w:ascii="仿宋_GB2312" w:hAnsi="宋体" w:eastAsia="仿宋_GB2312"/>
          <w:sz w:val="32"/>
          <w:szCs w:val="32"/>
          <w:highlight w:val="none"/>
        </w:rPr>
        <w:t>。</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60"/>
        <w:textAlignment w:val="auto"/>
        <w:outlineLvl w:val="9"/>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6</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社会保障和就业支出</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类）</w:t>
      </w:r>
      <w:r>
        <w:rPr>
          <w:rFonts w:hint="eastAsia" w:ascii="仿宋_GB2312" w:hAnsi="宋体" w:eastAsia="仿宋_GB2312"/>
          <w:color w:val="auto"/>
          <w:sz w:val="32"/>
          <w:szCs w:val="32"/>
          <w:highlight w:val="none"/>
          <w:lang w:val="en-US" w:eastAsia="zh-CN"/>
        </w:rPr>
        <w:t>行政事业单位养老支出</w:t>
      </w:r>
      <w:r>
        <w:rPr>
          <w:rFonts w:hint="eastAsia" w:ascii="仿宋_GB2312" w:hAnsi="宋体" w:eastAsia="仿宋_GB2312"/>
          <w:sz w:val="32"/>
          <w:szCs w:val="32"/>
          <w:highlight w:val="none"/>
          <w:lang w:val="en-US" w:eastAsia="zh-CN"/>
        </w:rPr>
        <w:t>（款）行政单位离退休</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项）100.01</w:t>
      </w:r>
      <w:r>
        <w:rPr>
          <w:rFonts w:hint="eastAsia" w:ascii="仿宋_GB2312" w:hAnsi="宋体" w:eastAsia="仿宋_GB2312"/>
          <w:sz w:val="32"/>
          <w:szCs w:val="32"/>
          <w:highlight w:val="none"/>
        </w:rPr>
        <w:t>万元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主要是离退休费</w:t>
      </w:r>
      <w:r>
        <w:rPr>
          <w:rFonts w:hint="eastAsia" w:ascii="仿宋_GB2312" w:hAnsi="宋体" w:eastAsia="仿宋_GB2312"/>
          <w:sz w:val="32"/>
          <w:szCs w:val="32"/>
          <w:highlight w:val="none"/>
          <w:lang w:val="en-US" w:eastAsia="zh-CN"/>
        </w:rPr>
        <w:t>88.98元</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生活补贴</w:t>
      </w:r>
      <w:r>
        <w:rPr>
          <w:rFonts w:hint="eastAsia" w:ascii="仿宋_GB2312" w:hAnsi="宋体" w:eastAsia="仿宋_GB2312"/>
          <w:sz w:val="32"/>
          <w:szCs w:val="32"/>
          <w:highlight w:val="none"/>
          <w:lang w:val="en-US" w:eastAsia="zh-CN"/>
        </w:rPr>
        <w:t>6.52万元等支出，</w:t>
      </w:r>
      <w:r>
        <w:rPr>
          <w:rFonts w:hint="eastAsia" w:ascii="仿宋_GB2312" w:hAnsi="宋体" w:eastAsia="仿宋_GB2312"/>
          <w:sz w:val="32"/>
          <w:szCs w:val="32"/>
          <w:highlight w:val="none"/>
        </w:rPr>
        <w:t>完成年初预算的</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60"/>
        <w:textAlignment w:val="auto"/>
        <w:outlineLvl w:val="9"/>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7</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社会保障和就业支出</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类）</w:t>
      </w:r>
      <w:r>
        <w:rPr>
          <w:rFonts w:hint="eastAsia" w:ascii="仿宋_GB2312" w:hAnsi="宋体" w:eastAsia="仿宋_GB2312"/>
          <w:color w:val="auto"/>
          <w:sz w:val="32"/>
          <w:szCs w:val="32"/>
          <w:highlight w:val="none"/>
          <w:lang w:val="en-US" w:eastAsia="zh-CN"/>
        </w:rPr>
        <w:t>行政事业单位养老支出</w:t>
      </w:r>
      <w:r>
        <w:rPr>
          <w:rFonts w:hint="eastAsia" w:ascii="仿宋_GB2312" w:hAnsi="宋体" w:eastAsia="仿宋_GB2312"/>
          <w:sz w:val="32"/>
          <w:szCs w:val="32"/>
          <w:highlight w:val="none"/>
          <w:lang w:val="en-US" w:eastAsia="zh-CN"/>
        </w:rPr>
        <w:t>（款）  机关事业单位基本养老保险缴费支出</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项）251.54</w:t>
      </w:r>
      <w:r>
        <w:rPr>
          <w:rFonts w:hint="eastAsia" w:ascii="仿宋_GB2312" w:hAnsi="宋体" w:eastAsia="仿宋_GB2312"/>
          <w:sz w:val="32"/>
          <w:szCs w:val="32"/>
          <w:highlight w:val="none"/>
        </w:rPr>
        <w:t>万元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主要是社会保障缴费</w:t>
      </w:r>
      <w:r>
        <w:rPr>
          <w:rFonts w:hint="eastAsia" w:ascii="仿宋_GB2312" w:hAnsi="宋体" w:eastAsia="仿宋_GB2312"/>
          <w:sz w:val="32"/>
          <w:szCs w:val="32"/>
          <w:highlight w:val="none"/>
          <w:lang w:val="en-US" w:eastAsia="zh-CN"/>
        </w:rPr>
        <w:t>251.54万元</w:t>
      </w:r>
      <w:r>
        <w:rPr>
          <w:rFonts w:hint="eastAsia" w:ascii="仿宋_GB2312" w:hAnsi="宋体" w:eastAsia="仿宋_GB2312"/>
          <w:sz w:val="32"/>
          <w:szCs w:val="32"/>
          <w:highlight w:val="none"/>
        </w:rPr>
        <w:t>，完成年初预算的</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60"/>
        <w:textAlignment w:val="auto"/>
        <w:outlineLvl w:val="9"/>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8</w:t>
      </w:r>
      <w:r>
        <w:rPr>
          <w:rFonts w:hint="eastAsia" w:ascii="仿宋_GB2312" w:hAnsi="宋体" w:eastAsia="仿宋_GB2312"/>
          <w:sz w:val="32"/>
          <w:szCs w:val="32"/>
          <w:highlight w:val="none"/>
          <w:lang w:eastAsia="zh-CN"/>
        </w:rPr>
        <w:t xml:space="preserve">） </w:t>
      </w:r>
      <w:r>
        <w:rPr>
          <w:rFonts w:hint="eastAsia" w:ascii="仿宋_GB2312" w:hAnsi="宋体" w:eastAsia="仿宋_GB2312"/>
          <w:sz w:val="32"/>
          <w:szCs w:val="32"/>
          <w:highlight w:val="none"/>
        </w:rPr>
        <w:t>社会保障和就业支出</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类）</w:t>
      </w:r>
      <w:r>
        <w:rPr>
          <w:rFonts w:hint="eastAsia" w:ascii="仿宋_GB2312" w:hAnsi="宋体" w:eastAsia="仿宋_GB2312"/>
          <w:color w:val="auto"/>
          <w:sz w:val="32"/>
          <w:szCs w:val="32"/>
          <w:highlight w:val="none"/>
          <w:lang w:val="en-US" w:eastAsia="zh-CN"/>
        </w:rPr>
        <w:t>行政事业单位养老支出</w:t>
      </w:r>
      <w:r>
        <w:rPr>
          <w:rFonts w:hint="eastAsia" w:ascii="仿宋_GB2312" w:hAnsi="宋体" w:eastAsia="仿宋_GB2312"/>
          <w:sz w:val="32"/>
          <w:szCs w:val="32"/>
          <w:highlight w:val="none"/>
          <w:lang w:val="en-US" w:eastAsia="zh-CN"/>
        </w:rPr>
        <w:t>（款）    机关事业单位职业年金缴费支出</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项）29.92</w:t>
      </w:r>
      <w:r>
        <w:rPr>
          <w:rFonts w:hint="eastAsia" w:ascii="仿宋_GB2312" w:hAnsi="宋体" w:eastAsia="仿宋_GB2312"/>
          <w:sz w:val="32"/>
          <w:szCs w:val="32"/>
          <w:highlight w:val="none"/>
        </w:rPr>
        <w:t>万元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主要是</w:t>
      </w:r>
      <w:r>
        <w:rPr>
          <w:rFonts w:hint="eastAsia" w:ascii="仿宋_GB2312" w:hAnsi="宋体" w:eastAsia="仿宋_GB2312"/>
          <w:sz w:val="32"/>
          <w:szCs w:val="32"/>
          <w:highlight w:val="none"/>
          <w:lang w:eastAsia="zh-CN"/>
        </w:rPr>
        <w:t>机关事业单位职业年金缴费支出</w:t>
      </w:r>
      <w:r>
        <w:rPr>
          <w:rFonts w:hint="eastAsia" w:ascii="仿宋_GB2312" w:hAnsi="宋体" w:eastAsia="仿宋_GB2312"/>
          <w:sz w:val="32"/>
          <w:szCs w:val="32"/>
          <w:highlight w:val="none"/>
          <w:lang w:val="en-US" w:eastAsia="zh-CN"/>
        </w:rPr>
        <w:t>29.92万元，</w:t>
      </w:r>
      <w:r>
        <w:rPr>
          <w:rFonts w:hint="eastAsia" w:ascii="仿宋_GB2312" w:hAnsi="宋体" w:eastAsia="仿宋_GB2312"/>
          <w:sz w:val="32"/>
          <w:szCs w:val="32"/>
          <w:highlight w:val="none"/>
        </w:rPr>
        <w:t>完成年初预算的</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60"/>
        <w:textAlignment w:val="auto"/>
        <w:outlineLvl w:val="9"/>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9</w:t>
      </w:r>
      <w:r>
        <w:rPr>
          <w:rFonts w:hint="eastAsia" w:ascii="仿宋_GB2312" w:hAnsi="宋体" w:eastAsia="仿宋_GB2312"/>
          <w:sz w:val="32"/>
          <w:szCs w:val="32"/>
          <w:highlight w:val="none"/>
          <w:lang w:eastAsia="zh-CN"/>
        </w:rPr>
        <w:t xml:space="preserve">） </w:t>
      </w:r>
      <w:r>
        <w:rPr>
          <w:rFonts w:hint="eastAsia" w:ascii="仿宋_GB2312" w:hAnsi="宋体" w:eastAsia="仿宋_GB2312"/>
          <w:sz w:val="32"/>
          <w:szCs w:val="32"/>
          <w:highlight w:val="none"/>
        </w:rPr>
        <w:t>社会保障和就业支出</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类）</w:t>
      </w:r>
      <w:r>
        <w:rPr>
          <w:rFonts w:hint="eastAsia" w:ascii="仿宋_GB2312" w:hAnsi="宋体" w:eastAsia="仿宋_GB2312"/>
          <w:color w:val="auto"/>
          <w:sz w:val="32"/>
          <w:szCs w:val="32"/>
          <w:highlight w:val="none"/>
          <w:lang w:val="en-US" w:eastAsia="zh-CN"/>
        </w:rPr>
        <w:t>行政事业单位养老支出</w:t>
      </w:r>
      <w:r>
        <w:rPr>
          <w:rFonts w:hint="eastAsia" w:ascii="仿宋_GB2312" w:hAnsi="宋体" w:eastAsia="仿宋_GB2312"/>
          <w:sz w:val="32"/>
          <w:szCs w:val="32"/>
          <w:highlight w:val="none"/>
          <w:lang w:val="en-US" w:eastAsia="zh-CN"/>
        </w:rPr>
        <w:t>（款）    对机关事业单位职业年金的补助</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项）8.37</w:t>
      </w:r>
      <w:r>
        <w:rPr>
          <w:rFonts w:hint="eastAsia" w:ascii="仿宋_GB2312" w:hAnsi="宋体" w:eastAsia="仿宋_GB2312"/>
          <w:sz w:val="32"/>
          <w:szCs w:val="32"/>
          <w:highlight w:val="none"/>
        </w:rPr>
        <w:t>万元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主要是</w:t>
      </w:r>
      <w:r>
        <w:rPr>
          <w:rFonts w:hint="eastAsia" w:ascii="仿宋_GB2312" w:hAnsi="宋体" w:eastAsia="仿宋_GB2312"/>
          <w:sz w:val="32"/>
          <w:szCs w:val="32"/>
          <w:highlight w:val="none"/>
          <w:lang w:eastAsia="zh-CN"/>
        </w:rPr>
        <w:t>机关事业单位职业年金缴费支出</w:t>
      </w:r>
      <w:r>
        <w:rPr>
          <w:rFonts w:hint="eastAsia" w:ascii="仿宋_GB2312" w:hAnsi="宋体" w:eastAsia="仿宋_GB2312"/>
          <w:sz w:val="32"/>
          <w:szCs w:val="32"/>
          <w:highlight w:val="none"/>
          <w:lang w:val="en-US" w:eastAsia="zh-CN"/>
        </w:rPr>
        <w:t>8.37万元，</w:t>
      </w:r>
      <w:r>
        <w:rPr>
          <w:rFonts w:hint="eastAsia" w:ascii="仿宋_GB2312" w:hAnsi="宋体" w:eastAsia="仿宋_GB2312"/>
          <w:sz w:val="32"/>
          <w:szCs w:val="32"/>
          <w:highlight w:val="none"/>
        </w:rPr>
        <w:t>完成年初预算的</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60"/>
        <w:textAlignment w:val="auto"/>
        <w:outlineLvl w:val="9"/>
        <w:rPr>
          <w:rFonts w:hint="eastAsia" w:ascii="仿宋_GB2312" w:hAnsi="宋体" w:eastAsia="仿宋_GB2312"/>
          <w:sz w:val="32"/>
          <w:szCs w:val="32"/>
          <w:highlight w:val="none"/>
        </w:rPr>
      </w:pP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10</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社会保障和就业支出</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类）</w:t>
      </w:r>
      <w:r>
        <w:rPr>
          <w:rFonts w:hint="eastAsia" w:ascii="仿宋_GB2312" w:hAnsi="宋体" w:eastAsia="仿宋_GB2312"/>
          <w:color w:val="auto"/>
          <w:sz w:val="32"/>
          <w:szCs w:val="32"/>
          <w:highlight w:val="none"/>
          <w:lang w:val="en-US" w:eastAsia="zh-CN"/>
        </w:rPr>
        <w:t>就业补助</w:t>
      </w:r>
      <w:r>
        <w:rPr>
          <w:rFonts w:hint="eastAsia" w:ascii="仿宋_GB2312" w:hAnsi="宋体" w:eastAsia="仿宋_GB2312"/>
          <w:sz w:val="32"/>
          <w:szCs w:val="32"/>
          <w:highlight w:val="none"/>
          <w:lang w:val="en-US" w:eastAsia="zh-CN"/>
        </w:rPr>
        <w:t>（款）高技能人才培养补助</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项）550.48</w:t>
      </w:r>
      <w:r>
        <w:rPr>
          <w:rFonts w:hint="eastAsia" w:ascii="仿宋_GB2312" w:hAnsi="宋体" w:eastAsia="仿宋_GB2312"/>
          <w:sz w:val="32"/>
          <w:szCs w:val="32"/>
          <w:highlight w:val="none"/>
        </w:rPr>
        <w:t>万元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主要是沈阳市政府特殊津贴项目经费</w:t>
      </w:r>
      <w:r>
        <w:rPr>
          <w:rFonts w:hint="eastAsia" w:ascii="仿宋_GB2312" w:hAnsi="宋体" w:eastAsia="仿宋_GB2312"/>
          <w:sz w:val="32"/>
          <w:szCs w:val="32"/>
          <w:highlight w:val="none"/>
          <w:lang w:val="en-US" w:eastAsia="zh-CN"/>
        </w:rPr>
        <w:t>50万元，高技能人才培养补助资金500.48万元，</w:t>
      </w:r>
      <w:r>
        <w:rPr>
          <w:rFonts w:hint="eastAsia" w:ascii="仿宋_GB2312" w:hAnsi="宋体" w:eastAsia="仿宋_GB2312"/>
          <w:sz w:val="32"/>
          <w:szCs w:val="32"/>
          <w:highlight w:val="none"/>
        </w:rPr>
        <w:t>完成年初预算的</w:t>
      </w:r>
      <w:r>
        <w:rPr>
          <w:rFonts w:hint="eastAsia" w:ascii="仿宋_GB2312" w:hAnsi="宋体" w:eastAsia="仿宋_GB2312"/>
          <w:sz w:val="32"/>
          <w:szCs w:val="32"/>
          <w:highlight w:val="none"/>
          <w:lang w:val="en-US" w:eastAsia="zh-CN"/>
        </w:rPr>
        <w:t>101.85</w:t>
      </w:r>
      <w:r>
        <w:rPr>
          <w:rFonts w:hint="eastAsia" w:ascii="仿宋_GB2312" w:hAnsi="宋体" w:eastAsia="仿宋_GB2312"/>
          <w:sz w:val="32"/>
          <w:szCs w:val="32"/>
          <w:highlight w:val="none"/>
        </w:rPr>
        <w:t>%，决算数</w:t>
      </w:r>
      <w:r>
        <w:rPr>
          <w:rFonts w:hint="eastAsia" w:ascii="仿宋_GB2312" w:hAnsi="宋体" w:eastAsia="仿宋_GB2312"/>
          <w:sz w:val="32"/>
          <w:szCs w:val="32"/>
          <w:highlight w:val="none"/>
          <w:lang w:eastAsia="zh-CN"/>
        </w:rPr>
        <w:t>大</w:t>
      </w:r>
      <w:r>
        <w:rPr>
          <w:rFonts w:hint="eastAsia" w:ascii="仿宋_GB2312" w:hAnsi="宋体" w:eastAsia="仿宋_GB2312"/>
          <w:sz w:val="32"/>
          <w:szCs w:val="32"/>
          <w:highlight w:val="none"/>
        </w:rPr>
        <w:t>于年初预算数的原因主要是</w:t>
      </w:r>
      <w:r>
        <w:rPr>
          <w:rFonts w:hint="eastAsia" w:ascii="仿宋_GB2312" w:hAnsi="宋体" w:eastAsia="仿宋_GB2312"/>
          <w:sz w:val="32"/>
          <w:szCs w:val="32"/>
          <w:highlight w:val="none"/>
          <w:lang w:eastAsia="zh-CN"/>
        </w:rPr>
        <w:t>由于</w:t>
      </w:r>
      <w:r>
        <w:rPr>
          <w:rFonts w:hint="eastAsia" w:ascii="仿宋_GB2312" w:hAnsi="宋体" w:eastAsia="仿宋_GB2312"/>
          <w:sz w:val="32"/>
          <w:szCs w:val="32"/>
          <w:highlight w:val="none"/>
          <w:lang w:val="en-US" w:eastAsia="zh-CN"/>
        </w:rPr>
        <w:t>专项支出包含上年结转资金</w:t>
      </w:r>
      <w:r>
        <w:rPr>
          <w:rFonts w:hint="eastAsia" w:ascii="仿宋_GB2312" w:hAnsi="宋体" w:eastAsia="仿宋_GB2312"/>
          <w:sz w:val="32"/>
          <w:szCs w:val="32"/>
          <w:highlight w:val="none"/>
        </w:rPr>
        <w:t>。</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60"/>
        <w:textAlignment w:val="auto"/>
        <w:outlineLvl w:val="9"/>
        <w:rPr>
          <w:rFonts w:hint="eastAsia" w:ascii="仿宋_GB2312" w:hAnsi="宋体" w:eastAsia="仿宋_GB2312"/>
          <w:sz w:val="32"/>
          <w:szCs w:val="32"/>
          <w:highlight w:val="none"/>
        </w:rPr>
      </w:pP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11</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社会保障和就业支出</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类）</w:t>
      </w:r>
      <w:r>
        <w:rPr>
          <w:rFonts w:hint="eastAsia" w:ascii="仿宋_GB2312" w:hAnsi="宋体" w:eastAsia="仿宋_GB2312"/>
          <w:color w:val="auto"/>
          <w:sz w:val="32"/>
          <w:szCs w:val="32"/>
          <w:highlight w:val="none"/>
          <w:lang w:val="en-US" w:eastAsia="zh-CN"/>
        </w:rPr>
        <w:t>抚恤</w:t>
      </w:r>
      <w:r>
        <w:rPr>
          <w:rFonts w:hint="eastAsia" w:ascii="仿宋_GB2312" w:hAnsi="宋体" w:eastAsia="仿宋_GB2312"/>
          <w:sz w:val="32"/>
          <w:szCs w:val="32"/>
          <w:highlight w:val="none"/>
          <w:lang w:val="en-US" w:eastAsia="zh-CN"/>
        </w:rPr>
        <w:t>（款）伤残抚恤</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项）6.26</w:t>
      </w:r>
      <w:r>
        <w:rPr>
          <w:rFonts w:hint="eastAsia" w:ascii="仿宋_GB2312" w:hAnsi="宋体" w:eastAsia="仿宋_GB2312"/>
          <w:sz w:val="32"/>
          <w:szCs w:val="32"/>
          <w:highlight w:val="none"/>
        </w:rPr>
        <w:t>万元</w:t>
      </w:r>
      <w:r>
        <w:rPr>
          <w:rFonts w:hint="eastAsia" w:ascii="仿宋_GB2312" w:hAnsi="宋体" w:eastAsia="仿宋_GB2312"/>
          <w:sz w:val="32"/>
          <w:szCs w:val="32"/>
          <w:highlight w:val="none"/>
          <w:lang w:eastAsia="zh-CN"/>
        </w:rPr>
        <w:t>，主要是</w:t>
      </w:r>
      <w:r>
        <w:rPr>
          <w:rFonts w:hint="eastAsia" w:ascii="仿宋_GB2312" w:eastAsia="仿宋_GB2312"/>
          <w:b w:val="0"/>
          <w:bCs w:val="0"/>
          <w:sz w:val="32"/>
          <w:szCs w:val="32"/>
          <w:highlight w:val="none"/>
          <w:lang w:val="en-US" w:eastAsia="zh-CN"/>
        </w:rPr>
        <w:t>用于3个伤残人员的抚恤金，</w:t>
      </w:r>
      <w:r>
        <w:rPr>
          <w:rFonts w:hint="eastAsia" w:ascii="仿宋_GB2312" w:hAnsi="宋体" w:eastAsia="仿宋_GB2312"/>
          <w:sz w:val="32"/>
          <w:szCs w:val="32"/>
          <w:highlight w:val="none"/>
        </w:rPr>
        <w:t>完成年初预算的</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60"/>
        <w:textAlignment w:val="auto"/>
        <w:outlineLvl w:val="9"/>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3.卫生健康支出122.50万元，具体包括：</w:t>
      </w:r>
    </w:p>
    <w:p>
      <w:pPr>
        <w:keepNext w:val="0"/>
        <w:keepLines w:val="0"/>
        <w:pageBreakBefore w:val="0"/>
        <w:kinsoku/>
        <w:wordWrap/>
        <w:overflowPunct/>
        <w:topLinePunct w:val="0"/>
        <w:autoSpaceDE/>
        <w:bidi w:val="0"/>
        <w:adjustRightInd/>
        <w:snapToGrid/>
        <w:spacing w:before="0" w:beforeLines="0" w:after="0" w:afterLines="0" w:line="560" w:lineRule="exact"/>
        <w:ind w:right="0" w:rightChars="0" w:firstLine="640" w:firstLineChars="200"/>
        <w:textAlignment w:val="auto"/>
        <w:outlineLvl w:val="9"/>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卫生健康支出</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类）</w:t>
      </w:r>
      <w:r>
        <w:rPr>
          <w:rFonts w:hint="eastAsia" w:ascii="仿宋_GB2312" w:hAnsi="宋体" w:eastAsia="仿宋_GB2312"/>
          <w:color w:val="auto"/>
          <w:sz w:val="32"/>
          <w:szCs w:val="32"/>
          <w:highlight w:val="none"/>
          <w:lang w:val="en-US" w:eastAsia="zh-CN"/>
        </w:rPr>
        <w:t>行政事业单位医疗</w:t>
      </w:r>
      <w:r>
        <w:rPr>
          <w:rFonts w:hint="eastAsia" w:ascii="仿宋_GB2312" w:hAnsi="宋体" w:eastAsia="仿宋_GB2312"/>
          <w:sz w:val="32"/>
          <w:szCs w:val="32"/>
          <w:highlight w:val="none"/>
          <w:lang w:val="en-US" w:eastAsia="zh-CN"/>
        </w:rPr>
        <w:t>（款）行政单位医疗</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项）122.50</w:t>
      </w:r>
      <w:r>
        <w:rPr>
          <w:rFonts w:hint="eastAsia" w:ascii="仿宋_GB2312" w:hAnsi="宋体" w:eastAsia="仿宋_GB2312"/>
          <w:sz w:val="32"/>
          <w:szCs w:val="32"/>
          <w:highlight w:val="none"/>
        </w:rPr>
        <w:t>万元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主要是</w:t>
      </w:r>
      <w:r>
        <w:rPr>
          <w:rFonts w:hint="eastAsia" w:ascii="仿宋_GB2312" w:hAnsi="宋体" w:eastAsia="仿宋_GB2312"/>
          <w:sz w:val="32"/>
          <w:szCs w:val="32"/>
          <w:highlight w:val="none"/>
          <w:lang w:eastAsia="zh-CN"/>
        </w:rPr>
        <w:t>行政单位医疗保险支出</w:t>
      </w:r>
      <w:r>
        <w:rPr>
          <w:rFonts w:hint="eastAsia" w:ascii="仿宋_GB2312" w:hAnsi="宋体" w:eastAsia="仿宋_GB2312"/>
          <w:sz w:val="32"/>
          <w:szCs w:val="32"/>
          <w:highlight w:val="none"/>
          <w:lang w:val="en-US" w:eastAsia="zh-CN"/>
        </w:rPr>
        <w:t>122.50万元，</w:t>
      </w:r>
      <w:r>
        <w:rPr>
          <w:rFonts w:hint="eastAsia" w:ascii="仿宋_GB2312" w:hAnsi="宋体" w:eastAsia="仿宋_GB2312"/>
          <w:sz w:val="32"/>
          <w:szCs w:val="32"/>
          <w:highlight w:val="none"/>
        </w:rPr>
        <w:t>完成年初预算的</w:t>
      </w:r>
      <w:r>
        <w:rPr>
          <w:rFonts w:hint="eastAsia" w:ascii="仿宋_GB2312" w:hAnsi="宋体" w:eastAsia="仿宋_GB2312"/>
          <w:sz w:val="32"/>
          <w:szCs w:val="32"/>
          <w:highlight w:val="none"/>
          <w:lang w:val="en-US" w:eastAsia="zh-CN"/>
        </w:rPr>
        <w:t>94.17</w:t>
      </w:r>
      <w:r>
        <w:rPr>
          <w:rFonts w:hint="eastAsia" w:ascii="仿宋_GB2312" w:hAnsi="宋体" w:eastAsia="仿宋_GB2312"/>
          <w:sz w:val="32"/>
          <w:szCs w:val="32"/>
          <w:highlight w:val="none"/>
        </w:rPr>
        <w:t>%，决算数小于年初预算数的原因主要是</w:t>
      </w:r>
      <w:r>
        <w:rPr>
          <w:rFonts w:hint="eastAsia" w:ascii="仿宋_GB2312" w:hAnsi="宋体" w:eastAsia="仿宋_GB2312"/>
          <w:sz w:val="32"/>
          <w:szCs w:val="32"/>
          <w:highlight w:val="none"/>
          <w:lang w:eastAsia="zh-CN"/>
        </w:rPr>
        <w:t>新转入人员的医疗保险履行手续需要时限，资金已于</w:t>
      </w:r>
      <w:r>
        <w:rPr>
          <w:rFonts w:hint="eastAsia" w:ascii="仿宋_GB2312" w:hAnsi="宋体" w:eastAsia="仿宋_GB2312"/>
          <w:sz w:val="32"/>
          <w:szCs w:val="32"/>
          <w:highlight w:val="none"/>
          <w:lang w:val="en-US" w:eastAsia="zh-CN"/>
        </w:rPr>
        <w:t>2022年初支付完成。</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60"/>
        <w:textAlignment w:val="auto"/>
        <w:outlineLvl w:val="9"/>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4.节能环保支出4440.55万元，具体包括：</w:t>
      </w:r>
    </w:p>
    <w:p>
      <w:pPr>
        <w:keepNext w:val="0"/>
        <w:keepLines w:val="0"/>
        <w:pageBreakBefore w:val="0"/>
        <w:kinsoku/>
        <w:wordWrap/>
        <w:overflowPunct/>
        <w:topLinePunct w:val="0"/>
        <w:autoSpaceDE/>
        <w:bidi w:val="0"/>
        <w:adjustRightInd/>
        <w:snapToGrid/>
        <w:spacing w:before="0" w:beforeLines="0" w:after="0" w:afterLines="0" w:line="560" w:lineRule="exact"/>
        <w:ind w:right="0" w:rightChars="0" w:firstLine="640" w:firstLineChars="200"/>
        <w:textAlignment w:val="auto"/>
        <w:outlineLvl w:val="9"/>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val="en-US" w:eastAsia="zh-CN"/>
        </w:rPr>
        <w:t>节能环保支出</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类）</w:t>
      </w:r>
      <w:r>
        <w:rPr>
          <w:rFonts w:hint="eastAsia" w:ascii="仿宋_GB2312" w:hAnsi="宋体" w:eastAsia="仿宋_GB2312"/>
          <w:color w:val="auto"/>
          <w:sz w:val="32"/>
          <w:szCs w:val="32"/>
          <w:highlight w:val="none"/>
          <w:lang w:val="en-US" w:eastAsia="zh-CN"/>
        </w:rPr>
        <w:t>其他节能环保支出</w:t>
      </w:r>
      <w:r>
        <w:rPr>
          <w:rFonts w:hint="eastAsia" w:ascii="仿宋_GB2312" w:hAnsi="宋体" w:eastAsia="仿宋_GB2312"/>
          <w:sz w:val="32"/>
          <w:szCs w:val="32"/>
          <w:highlight w:val="none"/>
          <w:lang w:val="en-US" w:eastAsia="zh-CN"/>
        </w:rPr>
        <w:t>（款）其他节能环保支出</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项）4440.55</w:t>
      </w:r>
      <w:r>
        <w:rPr>
          <w:rFonts w:hint="eastAsia" w:ascii="仿宋_GB2312" w:hAnsi="宋体" w:eastAsia="仿宋_GB2312"/>
          <w:sz w:val="32"/>
          <w:szCs w:val="32"/>
          <w:highlight w:val="none"/>
        </w:rPr>
        <w:t>万元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主要是</w:t>
      </w:r>
      <w:r>
        <w:rPr>
          <w:rFonts w:hint="eastAsia" w:ascii="仿宋_GB2312" w:hAnsi="宋体" w:eastAsia="仿宋_GB2312"/>
          <w:sz w:val="32"/>
          <w:szCs w:val="32"/>
          <w:highlight w:val="none"/>
          <w:lang w:eastAsia="zh-CN"/>
        </w:rPr>
        <w:t>一次性吸纳补贴资金</w:t>
      </w:r>
      <w:r>
        <w:rPr>
          <w:rFonts w:hint="eastAsia" w:ascii="仿宋_GB2312" w:hAnsi="宋体" w:eastAsia="仿宋_GB2312"/>
          <w:sz w:val="32"/>
          <w:szCs w:val="32"/>
          <w:highlight w:val="none"/>
          <w:lang w:val="en-US" w:eastAsia="zh-CN"/>
        </w:rPr>
        <w:t>752.40万元，就业见习补贴2480.34万元等支出，</w:t>
      </w:r>
      <w:r>
        <w:rPr>
          <w:rFonts w:hint="eastAsia" w:ascii="仿宋_GB2312" w:hAnsi="宋体" w:eastAsia="仿宋_GB2312"/>
          <w:sz w:val="32"/>
          <w:szCs w:val="32"/>
          <w:highlight w:val="none"/>
        </w:rPr>
        <w:t>完成年初预算的</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60"/>
        <w:textAlignment w:val="auto"/>
        <w:outlineLvl w:val="9"/>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5.住房保障支出422.19万元，具体包括：</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60"/>
        <w:textAlignment w:val="auto"/>
        <w:outlineLvl w:val="9"/>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val="en-US" w:eastAsia="zh-CN"/>
        </w:rPr>
        <w:t>（1）住房保障支出</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类）</w:t>
      </w:r>
      <w:r>
        <w:rPr>
          <w:rFonts w:hint="eastAsia" w:ascii="仿宋_GB2312" w:hAnsi="宋体" w:eastAsia="仿宋_GB2312"/>
          <w:color w:val="auto"/>
          <w:sz w:val="32"/>
          <w:szCs w:val="32"/>
          <w:highlight w:val="none"/>
          <w:lang w:val="en-US" w:eastAsia="zh-CN"/>
        </w:rPr>
        <w:t>住房改革支出</w:t>
      </w:r>
      <w:r>
        <w:rPr>
          <w:rFonts w:hint="eastAsia" w:ascii="仿宋_GB2312" w:hAnsi="宋体" w:eastAsia="仿宋_GB2312"/>
          <w:sz w:val="32"/>
          <w:szCs w:val="32"/>
          <w:highlight w:val="none"/>
          <w:lang w:val="en-US" w:eastAsia="zh-CN"/>
        </w:rPr>
        <w:t>（款）住房公积金</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项）358.72</w:t>
      </w:r>
      <w:r>
        <w:rPr>
          <w:rFonts w:hint="eastAsia" w:ascii="仿宋_GB2312" w:hAnsi="宋体" w:eastAsia="仿宋_GB2312"/>
          <w:sz w:val="32"/>
          <w:szCs w:val="32"/>
          <w:highlight w:val="none"/>
        </w:rPr>
        <w:t>万元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主要是</w:t>
      </w:r>
      <w:r>
        <w:rPr>
          <w:rFonts w:hint="eastAsia" w:ascii="仿宋_GB2312" w:hAnsi="宋体" w:eastAsia="仿宋_GB2312"/>
          <w:sz w:val="32"/>
          <w:szCs w:val="32"/>
          <w:highlight w:val="none"/>
          <w:lang w:eastAsia="zh-CN"/>
        </w:rPr>
        <w:t>行政单位职工的住房公积金</w:t>
      </w:r>
      <w:r>
        <w:rPr>
          <w:rFonts w:hint="eastAsia" w:ascii="仿宋_GB2312" w:hAnsi="宋体" w:eastAsia="仿宋_GB2312"/>
          <w:sz w:val="32"/>
          <w:szCs w:val="32"/>
          <w:highlight w:val="none"/>
          <w:lang w:val="en-US" w:eastAsia="zh-CN"/>
        </w:rPr>
        <w:t>358.72万元，</w:t>
      </w:r>
      <w:r>
        <w:rPr>
          <w:rFonts w:hint="eastAsia" w:ascii="仿宋_GB2312" w:hAnsi="宋体" w:eastAsia="仿宋_GB2312"/>
          <w:sz w:val="32"/>
          <w:szCs w:val="32"/>
          <w:highlight w:val="none"/>
        </w:rPr>
        <w:t>完成年初预算的</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60"/>
        <w:textAlignment w:val="auto"/>
        <w:outlineLvl w:val="9"/>
        <w:rPr>
          <w:rFonts w:hint="eastAsia" w:ascii="仿宋_GB2312" w:hAnsi="宋体" w:eastAsia="仿宋_GB2312"/>
          <w:sz w:val="32"/>
          <w:szCs w:val="32"/>
          <w:highlight w:val="none"/>
        </w:rPr>
      </w:pP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2</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住房保障支出</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类）</w:t>
      </w:r>
      <w:r>
        <w:rPr>
          <w:rFonts w:hint="eastAsia" w:ascii="仿宋_GB2312" w:hAnsi="宋体" w:eastAsia="仿宋_GB2312"/>
          <w:color w:val="auto"/>
          <w:sz w:val="32"/>
          <w:szCs w:val="32"/>
          <w:highlight w:val="none"/>
          <w:lang w:val="en-US" w:eastAsia="zh-CN"/>
        </w:rPr>
        <w:t>住房改革支出</w:t>
      </w:r>
      <w:r>
        <w:rPr>
          <w:rFonts w:hint="eastAsia" w:ascii="仿宋_GB2312" w:hAnsi="宋体" w:eastAsia="仿宋_GB2312"/>
          <w:sz w:val="32"/>
          <w:szCs w:val="32"/>
          <w:highlight w:val="none"/>
          <w:lang w:val="en-US" w:eastAsia="zh-CN"/>
        </w:rPr>
        <w:t>（款）购房补贴</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项）61.95</w:t>
      </w:r>
      <w:r>
        <w:rPr>
          <w:rFonts w:hint="eastAsia" w:ascii="仿宋_GB2312" w:hAnsi="宋体" w:eastAsia="仿宋_GB2312"/>
          <w:sz w:val="32"/>
          <w:szCs w:val="32"/>
          <w:highlight w:val="none"/>
        </w:rPr>
        <w:t>万元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主要是</w:t>
      </w:r>
      <w:r>
        <w:rPr>
          <w:rFonts w:hint="eastAsia" w:ascii="仿宋_GB2312" w:hAnsi="宋体" w:eastAsia="仿宋_GB2312"/>
          <w:sz w:val="32"/>
          <w:szCs w:val="32"/>
          <w:highlight w:val="none"/>
          <w:lang w:eastAsia="zh-CN"/>
        </w:rPr>
        <w:t>“新职工房补”</w:t>
      </w:r>
      <w:r>
        <w:rPr>
          <w:rFonts w:hint="eastAsia" w:ascii="仿宋_GB2312" w:hAnsi="宋体" w:eastAsia="仿宋_GB2312"/>
          <w:sz w:val="32"/>
          <w:szCs w:val="32"/>
          <w:highlight w:val="none"/>
          <w:lang w:val="en-US" w:eastAsia="zh-CN"/>
        </w:rPr>
        <w:t>61.95万元，</w:t>
      </w:r>
      <w:r>
        <w:rPr>
          <w:rFonts w:hint="eastAsia" w:ascii="仿宋_GB2312" w:hAnsi="宋体" w:eastAsia="仿宋_GB2312"/>
          <w:sz w:val="32"/>
          <w:szCs w:val="32"/>
          <w:highlight w:val="none"/>
        </w:rPr>
        <w:t>完成年初预算的</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60"/>
        <w:textAlignment w:val="auto"/>
        <w:outlineLvl w:val="9"/>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val="en-US" w:eastAsia="zh-CN"/>
        </w:rPr>
        <w:t>(3)住房保障支出</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类）</w:t>
      </w:r>
      <w:r>
        <w:rPr>
          <w:rFonts w:hint="eastAsia" w:ascii="仿宋_GB2312" w:hAnsi="宋体" w:eastAsia="仿宋_GB2312"/>
          <w:color w:val="auto"/>
          <w:sz w:val="32"/>
          <w:szCs w:val="32"/>
          <w:highlight w:val="none"/>
          <w:lang w:val="en-US" w:eastAsia="zh-CN"/>
        </w:rPr>
        <w:t>住房改革支出</w:t>
      </w:r>
      <w:r>
        <w:rPr>
          <w:rFonts w:hint="eastAsia" w:ascii="仿宋_GB2312" w:hAnsi="宋体" w:eastAsia="仿宋_GB2312"/>
          <w:sz w:val="32"/>
          <w:szCs w:val="32"/>
          <w:highlight w:val="none"/>
          <w:lang w:val="en-US" w:eastAsia="zh-CN"/>
        </w:rPr>
        <w:t>（款） 提租补贴</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项）1.52</w:t>
      </w:r>
      <w:r>
        <w:rPr>
          <w:rFonts w:hint="eastAsia" w:ascii="仿宋_GB2312" w:hAnsi="宋体" w:eastAsia="仿宋_GB2312"/>
          <w:sz w:val="32"/>
          <w:szCs w:val="32"/>
          <w:highlight w:val="none"/>
        </w:rPr>
        <w:t>万元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主要是</w:t>
      </w:r>
      <w:r>
        <w:rPr>
          <w:rFonts w:hint="eastAsia" w:ascii="仿宋_GB2312" w:hAnsi="宋体" w:eastAsia="仿宋_GB2312"/>
          <w:sz w:val="32"/>
          <w:szCs w:val="32"/>
          <w:highlight w:val="none"/>
          <w:lang w:eastAsia="zh-CN"/>
        </w:rPr>
        <w:t>职工货币化改革补贴</w:t>
      </w:r>
      <w:r>
        <w:rPr>
          <w:rFonts w:hint="eastAsia" w:ascii="仿宋_GB2312" w:hAnsi="宋体" w:eastAsia="仿宋_GB2312"/>
          <w:sz w:val="32"/>
          <w:szCs w:val="32"/>
          <w:highlight w:val="none"/>
          <w:lang w:val="en-US" w:eastAsia="zh-CN"/>
        </w:rPr>
        <w:t>1.52万元，</w:t>
      </w:r>
      <w:r>
        <w:rPr>
          <w:rFonts w:hint="eastAsia" w:ascii="仿宋_GB2312" w:hAnsi="宋体" w:eastAsia="仿宋_GB2312"/>
          <w:sz w:val="32"/>
          <w:szCs w:val="32"/>
          <w:highlight w:val="none"/>
        </w:rPr>
        <w:t>完成年初预算的</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p>
    <w:p>
      <w:pPr>
        <w:spacing w:line="560" w:lineRule="exact"/>
        <w:ind w:firstLine="660"/>
        <w:rPr>
          <w:rFonts w:hint="default" w:ascii="楷体_GB2312" w:hAnsi="宋体" w:eastAsia="楷体_GB2312"/>
          <w:b/>
          <w:sz w:val="32"/>
          <w:szCs w:val="32"/>
        </w:rPr>
      </w:pPr>
      <w:r>
        <w:rPr>
          <w:rFonts w:ascii="楷体_GB2312" w:hAnsi="宋体" w:eastAsia="楷体_GB2312"/>
          <w:b/>
          <w:sz w:val="32"/>
          <w:szCs w:val="32"/>
        </w:rPr>
        <w:t>（三）政府性基金预算财政拨款支出情况</w:t>
      </w:r>
    </w:p>
    <w:p>
      <w:pPr>
        <w:spacing w:line="560" w:lineRule="exact"/>
        <w:ind w:firstLine="660"/>
        <w:rPr>
          <w:rFonts w:hint="eastAsia" w:ascii="仿宋_GB2312" w:hAnsi="宋体" w:eastAsia="仿宋_GB2312"/>
          <w:sz w:val="32"/>
          <w:szCs w:val="32"/>
          <w:lang w:val="en-US" w:eastAsia="zh-CN"/>
        </w:rPr>
      </w:pPr>
      <w:r>
        <w:rPr>
          <w:rFonts w:ascii="仿宋_GB2312" w:hAnsi="宋体" w:eastAsia="仿宋_GB2312"/>
          <w:sz w:val="32"/>
          <w:szCs w:val="32"/>
        </w:rPr>
        <w:t>2021年度政府性基金预算财政拨款支出</w:t>
      </w:r>
      <w:r>
        <w:rPr>
          <w:rFonts w:hint="eastAsia" w:ascii="仿宋_GB2312" w:hAnsi="宋体" w:eastAsia="仿宋_GB2312"/>
          <w:sz w:val="32"/>
          <w:szCs w:val="32"/>
          <w:lang w:val="en-US" w:eastAsia="zh-CN"/>
        </w:rPr>
        <w:t>0</w:t>
      </w:r>
      <w:r>
        <w:rPr>
          <w:rFonts w:ascii="仿宋_GB2312" w:hAnsi="宋体" w:eastAsia="仿宋_GB2312"/>
          <w:sz w:val="32"/>
          <w:szCs w:val="32"/>
        </w:rPr>
        <w:t>万元</w:t>
      </w:r>
      <w:r>
        <w:rPr>
          <w:rFonts w:hint="eastAsia" w:ascii="仿宋_GB2312" w:hAnsi="宋体" w:eastAsia="仿宋_GB2312"/>
          <w:sz w:val="32"/>
          <w:szCs w:val="32"/>
          <w:lang w:eastAsia="zh-CN"/>
        </w:rPr>
        <w:t>。</w:t>
      </w:r>
    </w:p>
    <w:p>
      <w:pPr>
        <w:spacing w:line="560" w:lineRule="exact"/>
        <w:ind w:firstLine="660"/>
        <w:rPr>
          <w:rFonts w:hint="default" w:ascii="楷体_GB2312" w:hAnsi="宋体" w:eastAsia="楷体_GB2312"/>
          <w:b/>
          <w:sz w:val="32"/>
          <w:szCs w:val="32"/>
        </w:rPr>
      </w:pPr>
      <w:r>
        <w:rPr>
          <w:rFonts w:ascii="楷体_GB2312" w:hAnsi="宋体" w:eastAsia="楷体_GB2312"/>
          <w:b/>
          <w:sz w:val="32"/>
          <w:szCs w:val="32"/>
        </w:rPr>
        <w:t>（四）国有资本经营预算财政拨款支出情况</w:t>
      </w:r>
    </w:p>
    <w:p>
      <w:pPr>
        <w:spacing w:line="560" w:lineRule="exact"/>
        <w:ind w:firstLine="660"/>
        <w:rPr>
          <w:rFonts w:hint="eastAsia" w:ascii="仿宋_GB2312" w:hAnsi="宋体" w:eastAsia="仿宋_GB2312"/>
          <w:sz w:val="32"/>
          <w:szCs w:val="32"/>
          <w:lang w:val="en-US" w:eastAsia="zh-CN"/>
        </w:rPr>
      </w:pPr>
      <w:r>
        <w:rPr>
          <w:rFonts w:ascii="仿宋_GB2312" w:hAnsi="宋体" w:eastAsia="仿宋_GB2312"/>
          <w:sz w:val="32"/>
          <w:szCs w:val="32"/>
        </w:rPr>
        <w:t>2021年度国有资本经营预算财政拨款支出</w:t>
      </w:r>
      <w:r>
        <w:rPr>
          <w:rFonts w:hint="eastAsia" w:ascii="仿宋_GB2312" w:hAnsi="宋体" w:eastAsia="仿宋_GB2312"/>
          <w:sz w:val="32"/>
          <w:szCs w:val="32"/>
          <w:lang w:val="en-US" w:eastAsia="zh-CN"/>
        </w:rPr>
        <w:t>0</w:t>
      </w:r>
      <w:r>
        <w:rPr>
          <w:rFonts w:ascii="仿宋_GB2312" w:hAnsi="宋体" w:eastAsia="仿宋_GB2312"/>
          <w:sz w:val="32"/>
          <w:szCs w:val="32"/>
        </w:rPr>
        <w:t>万元</w:t>
      </w:r>
      <w:r>
        <w:rPr>
          <w:rFonts w:hint="eastAsia" w:ascii="仿宋_GB2312" w:hAnsi="宋体" w:eastAsia="仿宋_GB2312"/>
          <w:sz w:val="32"/>
          <w:szCs w:val="32"/>
          <w:lang w:eastAsia="zh-CN"/>
        </w:rPr>
        <w:t>。</w:t>
      </w:r>
    </w:p>
    <w:p>
      <w:pPr>
        <w:pStyle w:val="7"/>
        <w:spacing w:line="560" w:lineRule="exact"/>
        <w:ind w:firstLine="660"/>
        <w:rPr>
          <w:rFonts w:hint="default" w:ascii="黑体" w:eastAsia="黑体"/>
          <w:sz w:val="32"/>
        </w:rPr>
      </w:pPr>
      <w:r>
        <w:rPr>
          <w:rFonts w:ascii="黑体" w:eastAsia="黑体"/>
          <w:sz w:val="32"/>
        </w:rPr>
        <w:t>三、一般公共预算财政拨款“三公”经费支出决算情况说明</w:t>
      </w:r>
    </w:p>
    <w:p>
      <w:pPr>
        <w:pStyle w:val="7"/>
        <w:keepNext w:val="0"/>
        <w:keepLines w:val="0"/>
        <w:pageBreakBefore w:val="0"/>
        <w:widowControl/>
        <w:kinsoku/>
        <w:wordWrap/>
        <w:overflowPunct/>
        <w:topLinePunct w:val="0"/>
        <w:autoSpaceDE/>
        <w:autoSpaceDN w:val="0"/>
        <w:bidi w:val="0"/>
        <w:adjustRightInd/>
        <w:snapToGrid/>
        <w:spacing w:before="0" w:beforeLines="0" w:after="0" w:afterLines="0" w:line="560" w:lineRule="exact"/>
        <w:ind w:left="0" w:leftChars="0" w:right="0" w:rightChars="0" w:firstLine="645"/>
        <w:jc w:val="both"/>
        <w:textAlignment w:val="auto"/>
        <w:outlineLvl w:val="9"/>
        <w:rPr>
          <w:rFonts w:hint="default" w:ascii="仿宋_GB2312" w:eastAsia="仿宋_GB2312"/>
          <w:sz w:val="32"/>
          <w:highlight w:val="none"/>
        </w:rPr>
      </w:pPr>
      <w:r>
        <w:rPr>
          <w:rFonts w:ascii="仿宋_GB2312" w:eastAsia="仿宋_GB2312"/>
          <w:sz w:val="32"/>
        </w:rPr>
        <w:t>2021年度一般公共预算财政拨款安排的“三公”经费支出</w:t>
      </w:r>
      <w:r>
        <w:rPr>
          <w:rFonts w:hint="eastAsia" w:ascii="仿宋_GB2312" w:eastAsia="仿宋_GB2312"/>
          <w:sz w:val="32"/>
          <w:lang w:val="en-US" w:eastAsia="zh-CN"/>
        </w:rPr>
        <w:t>3.64</w:t>
      </w:r>
      <w:r>
        <w:rPr>
          <w:rFonts w:ascii="仿宋_GB2312" w:eastAsia="仿宋_GB2312"/>
          <w:sz w:val="32"/>
        </w:rPr>
        <w:t>万元，完成年初预算的</w:t>
      </w:r>
      <w:r>
        <w:rPr>
          <w:rFonts w:hint="eastAsia" w:ascii="仿宋_GB2312" w:eastAsia="仿宋_GB2312"/>
          <w:sz w:val="32"/>
          <w:lang w:val="en-US" w:eastAsia="zh-CN"/>
        </w:rPr>
        <w:t>17.64</w:t>
      </w:r>
      <w:r>
        <w:rPr>
          <w:rFonts w:ascii="仿宋_GB2312" w:eastAsia="仿宋_GB2312"/>
          <w:sz w:val="32"/>
        </w:rPr>
        <w:t>%，决算数小于年初预算数的主要原因是</w:t>
      </w:r>
      <w:r>
        <w:rPr>
          <w:rFonts w:ascii="仿宋_GB2312" w:eastAsia="仿宋_GB2312"/>
          <w:sz w:val="32"/>
          <w:szCs w:val="32"/>
        </w:rPr>
        <w:t>加强和规范经费支出管理，深入贯彻“加强财政资金管理，过紧日子”的精神，加大压减</w:t>
      </w:r>
      <w:r>
        <w:rPr>
          <w:rFonts w:ascii="仿宋_GB2312" w:eastAsia="仿宋_GB2312"/>
          <w:sz w:val="32"/>
        </w:rPr>
        <w:t>“三公”经费支出力度。</w:t>
      </w:r>
      <w:r>
        <w:rPr>
          <w:rFonts w:hint="eastAsia" w:ascii="仿宋_GB2312" w:eastAsia="仿宋_GB2312"/>
          <w:sz w:val="32"/>
          <w:highlight w:val="none"/>
        </w:rPr>
        <w:t>其中：因公出国（境）费</w:t>
      </w:r>
      <w:r>
        <w:rPr>
          <w:rFonts w:hint="eastAsia" w:ascii="仿宋_GB2312" w:eastAsia="仿宋_GB2312"/>
          <w:sz w:val="32"/>
          <w:highlight w:val="none"/>
          <w:lang w:val="en-US" w:eastAsia="zh-CN"/>
        </w:rPr>
        <w:t>0</w:t>
      </w:r>
      <w:r>
        <w:rPr>
          <w:rFonts w:hint="eastAsia" w:ascii="仿宋_GB2312" w:eastAsia="仿宋_GB2312"/>
          <w:sz w:val="32"/>
          <w:highlight w:val="none"/>
        </w:rPr>
        <w:t>万元，公务接待费</w:t>
      </w:r>
      <w:r>
        <w:rPr>
          <w:rFonts w:hint="eastAsia" w:ascii="仿宋_GB2312" w:eastAsia="仿宋_GB2312"/>
          <w:sz w:val="32"/>
          <w:highlight w:val="none"/>
          <w:lang w:val="en-US" w:eastAsia="zh-CN"/>
        </w:rPr>
        <w:t>0.19</w:t>
      </w:r>
      <w:r>
        <w:rPr>
          <w:rFonts w:hint="eastAsia" w:ascii="仿宋_GB2312" w:eastAsia="仿宋_GB2312"/>
          <w:sz w:val="32"/>
          <w:highlight w:val="none"/>
        </w:rPr>
        <w:t>万元，公务用车购置及运行维护费</w:t>
      </w:r>
      <w:r>
        <w:rPr>
          <w:rFonts w:hint="eastAsia" w:ascii="仿宋_GB2312" w:eastAsia="仿宋_GB2312"/>
          <w:sz w:val="32"/>
          <w:highlight w:val="none"/>
          <w:lang w:val="en-US" w:eastAsia="zh-CN"/>
        </w:rPr>
        <w:t>3.45</w:t>
      </w:r>
      <w:r>
        <w:rPr>
          <w:rFonts w:hint="eastAsia" w:ascii="仿宋_GB2312" w:eastAsia="仿宋_GB2312"/>
          <w:sz w:val="32"/>
          <w:highlight w:val="none"/>
        </w:rPr>
        <w:t>万元。</w:t>
      </w:r>
    </w:p>
    <w:p>
      <w:pPr>
        <w:pStyle w:val="7"/>
        <w:spacing w:line="560" w:lineRule="exact"/>
        <w:ind w:firstLine="645"/>
        <w:rPr>
          <w:rFonts w:hint="default" w:ascii="仿宋_GB2312" w:hAnsi="Times New Roman" w:eastAsia="仿宋_GB2312" w:cs="Times New Roman"/>
          <w:kern w:val="0"/>
          <w:sz w:val="32"/>
          <w:szCs w:val="32"/>
        </w:rPr>
      </w:pPr>
      <w:r>
        <w:rPr>
          <w:rFonts w:ascii="仿宋_GB2312" w:eastAsia="仿宋_GB2312"/>
          <w:sz w:val="32"/>
        </w:rPr>
        <w:t>1.因公出国（境）费</w:t>
      </w:r>
      <w:r>
        <w:rPr>
          <w:rFonts w:hint="eastAsia" w:ascii="仿宋_GB2312" w:eastAsia="仿宋_GB2312"/>
          <w:sz w:val="32"/>
          <w:lang w:val="en-US" w:eastAsia="zh-CN"/>
        </w:rPr>
        <w:t>0</w:t>
      </w:r>
      <w:r>
        <w:rPr>
          <w:rFonts w:ascii="仿宋_GB2312" w:eastAsia="仿宋_GB2312"/>
          <w:sz w:val="32"/>
        </w:rPr>
        <w:t>万元，占“三公”经费支出的</w:t>
      </w:r>
      <w:r>
        <w:rPr>
          <w:rFonts w:hint="eastAsia" w:ascii="仿宋_GB2312" w:eastAsia="仿宋_GB2312"/>
          <w:sz w:val="32"/>
          <w:lang w:val="en-US" w:eastAsia="zh-CN"/>
        </w:rPr>
        <w:t>0</w:t>
      </w:r>
      <w:r>
        <w:rPr>
          <w:rFonts w:ascii="仿宋_GB2312" w:eastAsia="仿宋_GB2312"/>
          <w:sz w:val="32"/>
        </w:rPr>
        <w:t>%。完成年初预算的</w:t>
      </w:r>
      <w:r>
        <w:rPr>
          <w:rFonts w:hint="eastAsia" w:ascii="仿宋_GB2312" w:eastAsia="仿宋_GB2312"/>
          <w:sz w:val="32"/>
          <w:lang w:val="en-US" w:eastAsia="zh-CN"/>
        </w:rPr>
        <w:t>100</w:t>
      </w:r>
      <w:r>
        <w:rPr>
          <w:rFonts w:ascii="仿宋_GB2312" w:eastAsia="仿宋_GB2312"/>
          <w:sz w:val="32"/>
        </w:rPr>
        <w:t>%</w:t>
      </w:r>
      <w:r>
        <w:rPr>
          <w:rFonts w:ascii="仿宋_GB2312" w:hAnsi="Times New Roman" w:eastAsia="仿宋_GB2312" w:cs="Times New Roman"/>
          <w:kern w:val="0"/>
          <w:sz w:val="32"/>
          <w:szCs w:val="32"/>
        </w:rPr>
        <w:t>。</w:t>
      </w:r>
    </w:p>
    <w:p>
      <w:pPr>
        <w:pStyle w:val="7"/>
        <w:spacing w:line="560" w:lineRule="exact"/>
        <w:rPr>
          <w:rFonts w:hint="default" w:ascii="Times New Roman" w:hAnsi="Times New Roman" w:cs="Times New Roman"/>
          <w:color w:val="auto"/>
          <w:kern w:val="0"/>
          <w:szCs w:val="21"/>
        </w:rPr>
      </w:pPr>
      <w:r>
        <w:rPr>
          <w:rFonts w:ascii="仿宋_GB2312" w:eastAsia="仿宋_GB2312"/>
          <w:sz w:val="32"/>
        </w:rPr>
        <w:t xml:space="preserve">    2.公务接待费</w:t>
      </w:r>
      <w:r>
        <w:rPr>
          <w:rFonts w:hint="eastAsia" w:ascii="仿宋_GB2312" w:eastAsia="仿宋_GB2312"/>
          <w:sz w:val="32"/>
          <w:lang w:val="en-US" w:eastAsia="zh-CN"/>
        </w:rPr>
        <w:t>0.19</w:t>
      </w:r>
      <w:r>
        <w:rPr>
          <w:rFonts w:ascii="仿宋_GB2312" w:eastAsia="仿宋_GB2312"/>
          <w:sz w:val="32"/>
        </w:rPr>
        <w:t>万元，占“三公”经费支出的</w:t>
      </w:r>
      <w:r>
        <w:rPr>
          <w:rFonts w:hint="eastAsia" w:ascii="仿宋_GB2312" w:eastAsia="仿宋_GB2312"/>
          <w:sz w:val="32"/>
          <w:lang w:val="en-US" w:eastAsia="zh-CN"/>
        </w:rPr>
        <w:t>5.22</w:t>
      </w:r>
      <w:r>
        <w:rPr>
          <w:rFonts w:ascii="仿宋_GB2312" w:eastAsia="仿宋_GB2312"/>
          <w:sz w:val="32"/>
        </w:rPr>
        <w:t>%。完成年初预算的</w:t>
      </w:r>
      <w:r>
        <w:rPr>
          <w:rFonts w:hint="eastAsia" w:ascii="仿宋_GB2312" w:eastAsia="仿宋_GB2312"/>
          <w:sz w:val="32"/>
          <w:lang w:val="en-US" w:eastAsia="zh-CN"/>
        </w:rPr>
        <w:t>7.22</w:t>
      </w:r>
      <w:r>
        <w:rPr>
          <w:rFonts w:ascii="仿宋_GB2312" w:eastAsia="仿宋_GB2312"/>
          <w:sz w:val="32"/>
        </w:rPr>
        <w:t>%，决算数小于年初预算数的原因主要是</w:t>
      </w:r>
      <w:r>
        <w:rPr>
          <w:rFonts w:ascii="仿宋_GB2312" w:eastAsia="仿宋_GB2312"/>
          <w:sz w:val="32"/>
          <w:szCs w:val="32"/>
        </w:rPr>
        <w:t>加强和规范经费支出管理，深入贯彻“加强财政资金管理，过紧日子”的精神，加大压减</w:t>
      </w:r>
      <w:r>
        <w:rPr>
          <w:rFonts w:ascii="仿宋_GB2312" w:eastAsia="仿宋_GB2312"/>
          <w:sz w:val="32"/>
        </w:rPr>
        <w:t>公务接待费支出力度。</w:t>
      </w:r>
      <w:r>
        <w:rPr>
          <w:rFonts w:ascii="仿宋_GB2312" w:eastAsia="仿宋_GB2312"/>
          <w:color w:val="auto"/>
          <w:sz w:val="32"/>
        </w:rPr>
        <w:t>2021年国内公务接待累计</w:t>
      </w:r>
      <w:r>
        <w:rPr>
          <w:rFonts w:hint="eastAsia" w:ascii="仿宋_GB2312" w:eastAsia="仿宋_GB2312"/>
          <w:color w:val="auto"/>
          <w:sz w:val="32"/>
          <w:lang w:val="en-US" w:eastAsia="zh-CN"/>
        </w:rPr>
        <w:t>1</w:t>
      </w:r>
      <w:r>
        <w:rPr>
          <w:rFonts w:ascii="仿宋_GB2312" w:eastAsia="仿宋_GB2312"/>
          <w:color w:val="auto"/>
          <w:sz w:val="32"/>
        </w:rPr>
        <w:t>批次、</w:t>
      </w:r>
      <w:r>
        <w:rPr>
          <w:rFonts w:hint="eastAsia" w:ascii="仿宋_GB2312" w:eastAsia="仿宋_GB2312"/>
          <w:color w:val="auto"/>
          <w:sz w:val="32"/>
          <w:lang w:val="en-US" w:eastAsia="zh-CN"/>
        </w:rPr>
        <w:t>16</w:t>
      </w:r>
      <w:r>
        <w:rPr>
          <w:rFonts w:ascii="仿宋_GB2312" w:eastAsia="仿宋_GB2312"/>
          <w:color w:val="auto"/>
          <w:sz w:val="32"/>
        </w:rPr>
        <w:t>人、</w:t>
      </w:r>
      <w:r>
        <w:rPr>
          <w:rFonts w:hint="eastAsia" w:ascii="仿宋_GB2312" w:eastAsia="仿宋_GB2312"/>
          <w:color w:val="auto"/>
          <w:sz w:val="32"/>
          <w:lang w:val="en-US" w:eastAsia="zh-CN"/>
        </w:rPr>
        <w:t>0.19</w:t>
      </w:r>
      <w:r>
        <w:rPr>
          <w:rFonts w:ascii="仿宋_GB2312" w:eastAsia="仿宋_GB2312"/>
          <w:color w:val="auto"/>
          <w:sz w:val="32"/>
        </w:rPr>
        <w:t>万元，主要用于</w:t>
      </w:r>
      <w:r>
        <w:rPr>
          <w:rFonts w:hint="eastAsia" w:ascii="仿宋_GB2312" w:eastAsia="仿宋_GB2312"/>
          <w:color w:val="auto"/>
          <w:sz w:val="32"/>
          <w:lang w:eastAsia="zh-CN"/>
        </w:rPr>
        <w:t>招待餐费</w:t>
      </w:r>
      <w:r>
        <w:rPr>
          <w:rFonts w:ascii="仿宋_GB2312" w:eastAsia="仿宋_GB2312"/>
          <w:color w:val="auto"/>
          <w:sz w:val="32"/>
        </w:rPr>
        <w:t>;其中外事接待累计</w:t>
      </w:r>
      <w:r>
        <w:rPr>
          <w:rFonts w:hint="eastAsia" w:ascii="仿宋_GB2312" w:eastAsia="仿宋_GB2312"/>
          <w:color w:val="auto"/>
          <w:sz w:val="32"/>
          <w:lang w:val="en-US" w:eastAsia="zh-CN"/>
        </w:rPr>
        <w:t>0</w:t>
      </w:r>
      <w:r>
        <w:rPr>
          <w:rFonts w:ascii="仿宋_GB2312" w:eastAsia="仿宋_GB2312"/>
          <w:color w:val="auto"/>
          <w:sz w:val="32"/>
        </w:rPr>
        <w:t>批次</w:t>
      </w:r>
      <w:r>
        <w:rPr>
          <w:rFonts w:hint="eastAsia" w:ascii="仿宋_GB2312" w:eastAsia="仿宋_GB2312"/>
          <w:color w:val="auto"/>
          <w:sz w:val="32"/>
          <w:lang w:eastAsia="zh-CN"/>
        </w:rPr>
        <w:t>。</w:t>
      </w:r>
      <w:r>
        <w:rPr>
          <w:rFonts w:ascii="仿宋_GB2312" w:hAnsi="Times New Roman" w:eastAsia="仿宋_GB2312" w:cs="Times New Roman"/>
          <w:color w:val="auto"/>
          <w:kern w:val="0"/>
          <w:sz w:val="32"/>
          <w:szCs w:val="32"/>
        </w:rPr>
        <w:t>2021年公务接待费比上年减少</w:t>
      </w:r>
      <w:r>
        <w:rPr>
          <w:rFonts w:hint="eastAsia" w:ascii="仿宋_GB2312" w:hAnsi="Times New Roman" w:eastAsia="仿宋_GB2312" w:cs="Times New Roman"/>
          <w:color w:val="auto"/>
          <w:kern w:val="0"/>
          <w:sz w:val="32"/>
          <w:szCs w:val="32"/>
          <w:lang w:val="en-US" w:eastAsia="zh-CN"/>
        </w:rPr>
        <w:t>0.05</w:t>
      </w:r>
      <w:r>
        <w:rPr>
          <w:rFonts w:ascii="仿宋_GB2312" w:hAnsi="Times New Roman" w:eastAsia="仿宋_GB2312" w:cs="Times New Roman"/>
          <w:color w:val="auto"/>
          <w:kern w:val="0"/>
          <w:sz w:val="32"/>
          <w:szCs w:val="32"/>
        </w:rPr>
        <w:t>万元，下降</w:t>
      </w:r>
      <w:r>
        <w:rPr>
          <w:rFonts w:hint="eastAsia" w:ascii="仿宋_GB2312" w:hAnsi="Times New Roman" w:eastAsia="仿宋_GB2312" w:cs="Times New Roman"/>
          <w:color w:val="auto"/>
          <w:kern w:val="0"/>
          <w:sz w:val="32"/>
          <w:szCs w:val="32"/>
          <w:lang w:val="en-US" w:eastAsia="zh-CN"/>
        </w:rPr>
        <w:t>20.83</w:t>
      </w:r>
      <w:r>
        <w:rPr>
          <w:rFonts w:ascii="仿宋_GB2312" w:hAnsi="Times New Roman" w:eastAsia="仿宋_GB2312" w:cs="Times New Roman"/>
          <w:color w:val="auto"/>
          <w:kern w:val="0"/>
          <w:sz w:val="32"/>
          <w:szCs w:val="32"/>
        </w:rPr>
        <w:t>%，主要是</w:t>
      </w:r>
      <w:r>
        <w:rPr>
          <w:rFonts w:hint="eastAsia" w:ascii="仿宋_GB2312" w:hAnsi="Times New Roman" w:eastAsia="仿宋_GB2312" w:cs="Times New Roman"/>
          <w:color w:val="auto"/>
          <w:kern w:val="0"/>
          <w:sz w:val="32"/>
          <w:szCs w:val="32"/>
          <w:lang w:eastAsia="zh-CN"/>
        </w:rPr>
        <w:t>减少公务接待的次数降低了接待的标准，减少“三公”经费的支出</w:t>
      </w:r>
      <w:r>
        <w:rPr>
          <w:rFonts w:ascii="仿宋_GB2312" w:hAnsi="Times New Roman" w:eastAsia="仿宋_GB2312" w:cs="Times New Roman"/>
          <w:color w:val="auto"/>
          <w:kern w:val="0"/>
          <w:sz w:val="32"/>
          <w:szCs w:val="32"/>
        </w:rPr>
        <w:t>。</w:t>
      </w:r>
    </w:p>
    <w:p>
      <w:pPr>
        <w:pStyle w:val="7"/>
        <w:spacing w:line="560" w:lineRule="exact"/>
        <w:ind w:firstLine="640" w:firstLineChars="200"/>
        <w:rPr>
          <w:rFonts w:hint="default" w:ascii="Times New Roman" w:hAnsi="Times New Roman" w:cs="Times New Roman"/>
          <w:color w:val="auto"/>
          <w:kern w:val="0"/>
          <w:szCs w:val="21"/>
        </w:rPr>
      </w:pPr>
      <w:r>
        <w:rPr>
          <w:rFonts w:ascii="仿宋_GB2312" w:eastAsia="仿宋_GB2312"/>
          <w:sz w:val="32"/>
        </w:rPr>
        <w:t>3.</w:t>
      </w:r>
      <w:r>
        <w:rPr>
          <w:rFonts w:hint="default" w:ascii="Times New Roman" w:hAnsi="Times New Roman"/>
        </w:rPr>
        <w:t xml:space="preserve"> </w:t>
      </w:r>
      <w:r>
        <w:rPr>
          <w:rFonts w:ascii="仿宋_GB2312" w:eastAsia="仿宋_GB2312"/>
          <w:sz w:val="32"/>
        </w:rPr>
        <w:t>公务用车购置及运行费</w:t>
      </w:r>
      <w:r>
        <w:rPr>
          <w:rFonts w:hint="eastAsia" w:ascii="仿宋_GB2312" w:eastAsia="仿宋_GB2312"/>
          <w:sz w:val="32"/>
          <w:lang w:val="en-US" w:eastAsia="zh-CN"/>
        </w:rPr>
        <w:t>3.45</w:t>
      </w:r>
      <w:r>
        <w:rPr>
          <w:rFonts w:ascii="仿宋_GB2312" w:eastAsia="仿宋_GB2312"/>
          <w:sz w:val="32"/>
        </w:rPr>
        <w:t>万元，占“三公”经费支出的</w:t>
      </w:r>
      <w:r>
        <w:rPr>
          <w:rFonts w:hint="eastAsia" w:ascii="仿宋_GB2312" w:eastAsia="仿宋_GB2312"/>
          <w:sz w:val="32"/>
          <w:lang w:val="en-US" w:eastAsia="zh-CN"/>
        </w:rPr>
        <w:t>94.78</w:t>
      </w:r>
      <w:r>
        <w:rPr>
          <w:rFonts w:ascii="仿宋_GB2312" w:eastAsia="仿宋_GB2312"/>
          <w:sz w:val="32"/>
        </w:rPr>
        <w:t>%。完成年初预算的</w:t>
      </w:r>
      <w:r>
        <w:rPr>
          <w:rFonts w:hint="eastAsia" w:ascii="仿宋_GB2312" w:eastAsia="仿宋_GB2312"/>
          <w:sz w:val="32"/>
          <w:lang w:val="en-US" w:eastAsia="zh-CN"/>
        </w:rPr>
        <w:t>19.17</w:t>
      </w:r>
      <w:r>
        <w:rPr>
          <w:rFonts w:ascii="仿宋_GB2312" w:eastAsia="仿宋_GB2312"/>
          <w:sz w:val="32"/>
        </w:rPr>
        <w:t>%，决算数小于年初预算数的原因主要</w:t>
      </w:r>
      <w:r>
        <w:rPr>
          <w:rFonts w:hint="eastAsia" w:ascii="仿宋_GB2312" w:eastAsia="仿宋_GB2312"/>
          <w:sz w:val="32"/>
          <w:lang w:eastAsia="zh-CN"/>
        </w:rPr>
        <w:t>是</w:t>
      </w:r>
      <w:r>
        <w:rPr>
          <w:rFonts w:hint="eastAsia" w:ascii="仿宋_GB2312" w:eastAsia="仿宋_GB2312"/>
          <w:color w:val="auto"/>
          <w:sz w:val="32"/>
          <w:highlight w:val="none"/>
          <w:u w:val="none" w:color="auto"/>
          <w:lang w:eastAsia="zh-CN"/>
        </w:rPr>
        <w:t>严格执行相关规定控制公务用车的使用和维修保养</w:t>
      </w:r>
      <w:r>
        <w:rPr>
          <w:rFonts w:ascii="仿宋_GB2312" w:eastAsia="仿宋_GB2312"/>
          <w:sz w:val="32"/>
        </w:rPr>
        <w:t>。</w:t>
      </w:r>
      <w:r>
        <w:rPr>
          <w:rFonts w:ascii="仿宋_GB2312" w:hAnsi="Times New Roman" w:eastAsia="仿宋_GB2312" w:cs="Times New Roman"/>
          <w:kern w:val="0"/>
          <w:sz w:val="32"/>
          <w:szCs w:val="32"/>
        </w:rPr>
        <w:t>比上年减少</w:t>
      </w:r>
      <w:r>
        <w:rPr>
          <w:rFonts w:hint="eastAsia" w:ascii="仿宋_GB2312" w:hAnsi="Times New Roman" w:eastAsia="仿宋_GB2312" w:cs="Times New Roman"/>
          <w:kern w:val="0"/>
          <w:sz w:val="32"/>
          <w:szCs w:val="32"/>
          <w:lang w:val="en-US" w:eastAsia="zh-CN"/>
        </w:rPr>
        <w:t>2.9</w:t>
      </w:r>
      <w:r>
        <w:rPr>
          <w:rFonts w:ascii="仿宋_GB2312" w:hAnsi="Times New Roman" w:eastAsia="仿宋_GB2312" w:cs="Times New Roman"/>
          <w:kern w:val="0"/>
          <w:sz w:val="32"/>
          <w:szCs w:val="32"/>
        </w:rPr>
        <w:t>万元，下降</w:t>
      </w:r>
      <w:r>
        <w:rPr>
          <w:rFonts w:hint="eastAsia" w:ascii="仿宋_GB2312" w:hAnsi="Times New Roman" w:eastAsia="仿宋_GB2312" w:cs="Times New Roman"/>
          <w:kern w:val="0"/>
          <w:sz w:val="32"/>
          <w:szCs w:val="32"/>
          <w:lang w:val="en-US" w:eastAsia="zh-CN"/>
        </w:rPr>
        <w:t>44.34</w:t>
      </w:r>
      <w:r>
        <w:rPr>
          <w:rFonts w:ascii="仿宋_GB2312" w:hAnsi="Times New Roman" w:eastAsia="仿宋_GB2312" w:cs="Times New Roman"/>
          <w:kern w:val="0"/>
          <w:sz w:val="32"/>
          <w:szCs w:val="32"/>
        </w:rPr>
        <w:t>%，主要是</w:t>
      </w:r>
      <w:r>
        <w:rPr>
          <w:rFonts w:hint="eastAsia" w:ascii="仿宋_GB2312" w:hAnsi="Times New Roman" w:eastAsia="仿宋_GB2312" w:cs="Times New Roman"/>
          <w:color w:val="auto"/>
          <w:kern w:val="0"/>
          <w:sz w:val="32"/>
          <w:szCs w:val="32"/>
          <w:lang w:eastAsia="zh-CN"/>
        </w:rPr>
        <w:t>上年支出中包含以前年度的未结算维修及保养费用</w:t>
      </w:r>
      <w:r>
        <w:rPr>
          <w:rFonts w:ascii="仿宋_GB2312" w:hAnsi="Times New Roman" w:eastAsia="仿宋_GB2312" w:cs="Times New Roman"/>
          <w:color w:val="auto"/>
          <w:kern w:val="0"/>
          <w:sz w:val="32"/>
          <w:szCs w:val="32"/>
        </w:rPr>
        <w:t>。</w:t>
      </w:r>
    </w:p>
    <w:p>
      <w:pPr>
        <w:pStyle w:val="7"/>
        <w:autoSpaceDN w:val="0"/>
        <w:spacing w:line="560" w:lineRule="exact"/>
        <w:ind w:firstLine="645"/>
        <w:rPr>
          <w:rFonts w:hint="default" w:ascii="仿宋_GB2312" w:eastAsia="仿宋_GB2312"/>
          <w:sz w:val="32"/>
        </w:rPr>
      </w:pPr>
      <w:r>
        <w:rPr>
          <w:rFonts w:ascii="仿宋_GB2312" w:eastAsia="仿宋_GB2312"/>
          <w:sz w:val="32"/>
        </w:rPr>
        <w:t>其中：公务用车购置费</w:t>
      </w:r>
      <w:r>
        <w:rPr>
          <w:rFonts w:hint="eastAsia" w:ascii="仿宋_GB2312" w:eastAsia="仿宋_GB2312"/>
          <w:sz w:val="32"/>
          <w:lang w:val="en-US" w:eastAsia="zh-CN"/>
        </w:rPr>
        <w:t>0</w:t>
      </w:r>
      <w:r>
        <w:rPr>
          <w:rFonts w:ascii="仿宋_GB2312" w:eastAsia="仿宋_GB2312"/>
          <w:sz w:val="32"/>
        </w:rPr>
        <w:t>万元。</w:t>
      </w:r>
    </w:p>
    <w:p>
      <w:pPr>
        <w:pStyle w:val="7"/>
        <w:keepNext w:val="0"/>
        <w:keepLines w:val="0"/>
        <w:pageBreakBefore w:val="0"/>
        <w:widowControl/>
        <w:kinsoku/>
        <w:wordWrap/>
        <w:overflowPunct/>
        <w:topLinePunct w:val="0"/>
        <w:autoSpaceDE/>
        <w:autoSpaceDN w:val="0"/>
        <w:bidi w:val="0"/>
        <w:adjustRightInd/>
        <w:snapToGrid/>
        <w:spacing w:before="0" w:beforeLines="0" w:after="0" w:afterLines="0" w:line="560" w:lineRule="exact"/>
        <w:ind w:left="0" w:leftChars="0" w:right="0" w:rightChars="0" w:firstLine="640"/>
        <w:jc w:val="both"/>
        <w:textAlignment w:val="auto"/>
        <w:outlineLvl w:val="9"/>
        <w:rPr>
          <w:rFonts w:hint="default" w:ascii="仿宋_GB2312" w:eastAsia="仿宋_GB2312"/>
          <w:sz w:val="32"/>
          <w:highlight w:val="none"/>
        </w:rPr>
      </w:pPr>
      <w:r>
        <w:rPr>
          <w:rFonts w:ascii="仿宋_GB2312" w:eastAsia="仿宋_GB2312"/>
          <w:sz w:val="32"/>
        </w:rPr>
        <w:t>公务用车运行维护费</w:t>
      </w:r>
      <w:r>
        <w:rPr>
          <w:rFonts w:hint="eastAsia" w:ascii="仿宋_GB2312" w:eastAsia="仿宋_GB2312"/>
          <w:sz w:val="32"/>
          <w:lang w:val="en-US" w:eastAsia="zh-CN"/>
        </w:rPr>
        <w:t>3.45</w:t>
      </w:r>
      <w:r>
        <w:rPr>
          <w:rFonts w:ascii="仿宋_GB2312" w:eastAsia="仿宋_GB2312"/>
          <w:sz w:val="32"/>
        </w:rPr>
        <w:t>万元，主要用于</w:t>
      </w:r>
      <w:r>
        <w:rPr>
          <w:rFonts w:hint="eastAsia" w:ascii="仿宋_GB2312" w:eastAsia="仿宋_GB2312"/>
          <w:sz w:val="32"/>
          <w:highlight w:val="none"/>
          <w:lang w:eastAsia="zh-CN"/>
        </w:rPr>
        <w:t>车辆维修费</w:t>
      </w:r>
      <w:r>
        <w:rPr>
          <w:rFonts w:hint="eastAsia" w:ascii="仿宋_GB2312" w:eastAsia="仿宋_GB2312"/>
          <w:sz w:val="32"/>
          <w:highlight w:val="none"/>
          <w:lang w:val="en-US" w:eastAsia="zh-CN"/>
        </w:rPr>
        <w:t>1.56万元，车辆保险1.69万元</w:t>
      </w:r>
      <w:r>
        <w:rPr>
          <w:rFonts w:hint="eastAsia" w:ascii="仿宋_GB2312" w:eastAsia="仿宋_GB2312"/>
          <w:sz w:val="32"/>
          <w:highlight w:val="none"/>
        </w:rPr>
        <w:t>等</w:t>
      </w:r>
      <w:r>
        <w:rPr>
          <w:rFonts w:hint="default" w:ascii="仿宋_GB2312" w:eastAsia="仿宋_GB2312"/>
          <w:sz w:val="32"/>
          <w:highlight w:val="none"/>
        </w:rPr>
        <w:t>,</w:t>
      </w:r>
      <w:r>
        <w:rPr>
          <w:rFonts w:hint="eastAsia" w:ascii="仿宋_GB2312" w:eastAsia="仿宋_GB2312"/>
          <w:sz w:val="32"/>
          <w:highlight w:val="none"/>
        </w:rPr>
        <w:t>截至年末使用一般公共预算财政拨款开支的公务用车保有量</w:t>
      </w:r>
      <w:r>
        <w:rPr>
          <w:rFonts w:hint="eastAsia" w:ascii="仿宋_GB2312" w:eastAsia="仿宋_GB2312"/>
          <w:sz w:val="32"/>
          <w:highlight w:val="none"/>
          <w:lang w:val="en-US" w:eastAsia="zh-CN"/>
        </w:rPr>
        <w:t>6</w:t>
      </w:r>
      <w:r>
        <w:rPr>
          <w:rFonts w:hint="eastAsia" w:ascii="仿宋_GB2312" w:eastAsia="仿宋_GB2312"/>
          <w:sz w:val="32"/>
          <w:highlight w:val="none"/>
        </w:rPr>
        <w:t>辆。完成年初预算的</w:t>
      </w:r>
      <w:r>
        <w:rPr>
          <w:rFonts w:hint="eastAsia" w:ascii="仿宋_GB2312" w:eastAsia="仿宋_GB2312"/>
          <w:sz w:val="32"/>
          <w:highlight w:val="none"/>
          <w:lang w:val="en-US" w:eastAsia="zh-CN"/>
        </w:rPr>
        <w:t>19.17</w:t>
      </w:r>
      <w:r>
        <w:rPr>
          <w:rFonts w:hint="eastAsia" w:ascii="仿宋_GB2312" w:eastAsia="仿宋_GB2312"/>
          <w:sz w:val="32"/>
          <w:highlight w:val="none"/>
        </w:rPr>
        <w:t>%，决算数小于年初预算数的原因主要是</w:t>
      </w:r>
      <w:r>
        <w:rPr>
          <w:rFonts w:hint="eastAsia" w:ascii="仿宋_GB2312" w:eastAsia="仿宋_GB2312"/>
          <w:color w:val="auto"/>
          <w:sz w:val="32"/>
          <w:highlight w:val="none"/>
          <w:u w:val="none" w:color="auto"/>
          <w:lang w:eastAsia="zh-CN"/>
        </w:rPr>
        <w:t>严格执行相关规定控制公务用车的使用和维修费用</w:t>
      </w:r>
      <w:r>
        <w:rPr>
          <w:rFonts w:hint="eastAsia" w:ascii="仿宋_GB2312" w:eastAsia="仿宋_GB2312"/>
          <w:sz w:val="32"/>
          <w:highlight w:val="none"/>
        </w:rPr>
        <w:t>。</w:t>
      </w:r>
    </w:p>
    <w:p>
      <w:pPr>
        <w:pStyle w:val="7"/>
        <w:spacing w:line="560" w:lineRule="exact"/>
        <w:ind w:firstLine="645"/>
        <w:rPr>
          <w:rFonts w:hint="default" w:ascii="黑体" w:eastAsia="黑体"/>
          <w:sz w:val="32"/>
        </w:rPr>
      </w:pPr>
      <w:r>
        <w:rPr>
          <w:rFonts w:ascii="黑体" w:eastAsia="黑体"/>
          <w:sz w:val="32"/>
        </w:rPr>
        <w:t>四、一般公共预算财政拨款基本支出决算情况说明</w:t>
      </w:r>
    </w:p>
    <w:p>
      <w:pPr>
        <w:pStyle w:val="7"/>
        <w:spacing w:line="560" w:lineRule="exact"/>
        <w:ind w:firstLine="645"/>
        <w:rPr>
          <w:rFonts w:hint="default" w:ascii="仿宋_GB2312" w:eastAsia="仿宋_GB2312"/>
          <w:sz w:val="32"/>
        </w:rPr>
      </w:pPr>
      <w:r>
        <w:rPr>
          <w:rFonts w:ascii="仿宋_GB2312" w:eastAsia="仿宋_GB2312"/>
          <w:sz w:val="32"/>
        </w:rPr>
        <w:t>2021年度一般公共预算财政拨款基本支出</w:t>
      </w:r>
      <w:r>
        <w:rPr>
          <w:rFonts w:hint="eastAsia" w:ascii="仿宋_GB2312" w:eastAsia="仿宋_GB2312"/>
          <w:sz w:val="32"/>
          <w:lang w:val="en-US" w:eastAsia="zh-CN"/>
        </w:rPr>
        <w:t>4763.80</w:t>
      </w:r>
      <w:r>
        <w:rPr>
          <w:rFonts w:ascii="仿宋_GB2312" w:eastAsia="仿宋_GB2312"/>
          <w:sz w:val="32"/>
        </w:rPr>
        <w:t>万元，其中：人员经费</w:t>
      </w:r>
      <w:r>
        <w:rPr>
          <w:rFonts w:hint="eastAsia" w:ascii="仿宋_GB2312" w:eastAsia="仿宋_GB2312"/>
          <w:sz w:val="32"/>
          <w:lang w:val="en-US" w:eastAsia="zh-CN"/>
        </w:rPr>
        <w:t>3945.01</w:t>
      </w:r>
      <w:r>
        <w:rPr>
          <w:rFonts w:ascii="仿宋_GB2312" w:eastAsia="仿宋_GB2312"/>
          <w:sz w:val="32"/>
        </w:rPr>
        <w:t>万元，主要包括基本工资、津贴补贴、奖金、其他社会保障缴费、机关事业单位基本养老保险缴费、其他工资福利支出、离休费、退休费、抚恤金、生活补助、奖励金、住房公积金、采暖补贴、其他对个人和家庭补助的支出；日常公用经费</w:t>
      </w:r>
      <w:r>
        <w:rPr>
          <w:rFonts w:hint="eastAsia" w:ascii="仿宋_GB2312" w:eastAsia="仿宋_GB2312"/>
          <w:sz w:val="32"/>
          <w:lang w:val="en-US" w:eastAsia="zh-CN"/>
        </w:rPr>
        <w:t>818.78</w:t>
      </w:r>
      <w:r>
        <w:rPr>
          <w:rFonts w:ascii="仿宋_GB2312" w:eastAsia="仿宋_GB2312"/>
          <w:sz w:val="32"/>
        </w:rPr>
        <w:t>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pStyle w:val="7"/>
        <w:spacing w:line="560" w:lineRule="exact"/>
        <w:ind w:firstLine="640"/>
        <w:rPr>
          <w:rFonts w:hint="default" w:ascii="黑体" w:eastAsia="黑体"/>
          <w:sz w:val="32"/>
        </w:rPr>
      </w:pPr>
      <w:r>
        <w:rPr>
          <w:rFonts w:ascii="黑体" w:eastAsia="黑体"/>
          <w:sz w:val="32"/>
        </w:rPr>
        <w:t>五、其他重要事项的情况说明</w:t>
      </w:r>
    </w:p>
    <w:p>
      <w:pPr>
        <w:pStyle w:val="7"/>
        <w:spacing w:line="560" w:lineRule="exact"/>
        <w:ind w:firstLine="640"/>
        <w:rPr>
          <w:rFonts w:hint="default" w:ascii="楷体_GB2312" w:eastAsia="楷体_GB2312"/>
          <w:b/>
          <w:sz w:val="32"/>
        </w:rPr>
      </w:pPr>
      <w:r>
        <w:rPr>
          <w:rFonts w:ascii="楷体_GB2312" w:eastAsia="楷体_GB2312"/>
          <w:b/>
          <w:sz w:val="32"/>
        </w:rPr>
        <w:t>（一）机关运行经费支出情况</w:t>
      </w:r>
    </w:p>
    <w:p>
      <w:pPr>
        <w:pStyle w:val="10"/>
        <w:ind w:firstLine="640" w:firstLineChars="200"/>
        <w:rPr>
          <w:rFonts w:hint="eastAsia" w:ascii="仿宋" w:hAnsi="仿宋" w:eastAsia="仿宋" w:cs="仿宋"/>
          <w:sz w:val="32"/>
          <w:szCs w:val="32"/>
        </w:rPr>
      </w:pPr>
      <w:r>
        <w:rPr>
          <w:rFonts w:hint="eastAsia" w:ascii="仿宋" w:hAnsi="仿宋" w:eastAsia="仿宋" w:cs="仿宋"/>
          <w:sz w:val="32"/>
          <w:szCs w:val="32"/>
        </w:rPr>
        <w:t>2021年度机关运行经费支出</w:t>
      </w:r>
      <w:r>
        <w:rPr>
          <w:rFonts w:hint="eastAsia" w:ascii="仿宋" w:hAnsi="仿宋" w:eastAsia="仿宋" w:cs="仿宋"/>
          <w:sz w:val="32"/>
          <w:szCs w:val="32"/>
          <w:lang w:val="en-US" w:eastAsia="zh-CN"/>
        </w:rPr>
        <w:t>818.78</w:t>
      </w:r>
      <w:r>
        <w:rPr>
          <w:rFonts w:hint="eastAsia" w:ascii="仿宋" w:hAnsi="仿宋" w:eastAsia="仿宋" w:cs="仿宋"/>
          <w:sz w:val="32"/>
          <w:szCs w:val="32"/>
        </w:rPr>
        <w:t>万元（与决算中行政单位和参照公务员法管理事业单位一般公共预算财政拨款基本支出中公用经费之和一致），比上年决算数增加</w:t>
      </w:r>
      <w:r>
        <w:rPr>
          <w:rFonts w:hint="eastAsia" w:ascii="仿宋" w:hAnsi="仿宋" w:eastAsia="仿宋" w:cs="仿宋"/>
          <w:sz w:val="32"/>
          <w:szCs w:val="32"/>
          <w:lang w:val="en-US" w:eastAsia="zh-CN"/>
        </w:rPr>
        <w:t>148.37</w:t>
      </w:r>
      <w:r>
        <w:rPr>
          <w:rFonts w:hint="eastAsia" w:ascii="仿宋" w:hAnsi="仿宋" w:eastAsia="仿宋" w:cs="仿宋"/>
          <w:sz w:val="32"/>
          <w:szCs w:val="32"/>
        </w:rPr>
        <w:t>万元，增长</w:t>
      </w:r>
      <w:r>
        <w:rPr>
          <w:rFonts w:hint="eastAsia" w:ascii="仿宋" w:hAnsi="仿宋" w:eastAsia="仿宋" w:cs="仿宋"/>
          <w:sz w:val="32"/>
          <w:szCs w:val="32"/>
          <w:lang w:val="en-US" w:eastAsia="zh-CN"/>
        </w:rPr>
        <w:t>22.13</w:t>
      </w:r>
      <w:r>
        <w:rPr>
          <w:rFonts w:hint="eastAsia" w:ascii="仿宋" w:hAnsi="仿宋" w:eastAsia="仿宋" w:cs="仿宋"/>
          <w:sz w:val="32"/>
          <w:szCs w:val="32"/>
        </w:rPr>
        <w:t>%，主要原因是</w:t>
      </w:r>
      <w:r>
        <w:rPr>
          <w:rFonts w:hint="eastAsia" w:ascii="仿宋" w:hAnsi="仿宋" w:eastAsia="仿宋" w:cs="仿宋"/>
          <w:sz w:val="32"/>
          <w:szCs w:val="32"/>
          <w:lang w:eastAsia="zh-CN"/>
        </w:rPr>
        <w:t>对办公楼进行了维修改造以及会议室的设备进行升级改造</w:t>
      </w:r>
      <w:r>
        <w:rPr>
          <w:rFonts w:hint="eastAsia" w:ascii="仿宋" w:hAnsi="仿宋" w:eastAsia="仿宋" w:cs="仿宋"/>
          <w:sz w:val="32"/>
          <w:szCs w:val="32"/>
        </w:rPr>
        <w:t>。</w:t>
      </w:r>
    </w:p>
    <w:p>
      <w:pPr>
        <w:pStyle w:val="7"/>
        <w:spacing w:line="560" w:lineRule="exact"/>
        <w:ind w:firstLine="640"/>
        <w:rPr>
          <w:rFonts w:hint="default" w:ascii="楷体_GB2312" w:eastAsia="楷体_GB2312"/>
          <w:b/>
          <w:sz w:val="32"/>
        </w:rPr>
      </w:pPr>
      <w:r>
        <w:rPr>
          <w:rFonts w:ascii="楷体_GB2312" w:eastAsia="楷体_GB2312"/>
          <w:b/>
          <w:sz w:val="32"/>
        </w:rPr>
        <w:t>（二）政府采购支出情况</w:t>
      </w:r>
    </w:p>
    <w:p>
      <w:pPr>
        <w:pStyle w:val="7"/>
        <w:spacing w:line="560" w:lineRule="exact"/>
        <w:ind w:firstLine="640"/>
        <w:rPr>
          <w:rFonts w:ascii="仿宋_GB2312" w:eastAsia="仿宋_GB2312"/>
          <w:sz w:val="32"/>
        </w:rPr>
      </w:pPr>
      <w:r>
        <w:rPr>
          <w:rFonts w:ascii="仿宋_GB2312" w:eastAsia="仿宋_GB2312"/>
          <w:sz w:val="32"/>
        </w:rPr>
        <w:t>2021年政府采购支出总额</w:t>
      </w:r>
      <w:r>
        <w:rPr>
          <w:rFonts w:hint="eastAsia" w:ascii="仿宋_GB2312" w:eastAsia="仿宋_GB2312"/>
          <w:sz w:val="32"/>
          <w:lang w:val="en-US" w:eastAsia="zh-CN"/>
        </w:rPr>
        <w:t>325.04</w:t>
      </w:r>
      <w:r>
        <w:rPr>
          <w:rFonts w:ascii="仿宋_GB2312" w:eastAsia="仿宋_GB2312"/>
          <w:sz w:val="32"/>
        </w:rPr>
        <w:t>万元，其中：政府采购货物支出</w:t>
      </w:r>
      <w:r>
        <w:rPr>
          <w:rFonts w:hint="eastAsia" w:ascii="仿宋_GB2312" w:eastAsia="仿宋_GB2312"/>
          <w:sz w:val="32"/>
          <w:lang w:val="en-US" w:eastAsia="zh-CN"/>
        </w:rPr>
        <w:t>22.54</w:t>
      </w:r>
      <w:r>
        <w:rPr>
          <w:rFonts w:ascii="仿宋_GB2312" w:eastAsia="仿宋_GB2312"/>
          <w:sz w:val="32"/>
        </w:rPr>
        <w:t>万元，政府采购工程支出</w:t>
      </w:r>
      <w:r>
        <w:rPr>
          <w:rFonts w:hint="eastAsia" w:ascii="仿宋_GB2312" w:eastAsia="仿宋_GB2312"/>
          <w:sz w:val="32"/>
          <w:lang w:val="en-US" w:eastAsia="zh-CN"/>
        </w:rPr>
        <w:t>0</w:t>
      </w:r>
      <w:r>
        <w:rPr>
          <w:rFonts w:ascii="仿宋_GB2312" w:eastAsia="仿宋_GB2312"/>
          <w:sz w:val="32"/>
        </w:rPr>
        <w:t>万元，政府采购服务支出</w:t>
      </w:r>
      <w:r>
        <w:rPr>
          <w:rFonts w:hint="eastAsia" w:ascii="仿宋_GB2312" w:eastAsia="仿宋_GB2312"/>
          <w:sz w:val="32"/>
          <w:lang w:val="en-US" w:eastAsia="zh-CN"/>
        </w:rPr>
        <w:t>302.50</w:t>
      </w:r>
      <w:r>
        <w:rPr>
          <w:rFonts w:ascii="仿宋_GB2312" w:eastAsia="仿宋_GB2312"/>
          <w:sz w:val="32"/>
        </w:rPr>
        <w:t>万元。授予中小企业合同金额</w:t>
      </w:r>
      <w:r>
        <w:rPr>
          <w:rFonts w:hint="eastAsia" w:ascii="仿宋_GB2312" w:eastAsia="仿宋_GB2312"/>
          <w:sz w:val="32"/>
          <w:lang w:val="en-US" w:eastAsia="zh-CN"/>
        </w:rPr>
        <w:t>0</w:t>
      </w:r>
      <w:r>
        <w:rPr>
          <w:rFonts w:ascii="仿宋_GB2312" w:eastAsia="仿宋_GB2312"/>
          <w:sz w:val="32"/>
        </w:rPr>
        <w:t>万元，占政府采购支出总额的</w:t>
      </w:r>
      <w:r>
        <w:rPr>
          <w:rFonts w:hint="eastAsia" w:ascii="仿宋_GB2312" w:eastAsia="仿宋_GB2312"/>
          <w:sz w:val="32"/>
          <w:lang w:val="en-US" w:eastAsia="zh-CN"/>
        </w:rPr>
        <w:t>0</w:t>
      </w:r>
      <w:r>
        <w:rPr>
          <w:rFonts w:ascii="仿宋_GB2312" w:eastAsia="仿宋_GB2312"/>
          <w:sz w:val="32"/>
        </w:rPr>
        <w:t>%</w:t>
      </w:r>
      <w:r>
        <w:rPr>
          <w:rFonts w:hint="eastAsia" w:ascii="仿宋_GB2312" w:eastAsia="仿宋_GB2312"/>
          <w:sz w:val="32"/>
          <w:lang w:eastAsia="zh-CN"/>
        </w:rPr>
        <w:t>。</w:t>
      </w:r>
    </w:p>
    <w:p>
      <w:pPr>
        <w:pStyle w:val="7"/>
        <w:spacing w:line="560" w:lineRule="exact"/>
        <w:ind w:firstLine="640"/>
        <w:rPr>
          <w:rFonts w:hint="default" w:ascii="楷体_GB2312" w:eastAsia="楷体_GB2312"/>
          <w:b/>
          <w:sz w:val="32"/>
        </w:rPr>
      </w:pPr>
      <w:r>
        <w:rPr>
          <w:rFonts w:ascii="楷体_GB2312" w:eastAsia="楷体_GB2312"/>
          <w:b/>
          <w:sz w:val="32"/>
        </w:rPr>
        <w:t>（三）国有资产占用情况</w:t>
      </w:r>
    </w:p>
    <w:p>
      <w:pPr>
        <w:pStyle w:val="7"/>
        <w:spacing w:line="560" w:lineRule="exact"/>
        <w:ind w:firstLine="640"/>
        <w:rPr>
          <w:rFonts w:hint="eastAsia" w:ascii="仿宋_GB2312" w:eastAsia="仿宋_GB2312"/>
          <w:color w:val="auto"/>
          <w:sz w:val="32"/>
          <w:highlight w:val="none"/>
        </w:rPr>
      </w:pPr>
      <w:r>
        <w:rPr>
          <w:rFonts w:ascii="仿宋_GB2312" w:eastAsia="仿宋_GB2312"/>
          <w:sz w:val="32"/>
        </w:rPr>
        <w:t>截至2021年12月31日，共有车辆</w:t>
      </w:r>
      <w:r>
        <w:rPr>
          <w:rFonts w:hint="eastAsia" w:ascii="仿宋_GB2312" w:eastAsia="仿宋_GB2312"/>
          <w:sz w:val="32"/>
          <w:lang w:val="en-US" w:eastAsia="zh-CN"/>
        </w:rPr>
        <w:t>6</w:t>
      </w:r>
      <w:r>
        <w:rPr>
          <w:rFonts w:ascii="仿宋_GB2312" w:eastAsia="仿宋_GB2312"/>
          <w:sz w:val="32"/>
        </w:rPr>
        <w:t>辆，其中：副省级以上领导干部用车</w:t>
      </w:r>
      <w:r>
        <w:rPr>
          <w:rFonts w:hint="eastAsia" w:ascii="仿宋_GB2312" w:eastAsia="仿宋_GB2312"/>
          <w:sz w:val="32"/>
          <w:lang w:val="en-US" w:eastAsia="zh-CN"/>
        </w:rPr>
        <w:t>0</w:t>
      </w:r>
      <w:r>
        <w:rPr>
          <w:rFonts w:ascii="仿宋_GB2312" w:eastAsia="仿宋_GB2312"/>
          <w:sz w:val="32"/>
        </w:rPr>
        <w:t>辆，主要领导干部用车</w:t>
      </w:r>
      <w:r>
        <w:rPr>
          <w:rFonts w:hint="eastAsia" w:ascii="仿宋_GB2312" w:eastAsia="仿宋_GB2312"/>
          <w:sz w:val="32"/>
          <w:lang w:val="en-US" w:eastAsia="zh-CN"/>
        </w:rPr>
        <w:t>0</w:t>
      </w:r>
      <w:r>
        <w:rPr>
          <w:rFonts w:ascii="仿宋_GB2312" w:eastAsia="仿宋_GB2312"/>
          <w:sz w:val="32"/>
        </w:rPr>
        <w:t>辆，机要通讯用车</w:t>
      </w:r>
      <w:r>
        <w:rPr>
          <w:rFonts w:hint="eastAsia" w:ascii="仿宋_GB2312" w:eastAsia="仿宋_GB2312"/>
          <w:sz w:val="32"/>
          <w:lang w:val="en-US" w:eastAsia="zh-CN"/>
        </w:rPr>
        <w:t>0</w:t>
      </w:r>
      <w:r>
        <w:rPr>
          <w:rFonts w:ascii="仿宋_GB2312" w:eastAsia="仿宋_GB2312"/>
          <w:sz w:val="32"/>
        </w:rPr>
        <w:t>辆，应急保障用车</w:t>
      </w:r>
      <w:r>
        <w:rPr>
          <w:rFonts w:hint="eastAsia" w:ascii="仿宋_GB2312" w:eastAsia="仿宋_GB2312"/>
          <w:sz w:val="32"/>
          <w:lang w:val="en-US" w:eastAsia="zh-CN"/>
        </w:rPr>
        <w:t>0</w:t>
      </w:r>
      <w:r>
        <w:rPr>
          <w:rFonts w:ascii="仿宋_GB2312" w:eastAsia="仿宋_GB2312"/>
          <w:sz w:val="32"/>
        </w:rPr>
        <w:t>辆，执法执勤用车</w:t>
      </w:r>
      <w:r>
        <w:rPr>
          <w:rFonts w:hint="eastAsia" w:ascii="仿宋_GB2312" w:eastAsia="仿宋_GB2312"/>
          <w:sz w:val="32"/>
          <w:lang w:val="en-US" w:eastAsia="zh-CN"/>
        </w:rPr>
        <w:t>0</w:t>
      </w:r>
      <w:r>
        <w:rPr>
          <w:rFonts w:ascii="仿宋_GB2312" w:eastAsia="仿宋_GB2312"/>
          <w:sz w:val="32"/>
        </w:rPr>
        <w:t>辆，特种专业技术用车</w:t>
      </w:r>
      <w:r>
        <w:rPr>
          <w:rFonts w:hint="eastAsia" w:ascii="仿宋_GB2312" w:eastAsia="仿宋_GB2312"/>
          <w:sz w:val="32"/>
          <w:lang w:val="en-US" w:eastAsia="zh-CN"/>
        </w:rPr>
        <w:t>0</w:t>
      </w:r>
      <w:r>
        <w:rPr>
          <w:rFonts w:ascii="仿宋_GB2312" w:eastAsia="仿宋_GB2312"/>
          <w:sz w:val="32"/>
        </w:rPr>
        <w:t>辆，离退休干部用车</w:t>
      </w:r>
      <w:r>
        <w:rPr>
          <w:rFonts w:hint="eastAsia" w:ascii="仿宋_GB2312" w:eastAsia="仿宋_GB2312"/>
          <w:sz w:val="32"/>
          <w:lang w:val="en-US" w:eastAsia="zh-CN"/>
        </w:rPr>
        <w:t>0</w:t>
      </w:r>
      <w:r>
        <w:rPr>
          <w:rFonts w:ascii="仿宋_GB2312" w:eastAsia="仿宋_GB2312"/>
          <w:sz w:val="32"/>
        </w:rPr>
        <w:t>辆，其他用车</w:t>
      </w:r>
      <w:r>
        <w:rPr>
          <w:rFonts w:hint="eastAsia" w:ascii="仿宋_GB2312" w:eastAsia="仿宋_GB2312"/>
          <w:sz w:val="32"/>
          <w:lang w:val="en-US" w:eastAsia="zh-CN"/>
        </w:rPr>
        <w:t>6</w:t>
      </w:r>
      <w:r>
        <w:rPr>
          <w:rFonts w:ascii="仿宋_GB2312" w:eastAsia="仿宋_GB2312"/>
          <w:sz w:val="32"/>
        </w:rPr>
        <w:t>辆，其他用车主要</w:t>
      </w:r>
      <w:r>
        <w:rPr>
          <w:rFonts w:hint="eastAsia" w:ascii="仿宋_GB2312" w:eastAsia="仿宋_GB2312"/>
          <w:sz w:val="32"/>
          <w:lang w:eastAsia="zh-CN"/>
        </w:rPr>
        <w:t>是</w:t>
      </w:r>
      <w:r>
        <w:rPr>
          <w:rFonts w:hint="eastAsia" w:ascii="仿宋_GB2312" w:eastAsia="仿宋_GB2312"/>
          <w:color w:val="auto"/>
          <w:sz w:val="32"/>
          <w:highlight w:val="none"/>
          <w:lang w:val="en-US" w:eastAsia="zh-CN"/>
        </w:rPr>
        <w:t>保障正常的工作用车需求</w:t>
      </w:r>
      <w:r>
        <w:rPr>
          <w:rFonts w:hint="eastAsia" w:ascii="仿宋_GB2312" w:eastAsia="仿宋_GB2312"/>
          <w:color w:val="auto"/>
          <w:sz w:val="32"/>
          <w:highlight w:val="none"/>
        </w:rPr>
        <w:t>；单位价值50万元以上通用设备</w:t>
      </w:r>
      <w:r>
        <w:rPr>
          <w:rFonts w:hint="eastAsia" w:ascii="仿宋_GB2312" w:eastAsia="仿宋_GB2312"/>
          <w:color w:val="auto"/>
          <w:sz w:val="32"/>
          <w:highlight w:val="none"/>
          <w:lang w:val="en-US" w:eastAsia="zh-CN"/>
        </w:rPr>
        <w:t>3</w:t>
      </w:r>
      <w:r>
        <w:rPr>
          <w:rFonts w:hint="eastAsia" w:ascii="仿宋_GB2312" w:eastAsia="仿宋_GB2312"/>
          <w:color w:val="auto"/>
          <w:sz w:val="32"/>
          <w:highlight w:val="none"/>
        </w:rPr>
        <w:t>台（套），单价100万元以上专用设备</w:t>
      </w:r>
      <w:r>
        <w:rPr>
          <w:rFonts w:hint="eastAsia" w:ascii="仿宋_GB2312" w:eastAsia="仿宋_GB2312"/>
          <w:color w:val="auto"/>
          <w:sz w:val="32"/>
          <w:highlight w:val="none"/>
          <w:lang w:val="en-US" w:eastAsia="zh-CN"/>
        </w:rPr>
        <w:t>0</w:t>
      </w:r>
      <w:r>
        <w:rPr>
          <w:rFonts w:hint="eastAsia" w:ascii="仿宋_GB2312" w:eastAsia="仿宋_GB2312"/>
          <w:color w:val="auto"/>
          <w:sz w:val="32"/>
          <w:highlight w:val="none"/>
        </w:rPr>
        <w:t>台（套）。</w:t>
      </w:r>
    </w:p>
    <w:p>
      <w:pPr>
        <w:pStyle w:val="7"/>
        <w:spacing w:line="560" w:lineRule="exact"/>
        <w:ind w:firstLine="640"/>
        <w:rPr>
          <w:rFonts w:hint="default" w:ascii="楷体_GB2312" w:eastAsia="楷体_GB2312"/>
          <w:b/>
          <w:sz w:val="32"/>
        </w:rPr>
      </w:pPr>
      <w:r>
        <w:rPr>
          <w:rFonts w:ascii="楷体_GB2312" w:eastAsia="楷体_GB2312"/>
          <w:b/>
          <w:sz w:val="32"/>
        </w:rPr>
        <w:t>（四）预算绩效管理工作开展情况</w:t>
      </w:r>
    </w:p>
    <w:p>
      <w:pPr>
        <w:widowControl/>
        <w:spacing w:line="560" w:lineRule="exact"/>
        <w:ind w:firstLine="640" w:firstLineChars="200"/>
        <w:rPr>
          <w:rFonts w:hint="default" w:ascii="仿宋_GB2312" w:eastAsia="仿宋_GB2312"/>
          <w:sz w:val="32"/>
        </w:rPr>
      </w:pPr>
      <w:r>
        <w:rPr>
          <w:rFonts w:hint="default" w:ascii="仿宋_GB2312" w:eastAsia="仿宋_GB2312"/>
          <w:sz w:val="32"/>
        </w:rPr>
        <w:t>1.整体绩效自评情况（附整体绩效自评表）。组织对</w:t>
      </w:r>
      <w:r>
        <w:rPr>
          <w:rFonts w:hint="eastAsia" w:ascii="仿宋_GB2312" w:eastAsia="仿宋_GB2312"/>
          <w:sz w:val="32"/>
          <w:lang w:val="en-US" w:eastAsia="zh-CN"/>
        </w:rPr>
        <w:t>1</w:t>
      </w:r>
      <w:r>
        <w:rPr>
          <w:rFonts w:hint="default" w:ascii="仿宋_GB2312" w:eastAsia="仿宋_GB2312"/>
          <w:sz w:val="32"/>
        </w:rPr>
        <w:t>个单位开展整体绩效自评，涉及资金</w:t>
      </w:r>
      <w:r>
        <w:rPr>
          <w:rFonts w:hint="eastAsia" w:ascii="仿宋_GB2312" w:eastAsia="仿宋_GB2312"/>
          <w:sz w:val="32"/>
          <w:lang w:val="en-US" w:eastAsia="zh-CN"/>
        </w:rPr>
        <w:t>30325.62</w:t>
      </w:r>
      <w:r>
        <w:rPr>
          <w:rFonts w:hint="default" w:ascii="仿宋_GB2312" w:eastAsia="仿宋_GB2312"/>
          <w:sz w:val="32"/>
        </w:rPr>
        <w:t>万元，自评平均分</w:t>
      </w:r>
      <w:r>
        <w:rPr>
          <w:rFonts w:hint="eastAsia" w:ascii="仿宋_GB2312" w:eastAsia="仿宋_GB2312"/>
          <w:sz w:val="32"/>
          <w:lang w:val="en-US" w:eastAsia="zh-CN"/>
        </w:rPr>
        <w:t>66.6</w:t>
      </w:r>
      <w:r>
        <w:rPr>
          <w:rFonts w:hint="default" w:ascii="仿宋_GB2312" w:eastAsia="仿宋_GB2312"/>
          <w:sz w:val="32"/>
        </w:rPr>
        <w:t>分。</w:t>
      </w:r>
    </w:p>
    <w:p>
      <w:pPr>
        <w:widowControl/>
        <w:spacing w:line="560" w:lineRule="exact"/>
        <w:ind w:firstLine="640" w:firstLineChars="200"/>
        <w:rPr>
          <w:rFonts w:hint="default" w:ascii="仿宋_GB2312" w:eastAsia="仿宋_GB2312"/>
          <w:sz w:val="32"/>
        </w:rPr>
      </w:pPr>
      <w:r>
        <w:rPr>
          <w:rFonts w:hint="default" w:ascii="仿宋_GB2312" w:eastAsia="仿宋_GB2312"/>
          <w:sz w:val="32"/>
        </w:rPr>
        <w:t>2.项目绩效自评情况（附预算项目绩效自评表）。根据预算绩效管理要求，我</w:t>
      </w:r>
      <w:r>
        <w:rPr>
          <w:rFonts w:hint="eastAsia" w:ascii="仿宋_GB2312" w:eastAsia="仿宋_GB2312"/>
          <w:sz w:val="32"/>
          <w:lang w:eastAsia="zh-CN"/>
        </w:rPr>
        <w:t>单位</w:t>
      </w:r>
      <w:r>
        <w:rPr>
          <w:rFonts w:hint="default" w:ascii="仿宋_GB2312" w:eastAsia="仿宋_GB2312"/>
          <w:sz w:val="32"/>
        </w:rPr>
        <w:t>组织对2021年度预算项目支出全面开展绩效自评，共涉及预算支出项目</w:t>
      </w:r>
      <w:r>
        <w:rPr>
          <w:rFonts w:hint="eastAsia" w:ascii="仿宋_GB2312" w:eastAsia="仿宋_GB2312"/>
          <w:sz w:val="32"/>
          <w:lang w:val="en-US" w:eastAsia="zh-CN"/>
        </w:rPr>
        <w:t>21</w:t>
      </w:r>
      <w:r>
        <w:rPr>
          <w:rFonts w:hint="default" w:ascii="仿宋_GB2312" w:eastAsia="仿宋_GB2312"/>
          <w:sz w:val="32"/>
        </w:rPr>
        <w:t>个，涉及资金</w:t>
      </w:r>
      <w:r>
        <w:rPr>
          <w:rFonts w:hint="eastAsia" w:ascii="仿宋_GB2312" w:eastAsia="仿宋_GB2312"/>
          <w:sz w:val="32"/>
          <w:lang w:val="en-US" w:eastAsia="zh-CN"/>
        </w:rPr>
        <w:t>25853.97</w:t>
      </w:r>
      <w:r>
        <w:rPr>
          <w:rFonts w:hint="default" w:ascii="仿宋_GB2312" w:eastAsia="仿宋_GB2312"/>
          <w:sz w:val="32"/>
        </w:rPr>
        <w:t>万元，自评覆盖率（开展绩效自评的项目数/年初批复绩效目标的项目数）达到</w:t>
      </w:r>
      <w:r>
        <w:rPr>
          <w:rFonts w:hint="eastAsia" w:ascii="仿宋_GB2312" w:eastAsia="仿宋_GB2312"/>
          <w:sz w:val="32"/>
          <w:lang w:val="en-US" w:eastAsia="zh-CN"/>
        </w:rPr>
        <w:t>100</w:t>
      </w:r>
      <w:r>
        <w:rPr>
          <w:rFonts w:hint="default" w:ascii="仿宋_GB2312" w:eastAsia="仿宋_GB2312"/>
          <w:sz w:val="32"/>
        </w:rPr>
        <w:t>%，自评平均分（开展绩效自评的项目分数总和/开展绩效自评的项目数）</w:t>
      </w:r>
      <w:r>
        <w:rPr>
          <w:rFonts w:hint="eastAsia" w:ascii="仿宋_GB2312" w:eastAsia="仿宋_GB2312"/>
          <w:color w:val="auto"/>
          <w:sz w:val="32"/>
          <w:lang w:val="en-US" w:eastAsia="zh-CN"/>
        </w:rPr>
        <w:t>60</w:t>
      </w:r>
      <w:r>
        <w:rPr>
          <w:rFonts w:hint="default" w:ascii="仿宋_GB2312" w:eastAsia="仿宋_GB2312"/>
          <w:sz w:val="32"/>
        </w:rPr>
        <w:t>分。</w:t>
      </w:r>
    </w:p>
    <w:p>
      <w:pPr>
        <w:widowControl/>
        <w:spacing w:line="560" w:lineRule="exact"/>
        <w:ind w:firstLine="640" w:firstLineChars="200"/>
        <w:rPr>
          <w:rFonts w:hint="default" w:ascii="仿宋_GB2312" w:eastAsia="仿宋_GB2312"/>
          <w:sz w:val="32"/>
        </w:rPr>
      </w:pPr>
      <w:r>
        <w:rPr>
          <w:rFonts w:hint="default" w:ascii="仿宋_GB2312" w:eastAsia="仿宋_GB2312"/>
          <w:sz w:val="32"/>
        </w:rPr>
        <w:t>具体评价结果如下：</w:t>
      </w:r>
    </w:p>
    <w:p>
      <w:pPr>
        <w:widowControl/>
        <w:numPr>
          <w:ilvl w:val="0"/>
          <w:numId w:val="1"/>
        </w:numPr>
        <w:spacing w:line="560" w:lineRule="exact"/>
        <w:ind w:firstLine="640" w:firstLineChars="200"/>
        <w:rPr>
          <w:rFonts w:hint="default" w:ascii="仿宋_GB2312" w:eastAsia="仿宋_GB2312"/>
          <w:sz w:val="32"/>
        </w:rPr>
      </w:pPr>
      <w:r>
        <w:rPr>
          <w:rFonts w:hint="default" w:ascii="仿宋_GB2312" w:eastAsia="仿宋_GB2312"/>
          <w:sz w:val="32"/>
        </w:rPr>
        <w:t>“盛京大工匠评选经费”项目自评综述：根据年初设定的绩效目标，项目自评得分</w:t>
      </w:r>
      <w:r>
        <w:rPr>
          <w:rFonts w:hint="eastAsia" w:ascii="仿宋_GB2312" w:eastAsia="仿宋_GB2312"/>
          <w:sz w:val="32"/>
          <w:lang w:val="en-US" w:eastAsia="zh-CN"/>
        </w:rPr>
        <w:t>89</w:t>
      </w:r>
      <w:r>
        <w:rPr>
          <w:rFonts w:hint="default" w:ascii="仿宋_GB2312" w:eastAsia="仿宋_GB2312"/>
          <w:sz w:val="32"/>
        </w:rPr>
        <w:t>分。项目全年预算数为</w:t>
      </w:r>
      <w:r>
        <w:rPr>
          <w:rFonts w:hint="eastAsia" w:ascii="仿宋_GB2312" w:eastAsia="仿宋_GB2312"/>
          <w:sz w:val="32"/>
          <w:lang w:val="en-US" w:eastAsia="zh-CN"/>
        </w:rPr>
        <w:t>126</w:t>
      </w:r>
      <w:r>
        <w:rPr>
          <w:rFonts w:hint="default" w:ascii="仿宋_GB2312" w:eastAsia="仿宋_GB2312"/>
          <w:sz w:val="32"/>
        </w:rPr>
        <w:t>万元，执行数为</w:t>
      </w:r>
      <w:r>
        <w:rPr>
          <w:rFonts w:hint="eastAsia" w:ascii="仿宋_GB2312" w:eastAsia="仿宋_GB2312"/>
          <w:sz w:val="32"/>
          <w:lang w:val="en-US" w:eastAsia="zh-CN"/>
        </w:rPr>
        <w:t>100</w:t>
      </w:r>
      <w:r>
        <w:rPr>
          <w:rFonts w:hint="default" w:ascii="仿宋_GB2312" w:eastAsia="仿宋_GB2312"/>
          <w:sz w:val="32"/>
        </w:rPr>
        <w:t>万元，完成预算的</w:t>
      </w:r>
      <w:r>
        <w:rPr>
          <w:rFonts w:hint="eastAsia" w:ascii="仿宋_GB2312" w:eastAsia="仿宋_GB2312"/>
          <w:sz w:val="32"/>
          <w:lang w:val="en-US" w:eastAsia="zh-CN"/>
        </w:rPr>
        <w:t>79.37</w:t>
      </w:r>
      <w:r>
        <w:rPr>
          <w:rFonts w:hint="default" w:ascii="仿宋_GB2312" w:eastAsia="仿宋_GB2312"/>
          <w:sz w:val="32"/>
        </w:rPr>
        <w:t>%。项目绩效目标完成情况：一是人才补助资金按时发放率</w:t>
      </w:r>
      <w:r>
        <w:rPr>
          <w:rFonts w:hint="eastAsia" w:ascii="仿宋_GB2312" w:eastAsia="仿宋_GB2312"/>
          <w:sz w:val="32"/>
          <w:lang w:val="en-US" w:eastAsia="zh-CN"/>
        </w:rPr>
        <w:t>100%</w:t>
      </w:r>
      <w:r>
        <w:rPr>
          <w:rFonts w:hint="default" w:ascii="仿宋_GB2312" w:eastAsia="仿宋_GB2312"/>
          <w:sz w:val="32"/>
        </w:rPr>
        <w:t>;二是按照规定发放补助</w:t>
      </w:r>
      <w:r>
        <w:rPr>
          <w:rFonts w:hint="eastAsia" w:ascii="仿宋_GB2312" w:eastAsia="仿宋_GB2312"/>
          <w:sz w:val="32"/>
          <w:lang w:val="en-US" w:eastAsia="zh-CN"/>
        </w:rPr>
        <w:t>100万元</w:t>
      </w:r>
      <w:r>
        <w:rPr>
          <w:rFonts w:hint="default" w:ascii="仿宋_GB2312" w:eastAsia="仿宋_GB2312"/>
          <w:sz w:val="32"/>
        </w:rPr>
        <w:t>;三是不断推进专业技术人才队伍建设。发现的主要问题及原因：一是资助人才数</w:t>
      </w:r>
      <w:r>
        <w:rPr>
          <w:rFonts w:hint="default" w:ascii="Arial" w:hAnsi="Arial" w:eastAsia="仿宋_GB2312" w:cs="Arial"/>
          <w:sz w:val="32"/>
        </w:rPr>
        <w:t>≤</w:t>
      </w:r>
      <w:r>
        <w:rPr>
          <w:rFonts w:hint="eastAsia" w:ascii="仿宋_GB2312" w:eastAsia="仿宋_GB2312"/>
          <w:sz w:val="32"/>
          <w:lang w:val="en-US" w:eastAsia="zh-CN"/>
        </w:rPr>
        <w:t>25人</w:t>
      </w:r>
      <w:r>
        <w:rPr>
          <w:rFonts w:hint="default" w:ascii="仿宋_GB2312" w:eastAsia="仿宋_GB2312"/>
          <w:sz w:val="32"/>
        </w:rPr>
        <w:t>。下一步改进措施：一是落实盛京大工匠评选政策。</w:t>
      </w:r>
      <w:r>
        <w:rPr>
          <w:rFonts w:hint="eastAsia" w:ascii="仿宋_GB2312" w:eastAsia="仿宋_GB2312"/>
          <w:sz w:val="32"/>
          <w:lang w:eastAsia="zh-CN"/>
        </w:rPr>
        <w:t>二是</w:t>
      </w:r>
      <w:r>
        <w:rPr>
          <w:rFonts w:hint="default" w:ascii="仿宋_GB2312" w:eastAsia="仿宋_GB2312"/>
          <w:sz w:val="32"/>
        </w:rPr>
        <w:t>尽早的发出公告，扩大宣传力量，让更多的人了解到此次评选活动，争取2022年的时候完成指标值。</w:t>
      </w:r>
    </w:p>
    <w:p>
      <w:pPr>
        <w:widowControl/>
        <w:numPr>
          <w:ilvl w:val="0"/>
          <w:numId w:val="1"/>
        </w:numPr>
        <w:spacing w:line="560" w:lineRule="exact"/>
        <w:ind w:firstLine="640" w:firstLineChars="200"/>
        <w:rPr>
          <w:rFonts w:hint="default" w:ascii="仿宋_GB2312" w:eastAsia="仿宋_GB2312"/>
          <w:sz w:val="32"/>
        </w:rPr>
      </w:pPr>
      <w:r>
        <w:rPr>
          <w:rFonts w:hint="default" w:ascii="仿宋_GB2312" w:eastAsia="仿宋_GB2312"/>
          <w:sz w:val="32"/>
        </w:rPr>
        <w:t>“乡村振兴人才奖励”项目自评综述：根据年初设定的绩效目标，项目自评得分</w:t>
      </w:r>
      <w:r>
        <w:rPr>
          <w:rFonts w:hint="eastAsia" w:ascii="仿宋_GB2312" w:eastAsia="仿宋_GB2312"/>
          <w:sz w:val="32"/>
          <w:lang w:val="en-US" w:eastAsia="zh-CN"/>
        </w:rPr>
        <w:t>98</w:t>
      </w:r>
      <w:r>
        <w:rPr>
          <w:rFonts w:hint="default" w:ascii="仿宋_GB2312" w:eastAsia="仿宋_GB2312"/>
          <w:sz w:val="32"/>
        </w:rPr>
        <w:t>分。项目全年预算数为</w:t>
      </w:r>
      <w:r>
        <w:rPr>
          <w:rFonts w:hint="eastAsia" w:ascii="仿宋_GB2312" w:eastAsia="仿宋_GB2312"/>
          <w:sz w:val="32"/>
          <w:lang w:val="en-US" w:eastAsia="zh-CN"/>
        </w:rPr>
        <w:t>300</w:t>
      </w:r>
      <w:r>
        <w:rPr>
          <w:rFonts w:hint="default" w:ascii="仿宋_GB2312" w:eastAsia="仿宋_GB2312"/>
          <w:sz w:val="32"/>
        </w:rPr>
        <w:t>万元，执行数为</w:t>
      </w:r>
      <w:r>
        <w:rPr>
          <w:rFonts w:hint="eastAsia" w:ascii="仿宋_GB2312" w:eastAsia="仿宋_GB2312"/>
          <w:sz w:val="32"/>
          <w:lang w:val="en-US" w:eastAsia="zh-CN"/>
        </w:rPr>
        <w:t>272</w:t>
      </w:r>
      <w:r>
        <w:rPr>
          <w:rFonts w:hint="default" w:ascii="仿宋_GB2312" w:eastAsia="仿宋_GB2312"/>
          <w:sz w:val="32"/>
        </w:rPr>
        <w:t>万元，完成预算的</w:t>
      </w:r>
      <w:r>
        <w:rPr>
          <w:rFonts w:hint="eastAsia" w:ascii="仿宋_GB2312" w:eastAsia="仿宋_GB2312"/>
          <w:sz w:val="32"/>
          <w:lang w:val="en-US" w:eastAsia="zh-CN"/>
        </w:rPr>
        <w:t>90.67</w:t>
      </w:r>
      <w:r>
        <w:rPr>
          <w:rFonts w:hint="default" w:ascii="仿宋_GB2312" w:eastAsia="仿宋_GB2312"/>
          <w:sz w:val="32"/>
        </w:rPr>
        <w:t>%。项目绩效目标完成情况：一是人才补助资金按时发放率</w:t>
      </w:r>
      <w:r>
        <w:rPr>
          <w:rFonts w:hint="eastAsia" w:ascii="仿宋_GB2312" w:eastAsia="仿宋_GB2312"/>
          <w:sz w:val="32"/>
          <w:lang w:val="en-US" w:eastAsia="zh-CN"/>
        </w:rPr>
        <w:t>100%</w:t>
      </w:r>
      <w:r>
        <w:rPr>
          <w:rFonts w:hint="default" w:ascii="仿宋_GB2312" w:eastAsia="仿宋_GB2312"/>
          <w:sz w:val="32"/>
        </w:rPr>
        <w:t>;二是执行相关文件要求;三是促进经济发展</w:t>
      </w:r>
      <w:r>
        <w:rPr>
          <w:rFonts w:hint="eastAsia" w:ascii="仿宋_GB2312" w:eastAsia="仿宋_GB2312"/>
          <w:sz w:val="32"/>
          <w:lang w:eastAsia="zh-CN"/>
        </w:rPr>
        <w:t>，实现乡村振兴</w:t>
      </w:r>
      <w:r>
        <w:rPr>
          <w:rFonts w:hint="default" w:ascii="仿宋_GB2312" w:eastAsia="仿宋_GB2312"/>
          <w:sz w:val="32"/>
        </w:rPr>
        <w:t>。发现的主要问题及原因：一是资助人才数</w:t>
      </w:r>
      <w:r>
        <w:rPr>
          <w:rFonts w:hint="default" w:ascii="Arial" w:hAnsi="Arial" w:eastAsia="仿宋_GB2312" w:cs="Arial"/>
          <w:sz w:val="32"/>
        </w:rPr>
        <w:t>≤</w:t>
      </w:r>
      <w:r>
        <w:rPr>
          <w:rFonts w:hint="eastAsia" w:ascii="仿宋_GB2312" w:eastAsia="仿宋_GB2312"/>
          <w:sz w:val="32"/>
          <w:lang w:val="en-US" w:eastAsia="zh-CN"/>
        </w:rPr>
        <w:t>280人，</w:t>
      </w:r>
      <w:r>
        <w:rPr>
          <w:rFonts w:hint="default" w:ascii="仿宋_GB2312" w:eastAsia="仿宋_GB2312"/>
          <w:sz w:val="32"/>
        </w:rPr>
        <w:t>其中22人，未通过考评。下一步改进措施：一</w:t>
      </w:r>
      <w:r>
        <w:rPr>
          <w:rFonts w:hint="eastAsia" w:ascii="仿宋_GB2312" w:eastAsia="仿宋_GB2312"/>
          <w:sz w:val="32"/>
          <w:lang w:eastAsia="zh-CN"/>
        </w:rPr>
        <w:t>是根据政策适时进行调整，</w:t>
      </w:r>
      <w:r>
        <w:rPr>
          <w:rFonts w:hint="eastAsia" w:ascii="仿宋_GB2312" w:eastAsia="仿宋_GB2312"/>
          <w:sz w:val="32"/>
          <w:lang w:val="en-US" w:eastAsia="zh-CN"/>
        </w:rPr>
        <w:t>更加细化完善考评细则</w:t>
      </w:r>
      <w:r>
        <w:rPr>
          <w:rFonts w:hint="default" w:ascii="仿宋_GB2312" w:eastAsia="仿宋_GB2312"/>
          <w:sz w:val="32"/>
        </w:rPr>
        <w:t>。</w:t>
      </w:r>
      <w:r>
        <w:rPr>
          <w:rFonts w:hint="eastAsia" w:ascii="仿宋_GB2312" w:eastAsia="仿宋_GB2312"/>
          <w:sz w:val="32"/>
          <w:lang w:eastAsia="zh-CN"/>
        </w:rPr>
        <w:t>二是</w:t>
      </w:r>
      <w:r>
        <w:rPr>
          <w:rFonts w:hint="default" w:ascii="仿宋_GB2312" w:eastAsia="仿宋_GB2312"/>
          <w:sz w:val="32"/>
        </w:rPr>
        <w:t>尽早的发出公告，扩大宣传力量，让更多的人了解到此次</w:t>
      </w:r>
      <w:r>
        <w:rPr>
          <w:rFonts w:hint="eastAsia" w:ascii="仿宋_GB2312" w:eastAsia="仿宋_GB2312"/>
          <w:sz w:val="32"/>
          <w:lang w:eastAsia="zh-CN"/>
        </w:rPr>
        <w:t>项目。</w:t>
      </w:r>
    </w:p>
    <w:p>
      <w:pPr>
        <w:widowControl/>
        <w:numPr>
          <w:ilvl w:val="0"/>
          <w:numId w:val="1"/>
        </w:numPr>
        <w:spacing w:line="560" w:lineRule="exact"/>
        <w:ind w:firstLine="640" w:firstLineChars="200"/>
        <w:rPr>
          <w:rFonts w:hint="default" w:ascii="仿宋_GB2312" w:eastAsia="仿宋_GB2312"/>
          <w:sz w:val="32"/>
        </w:rPr>
      </w:pPr>
      <w:r>
        <w:rPr>
          <w:rFonts w:hint="default" w:ascii="仿宋_GB2312" w:eastAsia="仿宋_GB2312"/>
          <w:sz w:val="32"/>
        </w:rPr>
        <w:t>“高级技师”购房补贴项目自评综述：根据年初设定的绩效目标，项目自评得分</w:t>
      </w:r>
      <w:r>
        <w:rPr>
          <w:rFonts w:hint="eastAsia" w:ascii="仿宋_GB2312" w:eastAsia="仿宋_GB2312"/>
          <w:sz w:val="32"/>
          <w:lang w:val="en-US" w:eastAsia="zh-CN"/>
        </w:rPr>
        <w:t>12.4</w:t>
      </w:r>
      <w:r>
        <w:rPr>
          <w:rFonts w:hint="default" w:ascii="仿宋_GB2312" w:eastAsia="仿宋_GB2312"/>
          <w:sz w:val="32"/>
        </w:rPr>
        <w:t>分。项目全年预算数为</w:t>
      </w:r>
      <w:r>
        <w:rPr>
          <w:rFonts w:hint="eastAsia" w:ascii="仿宋_GB2312" w:eastAsia="仿宋_GB2312"/>
          <w:sz w:val="32"/>
          <w:lang w:val="en-US" w:eastAsia="zh-CN"/>
        </w:rPr>
        <w:t>50</w:t>
      </w:r>
      <w:r>
        <w:rPr>
          <w:rFonts w:hint="default" w:ascii="仿宋_GB2312" w:eastAsia="仿宋_GB2312"/>
          <w:sz w:val="32"/>
        </w:rPr>
        <w:t>万元，执行数为</w:t>
      </w:r>
      <w:r>
        <w:rPr>
          <w:rFonts w:hint="eastAsia" w:ascii="仿宋_GB2312" w:eastAsia="仿宋_GB2312"/>
          <w:sz w:val="32"/>
          <w:lang w:val="en-US" w:eastAsia="zh-CN"/>
        </w:rPr>
        <w:t>0</w:t>
      </w:r>
      <w:r>
        <w:rPr>
          <w:rFonts w:hint="default" w:ascii="仿宋_GB2312" w:eastAsia="仿宋_GB2312"/>
          <w:sz w:val="32"/>
        </w:rPr>
        <w:t>万元，完成预算的</w:t>
      </w:r>
      <w:r>
        <w:rPr>
          <w:rFonts w:hint="eastAsia" w:ascii="仿宋_GB2312" w:eastAsia="仿宋_GB2312"/>
          <w:sz w:val="32"/>
          <w:lang w:val="en-US" w:eastAsia="zh-CN"/>
        </w:rPr>
        <w:t>0</w:t>
      </w:r>
      <w:r>
        <w:rPr>
          <w:rFonts w:hint="default" w:ascii="仿宋_GB2312" w:eastAsia="仿宋_GB2312"/>
          <w:sz w:val="32"/>
        </w:rPr>
        <w:t>%。发现的主要问题及原因</w:t>
      </w:r>
      <w:r>
        <w:rPr>
          <w:rFonts w:hint="eastAsia" w:ascii="仿宋_GB2312" w:eastAsia="仿宋_GB2312"/>
          <w:sz w:val="32"/>
          <w:lang w:eastAsia="zh-CN"/>
        </w:rPr>
        <w:t>：</w:t>
      </w:r>
      <w:r>
        <w:rPr>
          <w:rFonts w:hint="default" w:ascii="仿宋_GB2312" w:eastAsia="仿宋_GB2312"/>
          <w:sz w:val="32"/>
        </w:rPr>
        <w:t>此项目高级技师购房补贴的面向人群较小，符合条件的人数少，导致高级技师购房补贴的项目取消。下一步改进措施：在以后的预算之中希望对高级技师的购房补贴文件进行修改，使其项目受众人群增加，报名人数增多</w:t>
      </w:r>
      <w:r>
        <w:rPr>
          <w:rFonts w:hint="eastAsia" w:ascii="仿宋_GB2312" w:eastAsia="仿宋_GB2312"/>
          <w:sz w:val="32"/>
          <w:lang w:eastAsia="zh-CN"/>
        </w:rPr>
        <w:t>。</w:t>
      </w:r>
    </w:p>
    <w:p>
      <w:pPr>
        <w:widowControl/>
        <w:numPr>
          <w:ilvl w:val="0"/>
          <w:numId w:val="1"/>
        </w:numPr>
        <w:spacing w:line="560" w:lineRule="exact"/>
        <w:ind w:firstLine="640" w:firstLineChars="200"/>
        <w:rPr>
          <w:rFonts w:hint="eastAsia" w:ascii="仿宋_GB2312" w:eastAsia="仿宋_GB2312"/>
          <w:sz w:val="32"/>
          <w:lang w:eastAsia="zh-CN"/>
        </w:rPr>
      </w:pPr>
      <w:r>
        <w:rPr>
          <w:rFonts w:hint="default" w:ascii="仿宋_GB2312" w:eastAsia="仿宋_GB2312"/>
          <w:sz w:val="32"/>
        </w:rPr>
        <w:t>高层次人才创新创业资助项目自评综述：根据年初设定的绩效目标，项目自评得分</w:t>
      </w:r>
      <w:r>
        <w:rPr>
          <w:rFonts w:hint="eastAsia" w:ascii="仿宋_GB2312" w:eastAsia="仿宋_GB2312"/>
          <w:sz w:val="32"/>
          <w:lang w:val="en-US" w:eastAsia="zh-CN"/>
        </w:rPr>
        <w:t>59</w:t>
      </w:r>
      <w:r>
        <w:rPr>
          <w:rFonts w:hint="default" w:ascii="仿宋_GB2312" w:eastAsia="仿宋_GB2312"/>
          <w:sz w:val="32"/>
        </w:rPr>
        <w:t>分。项目全年预算数为</w:t>
      </w:r>
      <w:r>
        <w:rPr>
          <w:rFonts w:hint="eastAsia" w:ascii="仿宋_GB2312" w:eastAsia="仿宋_GB2312"/>
          <w:sz w:val="32"/>
          <w:lang w:val="en-US" w:eastAsia="zh-CN"/>
        </w:rPr>
        <w:t>4600</w:t>
      </w:r>
      <w:r>
        <w:rPr>
          <w:rFonts w:hint="default" w:ascii="仿宋_GB2312" w:eastAsia="仿宋_GB2312"/>
          <w:sz w:val="32"/>
        </w:rPr>
        <w:t>万元，执行数为</w:t>
      </w:r>
      <w:r>
        <w:rPr>
          <w:rFonts w:hint="eastAsia" w:ascii="仿宋_GB2312" w:eastAsia="仿宋_GB2312"/>
          <w:sz w:val="32"/>
          <w:lang w:val="en-US" w:eastAsia="zh-CN"/>
        </w:rPr>
        <w:t>2150</w:t>
      </w:r>
      <w:r>
        <w:rPr>
          <w:rFonts w:hint="default" w:ascii="仿宋_GB2312" w:eastAsia="仿宋_GB2312"/>
          <w:sz w:val="32"/>
        </w:rPr>
        <w:t>万元，完成预算的</w:t>
      </w:r>
      <w:r>
        <w:rPr>
          <w:rFonts w:hint="eastAsia" w:ascii="仿宋_GB2312" w:eastAsia="仿宋_GB2312"/>
          <w:sz w:val="32"/>
          <w:lang w:val="en-US" w:eastAsia="zh-CN"/>
        </w:rPr>
        <w:t>46.74</w:t>
      </w:r>
      <w:r>
        <w:rPr>
          <w:rFonts w:hint="default" w:ascii="仿宋_GB2312" w:eastAsia="仿宋_GB2312"/>
          <w:sz w:val="32"/>
        </w:rPr>
        <w:t>%。项目绩效目标完成情况：一是完成高层次人才团队创新创业年度立项评审与资助工作;二是完成已立项资助的高层次人才团队中期评估审核验收工作。发现的主要问题及原因</w:t>
      </w:r>
      <w:r>
        <w:rPr>
          <w:rFonts w:hint="eastAsia" w:ascii="仿宋_GB2312" w:eastAsia="仿宋_GB2312"/>
          <w:sz w:val="32"/>
          <w:lang w:eastAsia="zh-CN"/>
        </w:rPr>
        <w:t>：</w:t>
      </w:r>
      <w:r>
        <w:rPr>
          <w:rFonts w:hint="default" w:ascii="仿宋_GB2312" w:eastAsia="仿宋_GB2312"/>
          <w:sz w:val="32"/>
        </w:rPr>
        <w:t>由于时间紧迫，面向的群众少，符合条件的人群少，在2021年年底确定评选出盛京大工匠十名。下一步改进措施：尽早的发出公告，扩大宣传力量，让更多的人了解到此次评选活动，争取2022年的时候完成指标值</w:t>
      </w:r>
      <w:r>
        <w:rPr>
          <w:rFonts w:hint="eastAsia" w:ascii="仿宋_GB2312" w:eastAsia="仿宋_GB2312"/>
          <w:sz w:val="32"/>
          <w:lang w:eastAsia="zh-CN"/>
        </w:rPr>
        <w:t>。</w:t>
      </w:r>
    </w:p>
    <w:p>
      <w:pPr>
        <w:widowControl/>
        <w:numPr>
          <w:ilvl w:val="0"/>
          <w:numId w:val="1"/>
        </w:numPr>
        <w:spacing w:line="560" w:lineRule="exact"/>
        <w:ind w:firstLine="640" w:firstLineChars="200"/>
        <w:rPr>
          <w:rFonts w:hint="eastAsia" w:ascii="仿宋_GB2312" w:eastAsia="仿宋_GB2312"/>
          <w:sz w:val="32"/>
          <w:lang w:eastAsia="zh-CN"/>
        </w:rPr>
      </w:pPr>
      <w:r>
        <w:rPr>
          <w:rFonts w:hint="default" w:ascii="仿宋_GB2312" w:eastAsia="仿宋_GB2312"/>
          <w:sz w:val="32"/>
        </w:rPr>
        <w:t>“双元制”校企合作补贴项目自评综述：根据年初设定的绩效目标，项目自评得分</w:t>
      </w:r>
      <w:r>
        <w:rPr>
          <w:rFonts w:hint="eastAsia" w:ascii="仿宋_GB2312" w:eastAsia="仿宋_GB2312"/>
          <w:sz w:val="32"/>
          <w:lang w:val="en-US" w:eastAsia="zh-CN"/>
        </w:rPr>
        <w:t>59</w:t>
      </w:r>
      <w:r>
        <w:rPr>
          <w:rFonts w:hint="default" w:ascii="仿宋_GB2312" w:eastAsia="仿宋_GB2312"/>
          <w:sz w:val="32"/>
        </w:rPr>
        <w:t>分。项目全年预算数为</w:t>
      </w:r>
      <w:r>
        <w:rPr>
          <w:rFonts w:hint="eastAsia" w:ascii="仿宋_GB2312" w:eastAsia="仿宋_GB2312"/>
          <w:sz w:val="32"/>
          <w:lang w:val="en-US" w:eastAsia="zh-CN"/>
        </w:rPr>
        <w:t>150</w:t>
      </w:r>
      <w:r>
        <w:rPr>
          <w:rFonts w:hint="default" w:ascii="仿宋_GB2312" w:eastAsia="仿宋_GB2312"/>
          <w:sz w:val="32"/>
        </w:rPr>
        <w:t>万元，执行数为</w:t>
      </w:r>
      <w:r>
        <w:rPr>
          <w:rFonts w:hint="eastAsia" w:ascii="仿宋_GB2312" w:eastAsia="仿宋_GB2312"/>
          <w:sz w:val="32"/>
          <w:lang w:val="en-US" w:eastAsia="zh-CN"/>
        </w:rPr>
        <w:t>0</w:t>
      </w:r>
      <w:r>
        <w:rPr>
          <w:rFonts w:hint="default" w:ascii="仿宋_GB2312" w:eastAsia="仿宋_GB2312"/>
          <w:sz w:val="32"/>
        </w:rPr>
        <w:t>万元，完成预算的</w:t>
      </w:r>
      <w:r>
        <w:rPr>
          <w:rFonts w:hint="eastAsia" w:ascii="仿宋_GB2312" w:eastAsia="仿宋_GB2312"/>
          <w:sz w:val="32"/>
          <w:lang w:val="en-US" w:eastAsia="zh-CN"/>
        </w:rPr>
        <w:t>0</w:t>
      </w:r>
      <w:r>
        <w:rPr>
          <w:rFonts w:hint="default" w:ascii="仿宋_GB2312" w:eastAsia="仿宋_GB2312"/>
          <w:sz w:val="32"/>
        </w:rPr>
        <w:t>%。项目绩效目标完成情况：一是落实双元制校企合作补贴政策。二是鼓励企业吸纳毕业生促进就业</w:t>
      </w:r>
      <w:r>
        <w:rPr>
          <w:rFonts w:hint="eastAsia" w:ascii="仿宋_GB2312" w:eastAsia="仿宋_GB2312"/>
          <w:sz w:val="32"/>
          <w:lang w:eastAsia="zh-CN"/>
        </w:rPr>
        <w:t>。</w:t>
      </w:r>
    </w:p>
    <w:p>
      <w:pPr>
        <w:widowControl/>
        <w:numPr>
          <w:ilvl w:val="0"/>
          <w:numId w:val="1"/>
        </w:numPr>
        <w:spacing w:line="560" w:lineRule="exact"/>
        <w:ind w:firstLine="640" w:firstLineChars="200"/>
        <w:rPr>
          <w:rFonts w:hint="default" w:ascii="仿宋_GB2312" w:eastAsia="仿宋_GB2312"/>
          <w:sz w:val="32"/>
        </w:rPr>
      </w:pPr>
      <w:r>
        <w:rPr>
          <w:rFonts w:hint="default" w:ascii="仿宋_GB2312" w:eastAsia="仿宋_GB2312"/>
          <w:sz w:val="32"/>
        </w:rPr>
        <w:t>高层次人才税收补贴项目自评综述：根据年初设定的绩效目标，项目自评得分</w:t>
      </w:r>
      <w:r>
        <w:rPr>
          <w:rFonts w:hint="eastAsia" w:ascii="仿宋_GB2312" w:eastAsia="仿宋_GB2312"/>
          <w:sz w:val="32"/>
          <w:lang w:val="en-US" w:eastAsia="zh-CN"/>
        </w:rPr>
        <w:t>24.8</w:t>
      </w:r>
      <w:r>
        <w:rPr>
          <w:rFonts w:hint="default" w:ascii="仿宋_GB2312" w:eastAsia="仿宋_GB2312"/>
          <w:sz w:val="32"/>
        </w:rPr>
        <w:t>分。项目全年预算数为</w:t>
      </w:r>
      <w:r>
        <w:rPr>
          <w:rFonts w:hint="eastAsia" w:ascii="仿宋_GB2312" w:eastAsia="仿宋_GB2312"/>
          <w:sz w:val="32"/>
          <w:lang w:val="en-US" w:eastAsia="zh-CN"/>
        </w:rPr>
        <w:t>0</w:t>
      </w:r>
      <w:r>
        <w:rPr>
          <w:rFonts w:hint="default" w:ascii="仿宋_GB2312" w:eastAsia="仿宋_GB2312"/>
          <w:sz w:val="32"/>
        </w:rPr>
        <w:t>万元，执行数为</w:t>
      </w:r>
      <w:r>
        <w:rPr>
          <w:rFonts w:hint="eastAsia" w:ascii="仿宋_GB2312" w:eastAsia="仿宋_GB2312"/>
          <w:sz w:val="32"/>
          <w:lang w:val="en-US" w:eastAsia="zh-CN"/>
        </w:rPr>
        <w:t>0</w:t>
      </w:r>
      <w:r>
        <w:rPr>
          <w:rFonts w:hint="default" w:ascii="仿宋_GB2312" w:eastAsia="仿宋_GB2312"/>
          <w:sz w:val="32"/>
        </w:rPr>
        <w:t>万元，完成预算的</w:t>
      </w:r>
      <w:r>
        <w:rPr>
          <w:rFonts w:hint="eastAsia" w:ascii="仿宋_GB2312" w:eastAsia="仿宋_GB2312"/>
          <w:sz w:val="32"/>
          <w:lang w:val="en-US" w:eastAsia="zh-CN"/>
        </w:rPr>
        <w:t>0</w:t>
      </w:r>
      <w:r>
        <w:rPr>
          <w:rFonts w:hint="default" w:ascii="仿宋_GB2312" w:eastAsia="仿宋_GB2312"/>
          <w:sz w:val="32"/>
        </w:rPr>
        <w:t>%。发现的主要问题及原因：由于更新人才政策3.0的具体细则和政策，导致未按年初计划年底前完成税收补贴申报人员审核及评审会后进行资金拨付。下一步改进措施：根据适时的政策具体情况，对此项政策要不断完善制度设计，进行政策调整，争取明年按照计划完成。</w:t>
      </w:r>
    </w:p>
    <w:p>
      <w:pPr>
        <w:widowControl/>
        <w:numPr>
          <w:ilvl w:val="0"/>
          <w:numId w:val="1"/>
        </w:numPr>
        <w:spacing w:line="560" w:lineRule="exact"/>
        <w:ind w:firstLine="640" w:firstLineChars="200"/>
        <w:rPr>
          <w:rFonts w:hint="default" w:ascii="仿宋_GB2312" w:eastAsia="仿宋_GB2312"/>
          <w:sz w:val="32"/>
        </w:rPr>
      </w:pPr>
      <w:r>
        <w:rPr>
          <w:rFonts w:hint="default" w:ascii="仿宋_GB2312" w:eastAsia="仿宋_GB2312"/>
          <w:sz w:val="32"/>
        </w:rPr>
        <w:t>高技能人才培育基地建设经费项目自评综述：根据年初设定的绩效目标，项目自评得分</w:t>
      </w:r>
      <w:r>
        <w:rPr>
          <w:rFonts w:hint="eastAsia" w:ascii="仿宋_GB2312" w:eastAsia="仿宋_GB2312"/>
          <w:sz w:val="32"/>
          <w:lang w:val="en-US" w:eastAsia="zh-CN"/>
        </w:rPr>
        <w:t>59</w:t>
      </w:r>
      <w:r>
        <w:rPr>
          <w:rFonts w:hint="default" w:ascii="仿宋_GB2312" w:eastAsia="仿宋_GB2312"/>
          <w:sz w:val="32"/>
        </w:rPr>
        <w:t>分。项目全年预算数为</w:t>
      </w:r>
      <w:r>
        <w:rPr>
          <w:rFonts w:hint="eastAsia" w:ascii="仿宋_GB2312" w:eastAsia="仿宋_GB2312"/>
          <w:sz w:val="32"/>
          <w:lang w:val="en-US" w:eastAsia="zh-CN"/>
        </w:rPr>
        <w:t>251</w:t>
      </w:r>
      <w:r>
        <w:rPr>
          <w:rFonts w:hint="default" w:ascii="仿宋_GB2312" w:eastAsia="仿宋_GB2312"/>
          <w:sz w:val="32"/>
        </w:rPr>
        <w:t>万元，执行数为</w:t>
      </w:r>
      <w:r>
        <w:rPr>
          <w:rFonts w:hint="eastAsia" w:ascii="仿宋_GB2312" w:eastAsia="仿宋_GB2312"/>
          <w:sz w:val="32"/>
          <w:lang w:val="en-US" w:eastAsia="zh-CN"/>
        </w:rPr>
        <w:t>50</w:t>
      </w:r>
      <w:r>
        <w:rPr>
          <w:rFonts w:hint="default" w:ascii="仿宋_GB2312" w:eastAsia="仿宋_GB2312"/>
          <w:sz w:val="32"/>
        </w:rPr>
        <w:t>万元，完成预算的</w:t>
      </w:r>
      <w:r>
        <w:rPr>
          <w:rFonts w:hint="eastAsia" w:ascii="仿宋_GB2312" w:eastAsia="仿宋_GB2312"/>
          <w:sz w:val="32"/>
          <w:lang w:val="en-US" w:eastAsia="zh-CN"/>
        </w:rPr>
        <w:t>19.92</w:t>
      </w:r>
      <w:r>
        <w:rPr>
          <w:rFonts w:hint="default" w:ascii="仿宋_GB2312" w:eastAsia="仿宋_GB2312"/>
          <w:sz w:val="32"/>
        </w:rPr>
        <w:t>%。项目绩效目标完成情况：一是落实高技能人才培育基地建设政策;二是构建完善的人才培训体系。发现的主要问题及原因：由于时间紧迫，面向的群众少，符合条件的人群少，在2021年年底确定评选出三个符合条件基地</w:t>
      </w:r>
      <w:r>
        <w:rPr>
          <w:rFonts w:hint="eastAsia" w:ascii="仿宋_GB2312" w:eastAsia="仿宋_GB2312"/>
          <w:sz w:val="32"/>
          <w:lang w:eastAsia="zh-CN"/>
        </w:rPr>
        <w:t>。</w:t>
      </w:r>
      <w:r>
        <w:rPr>
          <w:rFonts w:hint="default" w:ascii="仿宋_GB2312" w:eastAsia="仿宋_GB2312"/>
          <w:sz w:val="32"/>
        </w:rPr>
        <w:t>下一步改进措施：尽早的发出公告，扩大宣传力量，让更多的人了解到此次评选活动，争取2022年的时候完成指标值</w:t>
      </w:r>
      <w:r>
        <w:rPr>
          <w:rFonts w:hint="eastAsia" w:ascii="仿宋_GB2312" w:eastAsia="仿宋_GB2312"/>
          <w:sz w:val="32"/>
          <w:lang w:eastAsia="zh-CN"/>
        </w:rPr>
        <w:t>。</w:t>
      </w:r>
    </w:p>
    <w:p>
      <w:pPr>
        <w:widowControl/>
        <w:numPr>
          <w:ilvl w:val="0"/>
          <w:numId w:val="1"/>
        </w:numPr>
        <w:spacing w:line="560" w:lineRule="exact"/>
        <w:ind w:firstLine="640" w:firstLineChars="200"/>
        <w:rPr>
          <w:rFonts w:hint="default" w:ascii="仿宋_GB2312" w:eastAsia="仿宋_GB2312"/>
          <w:sz w:val="32"/>
        </w:rPr>
      </w:pPr>
      <w:r>
        <w:rPr>
          <w:rFonts w:hint="eastAsia" w:ascii="仿宋_GB2312" w:eastAsia="仿宋_GB2312"/>
          <w:sz w:val="32"/>
          <w:lang w:eastAsia="zh-CN"/>
        </w:rPr>
        <w:t>“</w:t>
      </w:r>
      <w:r>
        <w:rPr>
          <w:rFonts w:hint="default" w:ascii="仿宋_GB2312" w:eastAsia="仿宋_GB2312"/>
          <w:sz w:val="32"/>
        </w:rPr>
        <w:t>候鸟型</w:t>
      </w:r>
      <w:r>
        <w:rPr>
          <w:rFonts w:hint="eastAsia" w:ascii="仿宋_GB2312" w:eastAsia="仿宋_GB2312"/>
          <w:sz w:val="32"/>
          <w:lang w:eastAsia="zh-CN"/>
        </w:rPr>
        <w:t>”</w:t>
      </w:r>
      <w:r>
        <w:rPr>
          <w:rFonts w:hint="default" w:ascii="仿宋_GB2312" w:eastAsia="仿宋_GB2312"/>
          <w:sz w:val="32"/>
        </w:rPr>
        <w:t>人才工作站奖励项目自评综述：根据年初设定的绩效目标，项目自评得分</w:t>
      </w:r>
      <w:r>
        <w:rPr>
          <w:rFonts w:hint="eastAsia" w:ascii="仿宋_GB2312" w:eastAsia="仿宋_GB2312"/>
          <w:sz w:val="32"/>
          <w:lang w:val="en-US" w:eastAsia="zh-CN"/>
        </w:rPr>
        <w:t>59</w:t>
      </w:r>
      <w:r>
        <w:rPr>
          <w:rFonts w:hint="default" w:ascii="仿宋_GB2312" w:eastAsia="仿宋_GB2312"/>
          <w:sz w:val="32"/>
        </w:rPr>
        <w:t>分。项目全年预算数为</w:t>
      </w:r>
      <w:r>
        <w:rPr>
          <w:rFonts w:hint="eastAsia" w:ascii="仿宋_GB2312" w:eastAsia="仿宋_GB2312"/>
          <w:sz w:val="32"/>
          <w:lang w:val="en-US" w:eastAsia="zh-CN"/>
        </w:rPr>
        <w:t>0</w:t>
      </w:r>
      <w:r>
        <w:rPr>
          <w:rFonts w:hint="default" w:ascii="仿宋_GB2312" w:eastAsia="仿宋_GB2312"/>
          <w:sz w:val="32"/>
        </w:rPr>
        <w:t>万元，执行数为</w:t>
      </w:r>
      <w:r>
        <w:rPr>
          <w:rFonts w:hint="eastAsia" w:ascii="仿宋_GB2312" w:eastAsia="仿宋_GB2312"/>
          <w:sz w:val="32"/>
          <w:lang w:val="en-US" w:eastAsia="zh-CN"/>
        </w:rPr>
        <w:t>0</w:t>
      </w:r>
      <w:r>
        <w:rPr>
          <w:rFonts w:hint="default" w:ascii="仿宋_GB2312" w:eastAsia="仿宋_GB2312"/>
          <w:sz w:val="32"/>
        </w:rPr>
        <w:t>万元，完成预算的</w:t>
      </w:r>
      <w:r>
        <w:rPr>
          <w:rFonts w:hint="eastAsia" w:ascii="仿宋_GB2312" w:eastAsia="仿宋_GB2312"/>
          <w:sz w:val="32"/>
          <w:lang w:val="en-US" w:eastAsia="zh-CN"/>
        </w:rPr>
        <w:t>0</w:t>
      </w:r>
      <w:r>
        <w:rPr>
          <w:rFonts w:hint="default" w:ascii="仿宋_GB2312" w:eastAsia="仿宋_GB2312"/>
          <w:sz w:val="32"/>
        </w:rPr>
        <w:t>%。项目绩效目标完成情况：一是</w:t>
      </w:r>
      <w:r>
        <w:rPr>
          <w:rFonts w:hint="eastAsia" w:ascii="仿宋_GB2312" w:eastAsia="仿宋_GB2312"/>
          <w:sz w:val="32"/>
          <w:lang w:val="en-US" w:eastAsia="zh-CN"/>
        </w:rPr>
        <w:t>2021</w:t>
      </w:r>
      <w:r>
        <w:rPr>
          <w:rFonts w:hint="default" w:ascii="仿宋_GB2312" w:eastAsia="仿宋_GB2312"/>
          <w:sz w:val="32"/>
        </w:rPr>
        <w:t>年底完成“候鸟型”人才工作站考核工作</w:t>
      </w:r>
      <w:r>
        <w:rPr>
          <w:rFonts w:hint="eastAsia" w:ascii="仿宋_GB2312" w:eastAsia="仿宋_GB2312"/>
          <w:sz w:val="32"/>
          <w:lang w:val="en-US" w:eastAsia="zh-CN"/>
        </w:rPr>
        <w:t>;</w:t>
      </w:r>
      <w:r>
        <w:rPr>
          <w:rFonts w:hint="default" w:ascii="仿宋_GB2312" w:eastAsia="仿宋_GB2312"/>
          <w:sz w:val="32"/>
        </w:rPr>
        <w:t>二是对考核合格单位进行评估奖励。</w:t>
      </w:r>
    </w:p>
    <w:p>
      <w:pPr>
        <w:widowControl/>
        <w:numPr>
          <w:ilvl w:val="0"/>
          <w:numId w:val="1"/>
        </w:numPr>
        <w:spacing w:line="560" w:lineRule="exact"/>
        <w:ind w:firstLine="640" w:firstLineChars="200"/>
        <w:rPr>
          <w:rFonts w:hint="default" w:ascii="仿宋_GB2312" w:eastAsia="仿宋_GB2312"/>
          <w:sz w:val="32"/>
        </w:rPr>
      </w:pPr>
      <w:r>
        <w:rPr>
          <w:rFonts w:hint="default" w:ascii="仿宋_GB2312" w:eastAsia="仿宋_GB2312"/>
          <w:sz w:val="32"/>
        </w:rPr>
        <w:t>技能人才选拔激励奖励资金项目自评综述：根据年初设定的绩效目标，项目自评得分</w:t>
      </w:r>
      <w:r>
        <w:rPr>
          <w:rFonts w:hint="eastAsia" w:ascii="仿宋_GB2312" w:eastAsia="仿宋_GB2312"/>
          <w:sz w:val="32"/>
          <w:lang w:val="en-US" w:eastAsia="zh-CN"/>
        </w:rPr>
        <w:t>25.2</w:t>
      </w:r>
      <w:r>
        <w:rPr>
          <w:rFonts w:hint="default" w:ascii="仿宋_GB2312" w:eastAsia="仿宋_GB2312"/>
          <w:sz w:val="32"/>
        </w:rPr>
        <w:t>分。项目全年预算数为</w:t>
      </w:r>
      <w:r>
        <w:rPr>
          <w:rFonts w:hint="eastAsia" w:ascii="仿宋_GB2312" w:eastAsia="仿宋_GB2312"/>
          <w:sz w:val="32"/>
          <w:lang w:val="en-US" w:eastAsia="zh-CN"/>
        </w:rPr>
        <w:t>40</w:t>
      </w:r>
      <w:r>
        <w:rPr>
          <w:rFonts w:hint="default" w:ascii="仿宋_GB2312" w:eastAsia="仿宋_GB2312"/>
          <w:sz w:val="32"/>
        </w:rPr>
        <w:t>万元，执行数为</w:t>
      </w:r>
      <w:r>
        <w:rPr>
          <w:rFonts w:hint="eastAsia" w:ascii="仿宋_GB2312" w:eastAsia="仿宋_GB2312"/>
          <w:sz w:val="32"/>
          <w:lang w:val="en-US" w:eastAsia="zh-CN"/>
        </w:rPr>
        <w:t>0</w:t>
      </w:r>
      <w:r>
        <w:rPr>
          <w:rFonts w:hint="default" w:ascii="仿宋_GB2312" w:eastAsia="仿宋_GB2312"/>
          <w:sz w:val="32"/>
        </w:rPr>
        <w:t>万元，完成预算的</w:t>
      </w:r>
      <w:r>
        <w:rPr>
          <w:rFonts w:hint="eastAsia" w:ascii="仿宋_GB2312" w:eastAsia="仿宋_GB2312"/>
          <w:sz w:val="32"/>
          <w:lang w:val="en-US" w:eastAsia="zh-CN"/>
        </w:rPr>
        <w:t>0</w:t>
      </w:r>
      <w:r>
        <w:rPr>
          <w:rFonts w:hint="default" w:ascii="仿宋_GB2312" w:eastAsia="仿宋_GB2312"/>
          <w:sz w:val="32"/>
        </w:rPr>
        <w:t>%。项目绩效目标完成情况：一是落实技能大赛参赛选手补助政策;二是进一步鼓励技能人才提高职业技能</w:t>
      </w:r>
      <w:r>
        <w:rPr>
          <w:rFonts w:hint="eastAsia" w:ascii="仿宋_GB2312" w:eastAsia="仿宋_GB2312"/>
          <w:sz w:val="32"/>
          <w:lang w:eastAsia="zh-CN"/>
        </w:rPr>
        <w:t>。</w:t>
      </w:r>
      <w:r>
        <w:rPr>
          <w:rFonts w:hint="default" w:ascii="仿宋_GB2312" w:eastAsia="仿宋_GB2312"/>
          <w:sz w:val="32"/>
        </w:rPr>
        <w:t>发现的主要问题及原因：一是高技能人才选拔只参加了市级大赛，国家级大赛由省厅推送，未取得名次。二是高技能人才购房补贴因政策启动时间较晚，面对的群体较少，未有符合条件人员。下一步改进措施：在2022年新修订购房补贴政策，使购房标准更加完善，在今年加大力度向中小企业</w:t>
      </w:r>
      <w:r>
        <w:rPr>
          <w:rFonts w:hint="eastAsia" w:ascii="仿宋_GB2312" w:eastAsia="仿宋_GB2312"/>
          <w:sz w:val="32"/>
          <w:lang w:eastAsia="zh-CN"/>
        </w:rPr>
        <w:t>进行</w:t>
      </w:r>
      <w:r>
        <w:rPr>
          <w:rFonts w:hint="default" w:ascii="仿宋_GB2312" w:eastAsia="仿宋_GB2312"/>
          <w:sz w:val="32"/>
        </w:rPr>
        <w:t>政策宣传。</w:t>
      </w:r>
    </w:p>
    <w:p>
      <w:pPr>
        <w:widowControl/>
        <w:numPr>
          <w:ilvl w:val="0"/>
          <w:numId w:val="1"/>
        </w:numPr>
        <w:spacing w:line="560" w:lineRule="exact"/>
        <w:ind w:firstLine="640" w:firstLineChars="200"/>
        <w:rPr>
          <w:rFonts w:hint="default" w:ascii="仿宋_GB2312" w:eastAsia="仿宋_GB2312"/>
          <w:sz w:val="32"/>
        </w:rPr>
      </w:pPr>
      <w:r>
        <w:rPr>
          <w:rFonts w:hint="default" w:ascii="仿宋_GB2312" w:eastAsia="仿宋_GB2312"/>
          <w:sz w:val="32"/>
        </w:rPr>
        <w:t>紧缺急需人才目录编制和奖励补贴项目自评综述：根据年初设定的绩效目标，项目自评得分</w:t>
      </w:r>
      <w:r>
        <w:rPr>
          <w:rFonts w:hint="eastAsia" w:ascii="仿宋_GB2312" w:eastAsia="仿宋_GB2312"/>
          <w:sz w:val="32"/>
          <w:lang w:val="en-US" w:eastAsia="zh-CN"/>
        </w:rPr>
        <w:t>98.27</w:t>
      </w:r>
      <w:r>
        <w:rPr>
          <w:rFonts w:hint="default" w:ascii="仿宋_GB2312" w:eastAsia="仿宋_GB2312"/>
          <w:sz w:val="32"/>
        </w:rPr>
        <w:t>分。项目全年预算数为</w:t>
      </w:r>
      <w:r>
        <w:rPr>
          <w:rFonts w:hint="eastAsia" w:ascii="仿宋_GB2312" w:eastAsia="仿宋_GB2312"/>
          <w:sz w:val="32"/>
          <w:lang w:val="en-US" w:eastAsia="zh-CN"/>
        </w:rPr>
        <w:t>497.25</w:t>
      </w:r>
      <w:r>
        <w:rPr>
          <w:rFonts w:hint="default" w:ascii="仿宋_GB2312" w:eastAsia="仿宋_GB2312"/>
          <w:sz w:val="32"/>
        </w:rPr>
        <w:t>万元，执行数为</w:t>
      </w:r>
      <w:r>
        <w:rPr>
          <w:rFonts w:hint="eastAsia" w:ascii="仿宋_GB2312" w:eastAsia="仿宋_GB2312"/>
          <w:sz w:val="32"/>
          <w:lang w:val="en-US" w:eastAsia="zh-CN"/>
        </w:rPr>
        <w:t>411</w:t>
      </w:r>
      <w:r>
        <w:rPr>
          <w:rFonts w:hint="default" w:ascii="仿宋_GB2312" w:eastAsia="仿宋_GB2312"/>
          <w:sz w:val="32"/>
        </w:rPr>
        <w:t>万元，完成预算的</w:t>
      </w:r>
      <w:r>
        <w:rPr>
          <w:rFonts w:hint="eastAsia" w:ascii="仿宋_GB2312" w:eastAsia="仿宋_GB2312"/>
          <w:sz w:val="32"/>
          <w:lang w:val="en-US" w:eastAsia="zh-CN"/>
        </w:rPr>
        <w:t>82.65</w:t>
      </w:r>
      <w:r>
        <w:rPr>
          <w:rFonts w:hint="default" w:ascii="仿宋_GB2312" w:eastAsia="仿宋_GB2312"/>
          <w:sz w:val="32"/>
        </w:rPr>
        <w:t>%。项目绩效目标完成情况：一是各类补助经费合规性发放;二是按照时限完成</w:t>
      </w:r>
      <w:r>
        <w:rPr>
          <w:rFonts w:hint="eastAsia" w:ascii="仿宋_GB2312" w:eastAsia="仿宋_GB2312"/>
          <w:sz w:val="32"/>
          <w:lang w:eastAsia="zh-CN"/>
        </w:rPr>
        <w:t>了</w:t>
      </w:r>
      <w:r>
        <w:rPr>
          <w:rFonts w:hint="default" w:ascii="仿宋_GB2312" w:eastAsia="仿宋_GB2312"/>
          <w:sz w:val="32"/>
        </w:rPr>
        <w:t>评审;三是发挥资金使用效益</w:t>
      </w:r>
      <w:r>
        <w:rPr>
          <w:rFonts w:hint="eastAsia" w:ascii="仿宋_GB2312" w:eastAsia="仿宋_GB2312"/>
          <w:sz w:val="32"/>
          <w:lang w:eastAsia="zh-CN"/>
        </w:rPr>
        <w:t>，不断推进专业技术人才队伍建设</w:t>
      </w:r>
      <w:r>
        <w:rPr>
          <w:rFonts w:hint="default" w:ascii="仿宋_GB2312" w:eastAsia="仿宋_GB2312"/>
          <w:sz w:val="32"/>
        </w:rPr>
        <w:t>。</w:t>
      </w:r>
    </w:p>
    <w:p>
      <w:pPr>
        <w:widowControl/>
        <w:numPr>
          <w:ilvl w:val="0"/>
          <w:numId w:val="1"/>
        </w:numPr>
        <w:spacing w:line="560" w:lineRule="exact"/>
        <w:ind w:firstLine="640" w:firstLineChars="200"/>
        <w:rPr>
          <w:rFonts w:hint="default" w:ascii="仿宋_GB2312" w:eastAsia="仿宋_GB2312"/>
          <w:sz w:val="32"/>
        </w:rPr>
      </w:pPr>
      <w:r>
        <w:rPr>
          <w:rFonts w:hint="default" w:ascii="仿宋_GB2312" w:eastAsia="仿宋_GB2312"/>
          <w:sz w:val="32"/>
        </w:rPr>
        <w:t>开展专家服务基层工作经费项目自评综述：根据年初设定的绩效目标，项目自评得分</w:t>
      </w:r>
      <w:r>
        <w:rPr>
          <w:rFonts w:hint="eastAsia" w:ascii="仿宋_GB2312" w:eastAsia="仿宋_GB2312"/>
          <w:sz w:val="32"/>
          <w:lang w:val="en-US" w:eastAsia="zh-CN"/>
        </w:rPr>
        <w:t>59</w:t>
      </w:r>
      <w:r>
        <w:rPr>
          <w:rFonts w:hint="default" w:ascii="仿宋_GB2312" w:eastAsia="仿宋_GB2312"/>
          <w:sz w:val="32"/>
        </w:rPr>
        <w:t>分。项目全年预算数为</w:t>
      </w:r>
      <w:r>
        <w:rPr>
          <w:rFonts w:hint="eastAsia" w:ascii="仿宋_GB2312" w:eastAsia="仿宋_GB2312"/>
          <w:sz w:val="32"/>
          <w:lang w:val="en-US" w:eastAsia="zh-CN"/>
        </w:rPr>
        <w:t>0</w:t>
      </w:r>
      <w:r>
        <w:rPr>
          <w:rFonts w:hint="default" w:ascii="仿宋_GB2312" w:eastAsia="仿宋_GB2312"/>
          <w:sz w:val="32"/>
        </w:rPr>
        <w:t>万元，执行数为</w:t>
      </w:r>
      <w:r>
        <w:rPr>
          <w:rFonts w:hint="eastAsia" w:ascii="仿宋_GB2312" w:eastAsia="仿宋_GB2312"/>
          <w:sz w:val="32"/>
          <w:lang w:val="en-US" w:eastAsia="zh-CN"/>
        </w:rPr>
        <w:t>0</w:t>
      </w:r>
      <w:r>
        <w:rPr>
          <w:rFonts w:hint="default" w:ascii="仿宋_GB2312" w:eastAsia="仿宋_GB2312"/>
          <w:sz w:val="32"/>
        </w:rPr>
        <w:t>万元，完成预算的</w:t>
      </w:r>
      <w:r>
        <w:rPr>
          <w:rFonts w:hint="eastAsia" w:ascii="仿宋_GB2312" w:eastAsia="仿宋_GB2312"/>
          <w:sz w:val="32"/>
          <w:lang w:val="en-US" w:eastAsia="zh-CN"/>
        </w:rPr>
        <w:t>0</w:t>
      </w:r>
      <w:r>
        <w:rPr>
          <w:rFonts w:hint="default" w:ascii="仿宋_GB2312" w:eastAsia="仿宋_GB2312"/>
          <w:sz w:val="32"/>
        </w:rPr>
        <w:t>%。项目绩效目标完成情况：一是支持引导各单位开展专家服务基层活动</w:t>
      </w:r>
      <w:r>
        <w:rPr>
          <w:rFonts w:hint="eastAsia" w:ascii="仿宋_GB2312" w:eastAsia="仿宋_GB2312"/>
          <w:sz w:val="32"/>
          <w:lang w:eastAsia="zh-CN"/>
        </w:rPr>
        <w:t>；</w:t>
      </w:r>
      <w:r>
        <w:rPr>
          <w:rFonts w:hint="default" w:ascii="仿宋_GB2312" w:eastAsia="仿宋_GB2312"/>
          <w:sz w:val="32"/>
        </w:rPr>
        <w:t>二是引导鼓励高级专家深入基层一线服务经济社会发展。</w:t>
      </w:r>
      <w:r>
        <w:rPr>
          <w:rFonts w:hint="eastAsia" w:ascii="仿宋_GB2312" w:eastAsia="仿宋_GB2312"/>
          <w:sz w:val="32"/>
          <w:lang w:eastAsia="zh-CN"/>
        </w:rPr>
        <w:t>三是</w:t>
      </w:r>
      <w:r>
        <w:rPr>
          <w:rFonts w:hint="default" w:ascii="仿宋_GB2312" w:eastAsia="仿宋_GB2312"/>
          <w:sz w:val="32"/>
        </w:rPr>
        <w:t>10家单位的13个项目被列为“2021年沈阳市高级专家服务基层行动（省人社厅额外给予3万元资助）</w:t>
      </w:r>
      <w:r>
        <w:rPr>
          <w:rFonts w:hint="eastAsia" w:ascii="仿宋_GB2312" w:eastAsia="仿宋_GB2312"/>
          <w:sz w:val="32"/>
          <w:lang w:eastAsia="zh-CN"/>
        </w:rPr>
        <w:t>。</w:t>
      </w:r>
    </w:p>
    <w:p>
      <w:pPr>
        <w:widowControl/>
        <w:numPr>
          <w:ilvl w:val="0"/>
          <w:numId w:val="1"/>
        </w:numPr>
        <w:spacing w:line="560" w:lineRule="exact"/>
        <w:ind w:firstLine="640" w:firstLineChars="200"/>
        <w:rPr>
          <w:rFonts w:hint="default" w:ascii="仿宋_GB2312" w:eastAsia="仿宋_GB2312"/>
          <w:sz w:val="32"/>
        </w:rPr>
      </w:pPr>
      <w:r>
        <w:rPr>
          <w:rFonts w:hint="default" w:ascii="仿宋_GB2312" w:eastAsia="仿宋_GB2312"/>
          <w:sz w:val="32"/>
        </w:rPr>
        <w:t>留学归国博士创新创业补贴项目自评综述：根据年初设定的绩效目标，项目自评得分</w:t>
      </w:r>
      <w:r>
        <w:rPr>
          <w:rFonts w:hint="eastAsia" w:ascii="仿宋_GB2312" w:eastAsia="仿宋_GB2312"/>
          <w:sz w:val="32"/>
          <w:lang w:val="en-US" w:eastAsia="zh-CN"/>
        </w:rPr>
        <w:t>24.8</w:t>
      </w:r>
      <w:r>
        <w:rPr>
          <w:rFonts w:hint="default" w:ascii="仿宋_GB2312" w:eastAsia="仿宋_GB2312"/>
          <w:sz w:val="32"/>
        </w:rPr>
        <w:t>分。项目全年预算数为</w:t>
      </w:r>
      <w:r>
        <w:rPr>
          <w:rFonts w:hint="eastAsia" w:ascii="仿宋_GB2312" w:eastAsia="仿宋_GB2312"/>
          <w:sz w:val="32"/>
          <w:lang w:val="en-US" w:eastAsia="zh-CN"/>
        </w:rPr>
        <w:t>0</w:t>
      </w:r>
      <w:r>
        <w:rPr>
          <w:rFonts w:hint="default" w:ascii="仿宋_GB2312" w:eastAsia="仿宋_GB2312"/>
          <w:sz w:val="32"/>
        </w:rPr>
        <w:t>万元，执行数为</w:t>
      </w:r>
      <w:r>
        <w:rPr>
          <w:rFonts w:hint="eastAsia" w:ascii="仿宋_GB2312" w:eastAsia="仿宋_GB2312"/>
          <w:sz w:val="32"/>
          <w:lang w:val="en-US" w:eastAsia="zh-CN"/>
        </w:rPr>
        <w:t>0</w:t>
      </w:r>
      <w:r>
        <w:rPr>
          <w:rFonts w:hint="default" w:ascii="仿宋_GB2312" w:eastAsia="仿宋_GB2312"/>
          <w:sz w:val="32"/>
        </w:rPr>
        <w:t>万元，完成预算的</w:t>
      </w:r>
      <w:r>
        <w:rPr>
          <w:rFonts w:hint="eastAsia" w:ascii="仿宋_GB2312" w:eastAsia="仿宋_GB2312"/>
          <w:sz w:val="32"/>
          <w:lang w:val="en-US" w:eastAsia="zh-CN"/>
        </w:rPr>
        <w:t>0</w:t>
      </w:r>
      <w:r>
        <w:rPr>
          <w:rFonts w:hint="default" w:ascii="仿宋_GB2312" w:eastAsia="仿宋_GB2312"/>
          <w:sz w:val="32"/>
        </w:rPr>
        <w:t>%。更新人才新政3.0，此项政策删除</w:t>
      </w:r>
      <w:r>
        <w:rPr>
          <w:rFonts w:hint="eastAsia" w:ascii="仿宋_GB2312" w:eastAsia="仿宋_GB2312"/>
          <w:sz w:val="32"/>
          <w:lang w:eastAsia="zh-CN"/>
        </w:rPr>
        <w:t>。</w:t>
      </w:r>
    </w:p>
    <w:p>
      <w:pPr>
        <w:widowControl/>
        <w:numPr>
          <w:ilvl w:val="0"/>
          <w:numId w:val="1"/>
        </w:numPr>
        <w:spacing w:line="560" w:lineRule="exact"/>
        <w:ind w:firstLine="640" w:firstLineChars="200"/>
        <w:rPr>
          <w:rFonts w:hint="default" w:ascii="仿宋_GB2312" w:eastAsia="仿宋_GB2312"/>
          <w:sz w:val="32"/>
        </w:rPr>
      </w:pPr>
      <w:r>
        <w:rPr>
          <w:rFonts w:hint="default" w:ascii="仿宋_GB2312" w:eastAsia="仿宋_GB2312"/>
          <w:sz w:val="32"/>
        </w:rPr>
        <w:t>落实沈阳市政府特殊津贴制度经费项目自评综述：根据年初设定的绩效目标，项目自评得分</w:t>
      </w:r>
      <w:r>
        <w:rPr>
          <w:rFonts w:hint="eastAsia" w:ascii="仿宋_GB2312" w:eastAsia="仿宋_GB2312"/>
          <w:sz w:val="32"/>
          <w:lang w:val="en-US" w:eastAsia="zh-CN"/>
        </w:rPr>
        <w:t>69</w:t>
      </w:r>
      <w:r>
        <w:rPr>
          <w:rFonts w:hint="default" w:ascii="仿宋_GB2312" w:eastAsia="仿宋_GB2312"/>
          <w:sz w:val="32"/>
        </w:rPr>
        <w:t>分。项目全年预算数为</w:t>
      </w:r>
      <w:r>
        <w:rPr>
          <w:rFonts w:hint="eastAsia" w:ascii="仿宋_GB2312" w:eastAsia="仿宋_GB2312"/>
          <w:sz w:val="32"/>
          <w:lang w:val="en-US" w:eastAsia="zh-CN"/>
        </w:rPr>
        <w:t>93</w:t>
      </w:r>
      <w:r>
        <w:rPr>
          <w:rFonts w:hint="default" w:ascii="仿宋_GB2312" w:eastAsia="仿宋_GB2312"/>
          <w:sz w:val="32"/>
        </w:rPr>
        <w:t>万元，执行数</w:t>
      </w:r>
      <w:r>
        <w:rPr>
          <w:rFonts w:hint="eastAsia" w:ascii="仿宋_GB2312" w:eastAsia="仿宋_GB2312"/>
          <w:sz w:val="32"/>
          <w:lang w:val="en-US" w:eastAsia="zh-CN"/>
        </w:rPr>
        <w:t>50</w:t>
      </w:r>
      <w:r>
        <w:rPr>
          <w:rFonts w:hint="default" w:ascii="仿宋_GB2312" w:eastAsia="仿宋_GB2312"/>
          <w:sz w:val="32"/>
        </w:rPr>
        <w:t>万元，完成预算的</w:t>
      </w:r>
      <w:r>
        <w:rPr>
          <w:rFonts w:hint="eastAsia" w:ascii="仿宋_GB2312" w:eastAsia="仿宋_GB2312"/>
          <w:sz w:val="32"/>
          <w:lang w:val="en-US" w:eastAsia="zh-CN"/>
        </w:rPr>
        <w:t>53.76</w:t>
      </w:r>
      <w:r>
        <w:rPr>
          <w:rFonts w:hint="default" w:ascii="仿宋_GB2312" w:eastAsia="仿宋_GB2312"/>
          <w:sz w:val="32"/>
        </w:rPr>
        <w:t>%。项目绩效目标完成情况：一是由于疫情防控等原因，2021年度未开展享受政府特殊津贴专家疗养休假活动；二是组织开展了选拔工作，确定25名同志享受2021年度沈阳市政府特殊津贴，每人一次性发放2万元津贴。</w:t>
      </w:r>
    </w:p>
    <w:p>
      <w:pPr>
        <w:widowControl/>
        <w:numPr>
          <w:ilvl w:val="0"/>
          <w:numId w:val="1"/>
        </w:numPr>
        <w:spacing w:line="560" w:lineRule="exact"/>
        <w:ind w:firstLine="640" w:firstLineChars="200"/>
        <w:rPr>
          <w:rFonts w:hint="default" w:ascii="仿宋_GB2312" w:eastAsia="仿宋_GB2312"/>
          <w:sz w:val="32"/>
        </w:rPr>
      </w:pPr>
      <w:r>
        <w:rPr>
          <w:rFonts w:hint="default" w:ascii="仿宋_GB2312" w:eastAsia="仿宋_GB2312"/>
          <w:sz w:val="32"/>
        </w:rPr>
        <w:t>引博工程资助项目自评综述：根据年初设定的绩效目标，项目自评得分</w:t>
      </w:r>
      <w:r>
        <w:rPr>
          <w:rFonts w:hint="eastAsia" w:ascii="仿宋_GB2312" w:eastAsia="仿宋_GB2312"/>
          <w:sz w:val="32"/>
          <w:lang w:val="en-US" w:eastAsia="zh-CN"/>
        </w:rPr>
        <w:t>59</w:t>
      </w:r>
      <w:r>
        <w:rPr>
          <w:rFonts w:hint="default" w:ascii="仿宋_GB2312" w:eastAsia="仿宋_GB2312"/>
          <w:sz w:val="32"/>
        </w:rPr>
        <w:t>分。项目全年预算数为</w:t>
      </w:r>
      <w:r>
        <w:rPr>
          <w:rFonts w:hint="eastAsia" w:ascii="仿宋_GB2312" w:eastAsia="仿宋_GB2312"/>
          <w:sz w:val="32"/>
          <w:lang w:val="en-US" w:eastAsia="zh-CN"/>
        </w:rPr>
        <w:t>0</w:t>
      </w:r>
      <w:r>
        <w:rPr>
          <w:rFonts w:hint="default" w:ascii="仿宋_GB2312" w:eastAsia="仿宋_GB2312"/>
          <w:sz w:val="32"/>
        </w:rPr>
        <w:t>万元，执行数为</w:t>
      </w:r>
      <w:r>
        <w:rPr>
          <w:rFonts w:hint="eastAsia" w:ascii="仿宋_GB2312" w:eastAsia="仿宋_GB2312"/>
          <w:sz w:val="32"/>
          <w:lang w:val="en-US" w:eastAsia="zh-CN"/>
        </w:rPr>
        <w:t>0</w:t>
      </w:r>
      <w:r>
        <w:rPr>
          <w:rFonts w:hint="default" w:ascii="仿宋_GB2312" w:eastAsia="仿宋_GB2312"/>
          <w:sz w:val="32"/>
        </w:rPr>
        <w:t>万元，完成预算的</w:t>
      </w:r>
      <w:r>
        <w:rPr>
          <w:rFonts w:hint="eastAsia" w:ascii="仿宋_GB2312" w:eastAsia="仿宋_GB2312"/>
          <w:sz w:val="32"/>
          <w:lang w:val="en-US" w:eastAsia="zh-CN"/>
        </w:rPr>
        <w:t>0</w:t>
      </w:r>
      <w:r>
        <w:rPr>
          <w:rFonts w:hint="default" w:ascii="仿宋_GB2312" w:eastAsia="仿宋_GB2312"/>
          <w:sz w:val="32"/>
        </w:rPr>
        <w:t>%。项目绩效目标完成情况：一是深入实施引博工程</w:t>
      </w:r>
      <w:r>
        <w:rPr>
          <w:rFonts w:hint="eastAsia" w:ascii="仿宋_GB2312" w:eastAsia="仿宋_GB2312"/>
          <w:sz w:val="32"/>
          <w:lang w:eastAsia="zh-CN"/>
        </w:rPr>
        <w:t>引进国内人才</w:t>
      </w:r>
      <w:r>
        <w:rPr>
          <w:rFonts w:hint="eastAsia" w:ascii="仿宋_GB2312" w:eastAsia="仿宋_GB2312"/>
          <w:sz w:val="32"/>
          <w:lang w:val="en-US" w:eastAsia="zh-CN"/>
        </w:rPr>
        <w:t>425人，</w:t>
      </w:r>
      <w:r>
        <w:rPr>
          <w:rFonts w:hint="eastAsia" w:ascii="仿宋_GB2312" w:eastAsia="仿宋_GB2312"/>
          <w:sz w:val="32"/>
          <w:lang w:eastAsia="zh-CN"/>
        </w:rPr>
        <w:t>二是最大化发挥资金使用效益。</w:t>
      </w:r>
    </w:p>
    <w:p>
      <w:pPr>
        <w:widowControl/>
        <w:numPr>
          <w:ilvl w:val="0"/>
          <w:numId w:val="1"/>
        </w:numPr>
        <w:spacing w:line="560" w:lineRule="exact"/>
        <w:ind w:firstLine="640" w:firstLineChars="200"/>
        <w:rPr>
          <w:rFonts w:hint="eastAsia" w:ascii="仿宋_GB2312" w:eastAsia="仿宋_GB2312"/>
          <w:sz w:val="32"/>
          <w:lang w:eastAsia="zh-CN"/>
        </w:rPr>
      </w:pPr>
      <w:r>
        <w:rPr>
          <w:rFonts w:hint="default" w:ascii="仿宋_GB2312" w:eastAsia="仿宋_GB2312"/>
          <w:sz w:val="32"/>
        </w:rPr>
        <w:t>优秀高技能人才项目奖励经费项目自评综述：根据年初设定的绩效目标，项目自评得分</w:t>
      </w:r>
      <w:r>
        <w:rPr>
          <w:rFonts w:hint="eastAsia" w:ascii="仿宋_GB2312" w:eastAsia="仿宋_GB2312"/>
          <w:sz w:val="32"/>
          <w:lang w:val="en-US" w:eastAsia="zh-CN"/>
        </w:rPr>
        <w:t>79</w:t>
      </w:r>
      <w:r>
        <w:rPr>
          <w:rFonts w:hint="default" w:ascii="仿宋_GB2312" w:eastAsia="仿宋_GB2312"/>
          <w:sz w:val="32"/>
        </w:rPr>
        <w:t>分。项目全年预算数为</w:t>
      </w:r>
      <w:r>
        <w:rPr>
          <w:rFonts w:hint="eastAsia" w:ascii="仿宋_GB2312" w:eastAsia="仿宋_GB2312"/>
          <w:sz w:val="32"/>
          <w:lang w:val="en-US" w:eastAsia="zh-CN"/>
        </w:rPr>
        <w:t>20</w:t>
      </w:r>
      <w:r>
        <w:rPr>
          <w:rFonts w:hint="default" w:ascii="仿宋_GB2312" w:eastAsia="仿宋_GB2312"/>
          <w:sz w:val="32"/>
        </w:rPr>
        <w:t>万元，执行数</w:t>
      </w:r>
      <w:r>
        <w:rPr>
          <w:rFonts w:hint="eastAsia" w:ascii="仿宋_GB2312" w:eastAsia="仿宋_GB2312"/>
          <w:sz w:val="32"/>
          <w:lang w:val="en-US" w:eastAsia="zh-CN"/>
        </w:rPr>
        <w:t>13</w:t>
      </w:r>
      <w:r>
        <w:rPr>
          <w:rFonts w:hint="default" w:ascii="仿宋_GB2312" w:eastAsia="仿宋_GB2312"/>
          <w:sz w:val="32"/>
        </w:rPr>
        <w:t>万元，完成预算的</w:t>
      </w:r>
      <w:r>
        <w:rPr>
          <w:rFonts w:hint="eastAsia" w:ascii="仿宋_GB2312" w:eastAsia="仿宋_GB2312"/>
          <w:sz w:val="32"/>
          <w:lang w:val="en-US" w:eastAsia="zh-CN"/>
        </w:rPr>
        <w:t>65.0</w:t>
      </w:r>
      <w:r>
        <w:rPr>
          <w:rFonts w:hint="default" w:ascii="仿宋_GB2312" w:eastAsia="仿宋_GB2312"/>
          <w:sz w:val="32"/>
        </w:rPr>
        <w:t>%。项目绩效目标完成情况：一是补贴的</w:t>
      </w:r>
      <w:r>
        <w:rPr>
          <w:rFonts w:hint="eastAsia" w:ascii="仿宋_GB2312" w:eastAsia="仿宋_GB2312"/>
          <w:sz w:val="32"/>
          <w:lang w:val="en-US" w:eastAsia="zh-CN"/>
        </w:rPr>
        <w:t>3家</w:t>
      </w:r>
      <w:r>
        <w:rPr>
          <w:rFonts w:hint="default" w:ascii="仿宋_GB2312" w:eastAsia="仿宋_GB2312"/>
          <w:sz w:val="32"/>
        </w:rPr>
        <w:t>企事业单位，资助人才</w:t>
      </w:r>
      <w:r>
        <w:rPr>
          <w:rFonts w:hint="eastAsia" w:ascii="仿宋_GB2312" w:eastAsia="仿宋_GB2312"/>
          <w:sz w:val="32"/>
          <w:lang w:val="en-US" w:eastAsia="zh-CN"/>
        </w:rPr>
        <w:t>5人；</w:t>
      </w:r>
      <w:r>
        <w:rPr>
          <w:rFonts w:hint="default" w:ascii="仿宋_GB2312" w:eastAsia="仿宋_GB2312"/>
          <w:sz w:val="32"/>
        </w:rPr>
        <w:t>二是</w:t>
      </w:r>
      <w:r>
        <w:rPr>
          <w:rFonts w:hint="eastAsia" w:ascii="仿宋_GB2312" w:eastAsia="仿宋_GB2312"/>
          <w:sz w:val="32"/>
          <w:lang w:val="en-US" w:eastAsia="zh-CN"/>
        </w:rPr>
        <w:t>鼓励职工提升职业技能。</w:t>
      </w:r>
    </w:p>
    <w:p>
      <w:pPr>
        <w:widowControl/>
        <w:numPr>
          <w:ilvl w:val="0"/>
          <w:numId w:val="1"/>
        </w:numPr>
        <w:spacing w:line="560" w:lineRule="exact"/>
        <w:ind w:firstLine="640" w:firstLineChars="200"/>
        <w:rPr>
          <w:rFonts w:hint="default" w:ascii="仿宋_GB2312" w:eastAsia="仿宋_GB2312"/>
          <w:sz w:val="32"/>
        </w:rPr>
      </w:pPr>
      <w:r>
        <w:rPr>
          <w:rFonts w:hint="eastAsia" w:ascii="仿宋_GB2312" w:eastAsia="仿宋_GB2312"/>
          <w:sz w:val="32"/>
          <w:lang w:eastAsia="zh-CN"/>
        </w:rPr>
        <w:t>院校输送毕业生奖励</w:t>
      </w:r>
      <w:r>
        <w:rPr>
          <w:rFonts w:hint="default" w:ascii="仿宋_GB2312" w:eastAsia="仿宋_GB2312"/>
          <w:sz w:val="32"/>
        </w:rPr>
        <w:t>项目自评综述：根据年初设定的绩效目标，项目自评得分</w:t>
      </w:r>
      <w:r>
        <w:rPr>
          <w:rFonts w:hint="eastAsia" w:ascii="仿宋_GB2312" w:eastAsia="仿宋_GB2312"/>
          <w:sz w:val="32"/>
          <w:lang w:val="en-US" w:eastAsia="zh-CN"/>
        </w:rPr>
        <w:t>12.4</w:t>
      </w:r>
      <w:r>
        <w:rPr>
          <w:rFonts w:hint="default" w:ascii="仿宋_GB2312" w:eastAsia="仿宋_GB2312"/>
          <w:sz w:val="32"/>
        </w:rPr>
        <w:t>分。项目全年预算数为</w:t>
      </w:r>
      <w:r>
        <w:rPr>
          <w:rFonts w:hint="eastAsia" w:ascii="仿宋_GB2312" w:eastAsia="仿宋_GB2312"/>
          <w:sz w:val="32"/>
          <w:lang w:val="en-US" w:eastAsia="zh-CN"/>
        </w:rPr>
        <w:t>200</w:t>
      </w:r>
      <w:r>
        <w:rPr>
          <w:rFonts w:hint="default" w:ascii="仿宋_GB2312" w:eastAsia="仿宋_GB2312"/>
          <w:sz w:val="32"/>
        </w:rPr>
        <w:t>万元，执行数</w:t>
      </w:r>
      <w:r>
        <w:rPr>
          <w:rFonts w:hint="eastAsia" w:ascii="仿宋_GB2312" w:eastAsia="仿宋_GB2312"/>
          <w:sz w:val="32"/>
          <w:lang w:val="en-US" w:eastAsia="zh-CN"/>
        </w:rPr>
        <w:t>0</w:t>
      </w:r>
      <w:r>
        <w:rPr>
          <w:rFonts w:hint="default" w:ascii="仿宋_GB2312" w:eastAsia="仿宋_GB2312"/>
          <w:sz w:val="32"/>
        </w:rPr>
        <w:t>万元，完成预算的</w:t>
      </w:r>
      <w:r>
        <w:rPr>
          <w:rFonts w:hint="eastAsia" w:ascii="仿宋_GB2312" w:eastAsia="仿宋_GB2312"/>
          <w:sz w:val="32"/>
          <w:lang w:val="en-US" w:eastAsia="zh-CN"/>
        </w:rPr>
        <w:t>0</w:t>
      </w:r>
      <w:r>
        <w:rPr>
          <w:rFonts w:hint="default" w:ascii="仿宋_GB2312" w:eastAsia="仿宋_GB2312"/>
          <w:sz w:val="32"/>
        </w:rPr>
        <w:t>%。发现的主要问题及原因：由于时间紧迫，受疫情影响，宣传力度不到位，导致相关技工院校毕业生输送未满足100人</w:t>
      </w:r>
      <w:r>
        <w:rPr>
          <w:rFonts w:hint="eastAsia" w:ascii="仿宋_GB2312" w:eastAsia="仿宋_GB2312"/>
          <w:sz w:val="32"/>
          <w:lang w:eastAsia="zh-CN"/>
        </w:rPr>
        <w:t>。</w:t>
      </w:r>
      <w:r>
        <w:rPr>
          <w:rFonts w:hint="default" w:ascii="仿宋_GB2312" w:eastAsia="仿宋_GB2312"/>
          <w:sz w:val="32"/>
        </w:rPr>
        <w:t>下一步改进措施：尽早的发出公告，扩大政策宣传力量，让更多的人了解到此项政策，争取2022年的时候完成指标值</w:t>
      </w:r>
      <w:r>
        <w:rPr>
          <w:rFonts w:hint="eastAsia" w:ascii="仿宋_GB2312" w:eastAsia="仿宋_GB2312"/>
          <w:sz w:val="32"/>
          <w:lang w:eastAsia="zh-CN"/>
        </w:rPr>
        <w:t>。</w:t>
      </w:r>
    </w:p>
    <w:p>
      <w:pPr>
        <w:widowControl/>
        <w:numPr>
          <w:ilvl w:val="0"/>
          <w:numId w:val="1"/>
        </w:numPr>
        <w:spacing w:line="560" w:lineRule="exact"/>
        <w:ind w:firstLine="640" w:firstLineChars="200"/>
        <w:rPr>
          <w:rFonts w:hint="eastAsia" w:ascii="仿宋_GB2312" w:eastAsia="仿宋_GB2312"/>
          <w:sz w:val="32"/>
          <w:lang w:eastAsia="zh-CN"/>
        </w:rPr>
      </w:pPr>
      <w:r>
        <w:rPr>
          <w:rFonts w:hint="eastAsia" w:ascii="仿宋_GB2312" w:eastAsia="仿宋_GB2312"/>
          <w:sz w:val="32"/>
          <w:lang w:eastAsia="zh-CN"/>
        </w:rPr>
        <w:t>中介组织和个人引进人才及团队奖励</w:t>
      </w:r>
      <w:r>
        <w:rPr>
          <w:rFonts w:hint="default" w:ascii="仿宋_GB2312" w:eastAsia="仿宋_GB2312"/>
          <w:sz w:val="32"/>
        </w:rPr>
        <w:t>项目自评综述：根据年初设定的绩效目标，项目自评得分</w:t>
      </w:r>
      <w:r>
        <w:rPr>
          <w:rFonts w:hint="eastAsia" w:ascii="仿宋_GB2312" w:eastAsia="仿宋_GB2312"/>
          <w:sz w:val="32"/>
          <w:lang w:val="en-US" w:eastAsia="zh-CN"/>
        </w:rPr>
        <w:t>24.8</w:t>
      </w:r>
      <w:r>
        <w:rPr>
          <w:rFonts w:hint="default" w:ascii="仿宋_GB2312" w:eastAsia="仿宋_GB2312"/>
          <w:sz w:val="32"/>
        </w:rPr>
        <w:t>分。项目全年预算数为</w:t>
      </w:r>
      <w:r>
        <w:rPr>
          <w:rFonts w:hint="eastAsia" w:ascii="仿宋_GB2312" w:eastAsia="仿宋_GB2312"/>
          <w:sz w:val="32"/>
          <w:lang w:val="en-US" w:eastAsia="zh-CN"/>
        </w:rPr>
        <w:t>0</w:t>
      </w:r>
      <w:r>
        <w:rPr>
          <w:rFonts w:hint="default" w:ascii="仿宋_GB2312" w:eastAsia="仿宋_GB2312"/>
          <w:sz w:val="32"/>
        </w:rPr>
        <w:t>万元，执行数</w:t>
      </w:r>
      <w:r>
        <w:rPr>
          <w:rFonts w:hint="eastAsia" w:ascii="仿宋_GB2312" w:eastAsia="仿宋_GB2312"/>
          <w:sz w:val="32"/>
          <w:lang w:val="en-US" w:eastAsia="zh-CN"/>
        </w:rPr>
        <w:t>0</w:t>
      </w:r>
      <w:r>
        <w:rPr>
          <w:rFonts w:hint="default" w:ascii="仿宋_GB2312" w:eastAsia="仿宋_GB2312"/>
          <w:sz w:val="32"/>
        </w:rPr>
        <w:t>万元，完成预算的</w:t>
      </w:r>
      <w:r>
        <w:rPr>
          <w:rFonts w:hint="eastAsia" w:ascii="仿宋_GB2312" w:eastAsia="仿宋_GB2312"/>
          <w:sz w:val="32"/>
          <w:lang w:val="en-US" w:eastAsia="zh-CN"/>
        </w:rPr>
        <w:t>0</w:t>
      </w:r>
      <w:r>
        <w:rPr>
          <w:rFonts w:hint="default" w:ascii="仿宋_GB2312" w:eastAsia="仿宋_GB2312"/>
          <w:sz w:val="32"/>
        </w:rPr>
        <w:t>%。项目绩效目标完成情况：</w:t>
      </w:r>
      <w:r>
        <w:rPr>
          <w:rFonts w:hint="eastAsia" w:ascii="仿宋_GB2312" w:eastAsia="仿宋_GB2312"/>
          <w:sz w:val="32"/>
          <w:lang w:eastAsia="zh-CN"/>
        </w:rPr>
        <w:t>全年</w:t>
      </w:r>
      <w:r>
        <w:rPr>
          <w:rFonts w:hint="default" w:ascii="仿宋_GB2312" w:eastAsia="仿宋_GB2312"/>
          <w:sz w:val="32"/>
        </w:rPr>
        <w:t>无申报</w:t>
      </w:r>
      <w:r>
        <w:rPr>
          <w:rFonts w:hint="eastAsia" w:ascii="仿宋_GB2312" w:eastAsia="仿宋_GB2312"/>
          <w:sz w:val="32"/>
          <w:lang w:eastAsia="zh-CN"/>
        </w:rPr>
        <w:t>企业。</w:t>
      </w:r>
      <w:r>
        <w:rPr>
          <w:rFonts w:hint="default" w:ascii="仿宋_GB2312" w:eastAsia="仿宋_GB2312"/>
          <w:sz w:val="32"/>
        </w:rPr>
        <w:t>发现的主要问题及原因：由于客观因素的影响年初计划完成中介组织审核及时兑现奖励，由于无申报的中介组织和个人导致没按时完成</w:t>
      </w:r>
      <w:r>
        <w:rPr>
          <w:rFonts w:hint="eastAsia" w:ascii="仿宋_GB2312" w:eastAsia="仿宋_GB2312"/>
          <w:sz w:val="32"/>
          <w:lang w:eastAsia="zh-CN"/>
        </w:rPr>
        <w:t>。</w:t>
      </w:r>
      <w:r>
        <w:rPr>
          <w:rFonts w:hint="default" w:ascii="仿宋_GB2312" w:eastAsia="仿宋_GB2312"/>
          <w:sz w:val="32"/>
        </w:rPr>
        <w:t>下一步改进措施：在根据适时的政策具体情况，对中介组织的审核要不断完善制度设计，进行政策调整，争取明年按照计划完成</w:t>
      </w:r>
      <w:r>
        <w:rPr>
          <w:rFonts w:hint="eastAsia" w:ascii="仿宋_GB2312" w:eastAsia="仿宋_GB2312"/>
          <w:sz w:val="32"/>
          <w:lang w:eastAsia="zh-CN"/>
        </w:rPr>
        <w:t>。</w:t>
      </w:r>
    </w:p>
    <w:p>
      <w:pPr>
        <w:widowControl/>
        <w:numPr>
          <w:ilvl w:val="0"/>
          <w:numId w:val="1"/>
        </w:numPr>
        <w:spacing w:line="560" w:lineRule="exact"/>
        <w:ind w:firstLine="640" w:firstLineChars="200"/>
        <w:rPr>
          <w:rFonts w:hint="eastAsia" w:ascii="仿宋_GB2312" w:eastAsia="仿宋_GB2312"/>
          <w:sz w:val="32"/>
          <w:lang w:eastAsia="zh-CN"/>
        </w:rPr>
      </w:pPr>
      <w:r>
        <w:rPr>
          <w:rFonts w:hint="eastAsia" w:ascii="仿宋_GB2312" w:eastAsia="仿宋_GB2312"/>
          <w:sz w:val="32"/>
          <w:lang w:eastAsia="zh-CN"/>
        </w:rPr>
        <w:t>中青科技英才培养工程奖励</w:t>
      </w:r>
      <w:r>
        <w:rPr>
          <w:rFonts w:hint="default" w:ascii="仿宋_GB2312" w:eastAsia="仿宋_GB2312"/>
          <w:sz w:val="32"/>
        </w:rPr>
        <w:t>项目自评综述：根据年初设定的绩效目标，项目自评得分</w:t>
      </w:r>
      <w:r>
        <w:rPr>
          <w:rFonts w:hint="eastAsia" w:ascii="仿宋_GB2312" w:eastAsia="仿宋_GB2312"/>
          <w:sz w:val="32"/>
          <w:lang w:val="en-US" w:eastAsia="zh-CN"/>
        </w:rPr>
        <w:t>59</w:t>
      </w:r>
      <w:r>
        <w:rPr>
          <w:rFonts w:hint="default" w:ascii="仿宋_GB2312" w:eastAsia="仿宋_GB2312"/>
          <w:sz w:val="32"/>
        </w:rPr>
        <w:t>分。项目全年预算数为</w:t>
      </w:r>
      <w:r>
        <w:rPr>
          <w:rFonts w:hint="eastAsia" w:ascii="仿宋_GB2312" w:eastAsia="仿宋_GB2312"/>
          <w:sz w:val="32"/>
          <w:lang w:val="en-US" w:eastAsia="zh-CN"/>
        </w:rPr>
        <w:t>0</w:t>
      </w:r>
      <w:r>
        <w:rPr>
          <w:rFonts w:hint="default" w:ascii="仿宋_GB2312" w:eastAsia="仿宋_GB2312"/>
          <w:sz w:val="32"/>
        </w:rPr>
        <w:t>万元，执行数</w:t>
      </w:r>
      <w:r>
        <w:rPr>
          <w:rFonts w:hint="eastAsia" w:ascii="仿宋_GB2312" w:eastAsia="仿宋_GB2312"/>
          <w:sz w:val="32"/>
          <w:lang w:val="en-US" w:eastAsia="zh-CN"/>
        </w:rPr>
        <w:t>0</w:t>
      </w:r>
      <w:r>
        <w:rPr>
          <w:rFonts w:hint="default" w:ascii="仿宋_GB2312" w:eastAsia="仿宋_GB2312"/>
          <w:sz w:val="32"/>
        </w:rPr>
        <w:t>万元，完成预算的</w:t>
      </w:r>
      <w:r>
        <w:rPr>
          <w:rFonts w:hint="eastAsia" w:ascii="仿宋_GB2312" w:eastAsia="仿宋_GB2312"/>
          <w:sz w:val="32"/>
          <w:lang w:val="en-US" w:eastAsia="zh-CN"/>
        </w:rPr>
        <w:t>0</w:t>
      </w:r>
      <w:r>
        <w:rPr>
          <w:rFonts w:hint="default" w:ascii="仿宋_GB2312" w:eastAsia="仿宋_GB2312"/>
          <w:sz w:val="32"/>
        </w:rPr>
        <w:t>%。项目绩效目标完成情况：</w:t>
      </w:r>
      <w:r>
        <w:rPr>
          <w:rFonts w:hint="eastAsia" w:ascii="仿宋_GB2312" w:eastAsia="仿宋_GB2312"/>
          <w:sz w:val="32"/>
          <w:lang w:eastAsia="zh-CN"/>
        </w:rPr>
        <w:t>一是对入选国家有关人才工程计划的高层次人才给予奖励，二是对培育人才效果显著的单位给予奖励，三是根据工作安排，实际奖励22人。</w:t>
      </w:r>
    </w:p>
    <w:p>
      <w:pPr>
        <w:widowControl/>
        <w:numPr>
          <w:ilvl w:val="0"/>
          <w:numId w:val="1"/>
        </w:numPr>
        <w:spacing w:line="560" w:lineRule="exact"/>
        <w:ind w:firstLine="640" w:firstLineChars="200"/>
        <w:rPr>
          <w:rFonts w:hint="eastAsia" w:ascii="仿宋_GB2312" w:eastAsia="仿宋_GB2312"/>
          <w:sz w:val="32"/>
          <w:lang w:eastAsia="zh-CN"/>
        </w:rPr>
      </w:pPr>
      <w:r>
        <w:rPr>
          <w:rFonts w:hint="eastAsia" w:ascii="仿宋_GB2312" w:eastAsia="仿宋_GB2312"/>
          <w:sz w:val="32"/>
          <w:lang w:eastAsia="zh-CN"/>
        </w:rPr>
        <w:t>博士后培养工程资助</w:t>
      </w:r>
      <w:r>
        <w:rPr>
          <w:rFonts w:hint="default" w:ascii="仿宋_GB2312" w:eastAsia="仿宋_GB2312"/>
          <w:sz w:val="32"/>
        </w:rPr>
        <w:t>项目自评综述：根据年初设定的绩效目标，项目自评得分</w:t>
      </w:r>
      <w:r>
        <w:rPr>
          <w:rFonts w:hint="eastAsia" w:ascii="仿宋_GB2312" w:eastAsia="仿宋_GB2312"/>
          <w:sz w:val="32"/>
          <w:lang w:val="en-US" w:eastAsia="zh-CN"/>
        </w:rPr>
        <w:t>59</w:t>
      </w:r>
      <w:r>
        <w:rPr>
          <w:rFonts w:hint="default" w:ascii="仿宋_GB2312" w:eastAsia="仿宋_GB2312"/>
          <w:sz w:val="32"/>
        </w:rPr>
        <w:t>分。项目全年预算数为</w:t>
      </w:r>
      <w:r>
        <w:rPr>
          <w:rFonts w:hint="eastAsia" w:ascii="仿宋_GB2312" w:eastAsia="仿宋_GB2312"/>
          <w:sz w:val="32"/>
          <w:lang w:val="en-US" w:eastAsia="zh-CN"/>
        </w:rPr>
        <w:t>0</w:t>
      </w:r>
      <w:r>
        <w:rPr>
          <w:rFonts w:hint="default" w:ascii="仿宋_GB2312" w:eastAsia="仿宋_GB2312"/>
          <w:sz w:val="32"/>
        </w:rPr>
        <w:t>万元，执行数</w:t>
      </w:r>
      <w:r>
        <w:rPr>
          <w:rFonts w:hint="eastAsia" w:ascii="仿宋_GB2312" w:eastAsia="仿宋_GB2312"/>
          <w:sz w:val="32"/>
          <w:lang w:val="en-US" w:eastAsia="zh-CN"/>
        </w:rPr>
        <w:t>0</w:t>
      </w:r>
      <w:r>
        <w:rPr>
          <w:rFonts w:hint="default" w:ascii="仿宋_GB2312" w:eastAsia="仿宋_GB2312"/>
          <w:sz w:val="32"/>
        </w:rPr>
        <w:t>万元，完成预算的</w:t>
      </w:r>
      <w:r>
        <w:rPr>
          <w:rFonts w:hint="eastAsia" w:ascii="仿宋_GB2312" w:eastAsia="仿宋_GB2312"/>
          <w:sz w:val="32"/>
          <w:lang w:val="en-US" w:eastAsia="zh-CN"/>
        </w:rPr>
        <w:t>0</w:t>
      </w:r>
      <w:r>
        <w:rPr>
          <w:rFonts w:hint="default" w:ascii="仿宋_GB2312" w:eastAsia="仿宋_GB2312"/>
          <w:sz w:val="32"/>
        </w:rPr>
        <w:t>%。项目绩效目标完成情况：</w:t>
      </w:r>
      <w:r>
        <w:rPr>
          <w:rFonts w:hint="eastAsia" w:ascii="仿宋_GB2312" w:eastAsia="仿宋_GB2312"/>
          <w:sz w:val="32"/>
          <w:lang w:eastAsia="zh-CN"/>
        </w:rPr>
        <w:t>完成对博士后创新实践基地的审核，将资助人选名单报市政府审定。</w:t>
      </w:r>
    </w:p>
    <w:p>
      <w:pPr>
        <w:widowControl/>
        <w:numPr>
          <w:ilvl w:val="0"/>
          <w:numId w:val="1"/>
        </w:numPr>
        <w:spacing w:line="560" w:lineRule="exact"/>
        <w:ind w:firstLine="640" w:firstLineChars="200"/>
        <w:rPr>
          <w:rFonts w:hint="eastAsia" w:ascii="仿宋_GB2312" w:eastAsia="仿宋_GB2312"/>
          <w:sz w:val="32"/>
          <w:lang w:eastAsia="zh-CN"/>
        </w:rPr>
      </w:pPr>
      <w:r>
        <w:rPr>
          <w:rFonts w:hint="eastAsia" w:ascii="仿宋_GB2312" w:eastAsia="仿宋_GB2312"/>
          <w:sz w:val="32"/>
          <w:lang w:eastAsia="zh-CN"/>
        </w:rPr>
        <w:t>“招才引智”系列招聘活动经费</w:t>
      </w:r>
      <w:r>
        <w:rPr>
          <w:rFonts w:hint="default" w:ascii="仿宋_GB2312" w:eastAsia="仿宋_GB2312"/>
          <w:sz w:val="32"/>
        </w:rPr>
        <w:t>项目自评综述：根据年初设定的绩效目标，项目自评得分</w:t>
      </w:r>
      <w:r>
        <w:rPr>
          <w:rFonts w:hint="eastAsia" w:ascii="仿宋_GB2312" w:eastAsia="仿宋_GB2312"/>
          <w:sz w:val="32"/>
          <w:lang w:val="en-US" w:eastAsia="zh-CN"/>
        </w:rPr>
        <w:t>59</w:t>
      </w:r>
      <w:r>
        <w:rPr>
          <w:rFonts w:hint="default" w:ascii="仿宋_GB2312" w:eastAsia="仿宋_GB2312"/>
          <w:sz w:val="32"/>
        </w:rPr>
        <w:t>分。项目全年预算数为</w:t>
      </w:r>
      <w:r>
        <w:rPr>
          <w:rFonts w:hint="eastAsia" w:ascii="仿宋_GB2312" w:eastAsia="仿宋_GB2312"/>
          <w:sz w:val="32"/>
          <w:lang w:val="en-US" w:eastAsia="zh-CN"/>
        </w:rPr>
        <w:t>0</w:t>
      </w:r>
      <w:r>
        <w:rPr>
          <w:rFonts w:hint="default" w:ascii="仿宋_GB2312" w:eastAsia="仿宋_GB2312"/>
          <w:sz w:val="32"/>
        </w:rPr>
        <w:t>万元，执行数</w:t>
      </w:r>
      <w:r>
        <w:rPr>
          <w:rFonts w:hint="eastAsia" w:ascii="仿宋_GB2312" w:eastAsia="仿宋_GB2312"/>
          <w:sz w:val="32"/>
          <w:lang w:val="en-US" w:eastAsia="zh-CN"/>
        </w:rPr>
        <w:t>0</w:t>
      </w:r>
      <w:r>
        <w:rPr>
          <w:rFonts w:hint="default" w:ascii="仿宋_GB2312" w:eastAsia="仿宋_GB2312"/>
          <w:sz w:val="32"/>
        </w:rPr>
        <w:t>万元，完成预算的</w:t>
      </w:r>
      <w:r>
        <w:rPr>
          <w:rFonts w:hint="eastAsia" w:ascii="仿宋_GB2312" w:eastAsia="仿宋_GB2312"/>
          <w:sz w:val="32"/>
          <w:lang w:val="en-US" w:eastAsia="zh-CN"/>
        </w:rPr>
        <w:t>0</w:t>
      </w:r>
      <w:r>
        <w:rPr>
          <w:rFonts w:hint="default" w:ascii="仿宋_GB2312" w:eastAsia="仿宋_GB2312"/>
          <w:sz w:val="32"/>
        </w:rPr>
        <w:t>%。项目绩效目标完成情况：</w:t>
      </w:r>
      <w:r>
        <w:rPr>
          <w:rFonts w:hint="eastAsia" w:ascii="仿宋_GB2312" w:eastAsia="仿宋_GB2312"/>
          <w:sz w:val="32"/>
          <w:lang w:eastAsia="zh-CN"/>
        </w:rPr>
        <w:t>组织企事业单位参加网上招聘</w:t>
      </w:r>
      <w:r>
        <w:rPr>
          <w:rFonts w:hint="eastAsia" w:ascii="仿宋_GB2312" w:eastAsia="仿宋_GB2312"/>
          <w:sz w:val="32"/>
          <w:lang w:val="en-US" w:eastAsia="zh-CN"/>
        </w:rPr>
        <w:t>,面向北京、上海、广州、深圳等人才聚集地区和全国双一流高校，持续开展了24场“双一流”高校网络招聘会和10场急需紧缺人才网络招聘会，组织了参会沈阳市企事业单位1500余家。</w:t>
      </w:r>
    </w:p>
    <w:p>
      <w:pPr>
        <w:widowControl/>
        <w:numPr>
          <w:ilvl w:val="0"/>
          <w:numId w:val="1"/>
        </w:numPr>
        <w:spacing w:line="560" w:lineRule="exact"/>
        <w:ind w:firstLine="640" w:firstLineChars="200"/>
        <w:rPr>
          <w:rFonts w:hint="eastAsia" w:ascii="仿宋_GB2312" w:eastAsia="仿宋_GB2312"/>
          <w:sz w:val="32"/>
          <w:lang w:eastAsia="zh-CN"/>
        </w:rPr>
      </w:pPr>
      <w:r>
        <w:rPr>
          <w:rFonts w:hint="eastAsia" w:ascii="仿宋_GB2312" w:eastAsia="仿宋_GB2312"/>
          <w:sz w:val="32"/>
          <w:lang w:eastAsia="zh-CN"/>
        </w:rPr>
        <w:t>高精尖优才集聚工程奖励</w:t>
      </w:r>
      <w:r>
        <w:rPr>
          <w:rFonts w:hint="default" w:ascii="仿宋_GB2312" w:eastAsia="仿宋_GB2312"/>
          <w:sz w:val="32"/>
        </w:rPr>
        <w:t>项目自评综述：根据年初设定的绩效目标，项目自评得分</w:t>
      </w:r>
      <w:r>
        <w:rPr>
          <w:rFonts w:hint="eastAsia" w:ascii="仿宋_GB2312" w:eastAsia="仿宋_GB2312"/>
          <w:sz w:val="32"/>
          <w:lang w:val="en-US" w:eastAsia="zh-CN"/>
        </w:rPr>
        <w:t>24.8</w:t>
      </w:r>
      <w:r>
        <w:rPr>
          <w:rFonts w:hint="default" w:ascii="仿宋_GB2312" w:eastAsia="仿宋_GB2312"/>
          <w:sz w:val="32"/>
        </w:rPr>
        <w:t>分。项目全年预算数为</w:t>
      </w:r>
      <w:r>
        <w:rPr>
          <w:rFonts w:hint="eastAsia" w:ascii="仿宋_GB2312" w:eastAsia="仿宋_GB2312"/>
          <w:sz w:val="32"/>
          <w:lang w:val="en-US" w:eastAsia="zh-CN"/>
        </w:rPr>
        <w:t>0</w:t>
      </w:r>
      <w:r>
        <w:rPr>
          <w:rFonts w:hint="default" w:ascii="仿宋_GB2312" w:eastAsia="仿宋_GB2312"/>
          <w:sz w:val="32"/>
        </w:rPr>
        <w:t>万元，执行数</w:t>
      </w:r>
      <w:r>
        <w:rPr>
          <w:rFonts w:hint="eastAsia" w:ascii="仿宋_GB2312" w:eastAsia="仿宋_GB2312"/>
          <w:sz w:val="32"/>
          <w:lang w:val="en-US" w:eastAsia="zh-CN"/>
        </w:rPr>
        <w:t>0</w:t>
      </w:r>
      <w:r>
        <w:rPr>
          <w:rFonts w:hint="default" w:ascii="仿宋_GB2312" w:eastAsia="仿宋_GB2312"/>
          <w:sz w:val="32"/>
        </w:rPr>
        <w:t>万元，完成预算的</w:t>
      </w:r>
      <w:r>
        <w:rPr>
          <w:rFonts w:hint="eastAsia" w:ascii="仿宋_GB2312" w:eastAsia="仿宋_GB2312"/>
          <w:sz w:val="32"/>
          <w:lang w:val="en-US" w:eastAsia="zh-CN"/>
        </w:rPr>
        <w:t>0</w:t>
      </w:r>
      <w:r>
        <w:rPr>
          <w:rFonts w:hint="default" w:ascii="仿宋_GB2312" w:eastAsia="仿宋_GB2312"/>
          <w:sz w:val="32"/>
        </w:rPr>
        <w:t>%。项目绩效目标完成情况：</w:t>
      </w:r>
      <w:r>
        <w:rPr>
          <w:rFonts w:hint="eastAsia" w:ascii="仿宋_GB2312" w:eastAsia="仿宋_GB2312"/>
          <w:sz w:val="32"/>
          <w:lang w:eastAsia="zh-CN"/>
        </w:rPr>
        <w:t>按照兴辽英才计划重新明确资助人数，评审时间延后。</w:t>
      </w:r>
      <w:r>
        <w:rPr>
          <w:rFonts w:hint="default" w:ascii="仿宋_GB2312" w:eastAsia="仿宋_GB2312"/>
          <w:sz w:val="32"/>
        </w:rPr>
        <w:t>发现的主要问题及原因：因为按照2021年度兴辽英才计划的标准重新明确了此项目的资助人数，导致了评审时间的延后</w:t>
      </w:r>
      <w:r>
        <w:rPr>
          <w:rFonts w:hint="eastAsia" w:ascii="仿宋_GB2312" w:eastAsia="仿宋_GB2312"/>
          <w:sz w:val="32"/>
          <w:lang w:eastAsia="zh-CN"/>
        </w:rPr>
        <w:t>。</w:t>
      </w:r>
      <w:r>
        <w:rPr>
          <w:rFonts w:hint="default" w:ascii="仿宋_GB2312" w:eastAsia="仿宋_GB2312"/>
          <w:sz w:val="32"/>
        </w:rPr>
        <w:t>下一步改进措施：在下一年度的高精尖优才集聚工作中，严格按照兴辽英才的计划，加大此项工作的推进力度</w:t>
      </w:r>
      <w:r>
        <w:rPr>
          <w:rFonts w:hint="eastAsia" w:ascii="仿宋_GB2312" w:eastAsia="仿宋_GB2312"/>
          <w:sz w:val="32"/>
          <w:lang w:eastAsia="zh-CN"/>
        </w:rPr>
        <w:t>。</w:t>
      </w:r>
      <w:bookmarkStart w:id="0" w:name="_GoBack"/>
      <w:bookmarkEnd w:id="0"/>
    </w:p>
    <w:p>
      <w:pPr>
        <w:pStyle w:val="7"/>
        <w:numPr>
          <w:ilvl w:val="0"/>
          <w:numId w:val="0"/>
        </w:numPr>
        <w:spacing w:line="560" w:lineRule="exact"/>
        <w:ind w:firstLine="640" w:firstLineChars="200"/>
        <w:rPr>
          <w:rFonts w:hint="default" w:ascii="仿宋_GB2312" w:eastAsia="仿宋_GB2312"/>
          <w:sz w:val="32"/>
        </w:rPr>
      </w:pPr>
      <w:r>
        <w:rPr>
          <w:rFonts w:hint="eastAsia" w:ascii="仿宋_GB2312" w:eastAsia="仿宋_GB2312"/>
          <w:sz w:val="32"/>
          <w:lang w:val="en-US" w:eastAsia="zh-CN"/>
        </w:rPr>
        <w:t>3.</w:t>
      </w:r>
      <w:r>
        <w:rPr>
          <w:rFonts w:hint="default" w:ascii="仿宋_GB2312" w:eastAsia="仿宋_GB2312"/>
          <w:sz w:val="32"/>
        </w:rPr>
        <w:t>部门重点评价情况。</w:t>
      </w:r>
    </w:p>
    <w:p>
      <w:pPr>
        <w:pStyle w:val="7"/>
        <w:numPr>
          <w:ilvl w:val="0"/>
          <w:numId w:val="0"/>
        </w:numPr>
        <w:spacing w:line="560" w:lineRule="exact"/>
        <w:ind w:firstLine="640" w:firstLineChars="200"/>
        <w:rPr>
          <w:rFonts w:hint="eastAsia" w:ascii="Times New Roman" w:hAnsi="Times New Roman" w:eastAsia="仿宋_GB2312" w:cs="Times New Roman"/>
          <w:kern w:val="0"/>
          <w:szCs w:val="21"/>
          <w:lang w:eastAsia="zh-CN"/>
        </w:rPr>
      </w:pPr>
      <w:r>
        <w:rPr>
          <w:rFonts w:hint="default" w:ascii="仿宋_GB2312" w:eastAsia="仿宋_GB2312"/>
          <w:sz w:val="32"/>
        </w:rPr>
        <w:t>我部门</w:t>
      </w:r>
      <w:r>
        <w:rPr>
          <w:rFonts w:hint="eastAsia" w:ascii="仿宋_GB2312" w:eastAsia="仿宋_GB2312"/>
          <w:sz w:val="32"/>
          <w:lang w:eastAsia="zh-CN"/>
        </w:rPr>
        <w:t>没有重点评价项目。</w:t>
      </w:r>
    </w:p>
    <w:p>
      <w:pPr>
        <w:pStyle w:val="7"/>
        <w:keepNext w:val="0"/>
        <w:keepLines w:val="0"/>
        <w:pageBreakBefore w:val="0"/>
        <w:widowControl/>
        <w:numPr>
          <w:ilvl w:val="0"/>
          <w:numId w:val="0"/>
        </w:numPr>
        <w:kinsoku/>
        <w:wordWrap/>
        <w:overflowPunct/>
        <w:topLinePunct w:val="0"/>
        <w:autoSpaceDE/>
        <w:bidi w:val="0"/>
        <w:adjustRightInd/>
        <w:snapToGrid/>
        <w:spacing w:before="0" w:beforeLines="0" w:after="0" w:afterLines="0" w:line="560" w:lineRule="exact"/>
        <w:ind w:right="0" w:rightChars="0" w:firstLine="640" w:firstLineChars="200"/>
        <w:jc w:val="both"/>
        <w:textAlignment w:val="auto"/>
        <w:outlineLvl w:val="9"/>
        <w:rPr>
          <w:rFonts w:hint="default" w:ascii="仿宋_GB2312" w:eastAsia="仿宋_GB2312"/>
          <w:sz w:val="32"/>
          <w:highlight w:val="none"/>
        </w:rPr>
      </w:pPr>
      <w:r>
        <w:rPr>
          <w:rFonts w:hint="default" w:ascii="仿宋_GB2312" w:eastAsia="仿宋_GB2312"/>
          <w:sz w:val="32"/>
        </w:rPr>
        <w:t>4.其他。制定或者完善制度方面情况</w:t>
      </w:r>
      <w:r>
        <w:rPr>
          <w:rFonts w:hint="eastAsia" w:ascii="仿宋_GB2312" w:eastAsia="仿宋_GB2312"/>
          <w:sz w:val="32"/>
          <w:highlight w:val="none"/>
        </w:rPr>
        <w:t>。从</w:t>
      </w:r>
      <w:r>
        <w:rPr>
          <w:rFonts w:hint="default" w:ascii="仿宋_GB2312" w:eastAsia="仿宋_GB2312"/>
          <w:sz w:val="32"/>
          <w:highlight w:val="none"/>
        </w:rPr>
        <w:t>2018</w:t>
      </w:r>
      <w:r>
        <w:rPr>
          <w:rFonts w:hint="eastAsia" w:ascii="仿宋_GB2312" w:eastAsia="仿宋_GB2312"/>
          <w:sz w:val="32"/>
          <w:highlight w:val="none"/>
        </w:rPr>
        <w:t>年</w:t>
      </w:r>
      <w:r>
        <w:rPr>
          <w:rFonts w:hint="default" w:ascii="仿宋_GB2312" w:eastAsia="仿宋_GB2312"/>
          <w:sz w:val="32"/>
          <w:highlight w:val="none"/>
        </w:rPr>
        <w:t>9</w:t>
      </w:r>
      <w:r>
        <w:rPr>
          <w:rFonts w:hint="eastAsia" w:ascii="仿宋_GB2312" w:eastAsia="仿宋_GB2312"/>
          <w:sz w:val="32"/>
          <w:highlight w:val="none"/>
        </w:rPr>
        <w:t>月至</w:t>
      </w:r>
      <w:r>
        <w:rPr>
          <w:rFonts w:hint="default" w:ascii="仿宋_GB2312" w:eastAsia="仿宋_GB2312"/>
          <w:sz w:val="32"/>
          <w:highlight w:val="none"/>
        </w:rPr>
        <w:t>202</w:t>
      </w:r>
      <w:r>
        <w:rPr>
          <w:rFonts w:hint="eastAsia" w:ascii="仿宋_GB2312" w:eastAsia="仿宋_GB2312"/>
          <w:sz w:val="32"/>
          <w:highlight w:val="none"/>
          <w:lang w:val="en-US" w:eastAsia="zh-CN"/>
        </w:rPr>
        <w:t>1</w:t>
      </w:r>
      <w:r>
        <w:rPr>
          <w:rFonts w:hint="eastAsia" w:ascii="仿宋_GB2312" w:eastAsia="仿宋_GB2312"/>
          <w:sz w:val="32"/>
          <w:highlight w:val="none"/>
        </w:rPr>
        <w:t>年底，累计制定了</w:t>
      </w:r>
      <w:r>
        <w:rPr>
          <w:rFonts w:hint="eastAsia" w:ascii="仿宋_GB2312" w:eastAsia="仿宋_GB2312"/>
          <w:sz w:val="32"/>
          <w:highlight w:val="none"/>
          <w:lang w:val="en-US" w:eastAsia="zh-CN"/>
        </w:rPr>
        <w:t>1</w:t>
      </w:r>
      <w:r>
        <w:rPr>
          <w:rFonts w:hint="eastAsia" w:ascii="仿宋_GB2312" w:eastAsia="仿宋_GB2312"/>
          <w:sz w:val="32"/>
          <w:highlight w:val="none"/>
        </w:rPr>
        <w:t>条预算绩效管理相关制度，对以往的制度进行完善或者修订</w:t>
      </w:r>
      <w:r>
        <w:rPr>
          <w:rFonts w:hint="eastAsia" w:ascii="仿宋_GB2312" w:eastAsia="仿宋_GB2312"/>
          <w:sz w:val="32"/>
          <w:highlight w:val="none"/>
          <w:lang w:val="en-US" w:eastAsia="zh-CN"/>
        </w:rPr>
        <w:t>0</w:t>
      </w:r>
      <w:r>
        <w:rPr>
          <w:rFonts w:hint="eastAsia" w:ascii="仿宋_GB2312" w:eastAsia="仿宋_GB2312"/>
          <w:sz w:val="32"/>
          <w:highlight w:val="none"/>
        </w:rPr>
        <w:t>条。</w:t>
      </w:r>
    </w:p>
    <w:p>
      <w:pPr>
        <w:pStyle w:val="7"/>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jc w:val="both"/>
        <w:textAlignment w:val="auto"/>
        <w:outlineLvl w:val="9"/>
        <w:rPr>
          <w:rFonts w:hint="default" w:ascii="仿宋_GB2312" w:eastAsia="仿宋_GB2312"/>
          <w:sz w:val="32"/>
          <w:highlight w:val="none"/>
        </w:rPr>
      </w:pPr>
      <w:r>
        <w:rPr>
          <w:rFonts w:hint="eastAsia" w:ascii="仿宋_GB2312" w:eastAsia="仿宋_GB2312"/>
          <w:sz w:val="32"/>
          <w:highlight w:val="none"/>
        </w:rPr>
        <w:t>绩效监控管理方面。</w:t>
      </w:r>
      <w:r>
        <w:rPr>
          <w:rFonts w:hint="default" w:ascii="仿宋_GB2312" w:eastAsia="仿宋_GB2312"/>
          <w:sz w:val="32"/>
          <w:highlight w:val="none"/>
        </w:rPr>
        <w:t>202</w:t>
      </w:r>
      <w:r>
        <w:rPr>
          <w:rFonts w:hint="eastAsia" w:ascii="仿宋_GB2312" w:eastAsia="仿宋_GB2312"/>
          <w:sz w:val="32"/>
          <w:highlight w:val="none"/>
          <w:lang w:val="en-US" w:eastAsia="zh-CN"/>
        </w:rPr>
        <w:t>1</w:t>
      </w:r>
      <w:r>
        <w:rPr>
          <w:rFonts w:hint="eastAsia" w:ascii="仿宋_GB2312" w:eastAsia="仿宋_GB2312"/>
          <w:sz w:val="32"/>
          <w:highlight w:val="none"/>
        </w:rPr>
        <w:t>年特定目标类项目</w:t>
      </w:r>
      <w:r>
        <w:rPr>
          <w:rFonts w:hint="eastAsia" w:ascii="仿宋_GB2312" w:eastAsia="仿宋_GB2312"/>
          <w:sz w:val="32"/>
          <w:highlight w:val="none"/>
          <w:lang w:val="en-US" w:eastAsia="zh-CN"/>
        </w:rPr>
        <w:t>21</w:t>
      </w:r>
      <w:r>
        <w:rPr>
          <w:rFonts w:hint="eastAsia" w:ascii="仿宋_GB2312" w:eastAsia="仿宋_GB2312"/>
          <w:sz w:val="32"/>
          <w:highlight w:val="none"/>
        </w:rPr>
        <w:t>个，已对</w:t>
      </w:r>
      <w:r>
        <w:rPr>
          <w:rFonts w:hint="eastAsia" w:ascii="仿宋_GB2312" w:eastAsia="仿宋_GB2312"/>
          <w:sz w:val="32"/>
          <w:highlight w:val="none"/>
          <w:lang w:val="en-US" w:eastAsia="zh-CN"/>
        </w:rPr>
        <w:t>21</w:t>
      </w:r>
      <w:r>
        <w:rPr>
          <w:rFonts w:hint="eastAsia" w:ascii="仿宋_GB2312" w:eastAsia="仿宋_GB2312"/>
          <w:sz w:val="32"/>
          <w:highlight w:val="none"/>
        </w:rPr>
        <w:t>个特定目标类项目进行监控，占比</w:t>
      </w:r>
      <w:r>
        <w:rPr>
          <w:rFonts w:hint="eastAsia" w:ascii="仿宋_GB2312" w:eastAsia="仿宋_GB2312"/>
          <w:sz w:val="32"/>
          <w:highlight w:val="none"/>
          <w:lang w:val="en-US" w:eastAsia="zh-CN"/>
        </w:rPr>
        <w:t>100</w:t>
      </w:r>
      <w:r>
        <w:rPr>
          <w:rFonts w:hint="default" w:ascii="仿宋_GB2312" w:eastAsia="仿宋_GB2312"/>
          <w:sz w:val="32"/>
          <w:highlight w:val="none"/>
        </w:rPr>
        <w:t>%</w:t>
      </w:r>
      <w:r>
        <w:rPr>
          <w:rFonts w:hint="eastAsia" w:ascii="仿宋_GB2312" w:eastAsia="仿宋_GB2312"/>
          <w:sz w:val="32"/>
          <w:highlight w:val="none"/>
        </w:rPr>
        <w:t>，共涉及资金</w:t>
      </w:r>
      <w:r>
        <w:rPr>
          <w:rFonts w:hint="eastAsia" w:ascii="仿宋_GB2312" w:eastAsia="仿宋_GB2312"/>
          <w:sz w:val="32"/>
          <w:lang w:val="en-US" w:eastAsia="zh-CN"/>
        </w:rPr>
        <w:t>30325.62</w:t>
      </w:r>
      <w:r>
        <w:rPr>
          <w:rFonts w:hint="eastAsia" w:ascii="仿宋_GB2312" w:eastAsia="仿宋_GB2312"/>
          <w:sz w:val="32"/>
          <w:highlight w:val="none"/>
        </w:rPr>
        <w:t>万元，发现问题及时纠偏</w:t>
      </w:r>
      <w:r>
        <w:rPr>
          <w:rFonts w:hint="eastAsia" w:ascii="仿宋_GB2312" w:eastAsia="仿宋_GB2312"/>
          <w:sz w:val="32"/>
          <w:highlight w:val="none"/>
          <w:lang w:val="en-US" w:eastAsia="zh-CN"/>
        </w:rPr>
        <w:t>0</w:t>
      </w:r>
      <w:r>
        <w:rPr>
          <w:rFonts w:hint="eastAsia" w:ascii="仿宋_GB2312" w:eastAsia="仿宋_GB2312"/>
          <w:sz w:val="32"/>
          <w:highlight w:val="none"/>
        </w:rPr>
        <w:t>个问题。</w:t>
      </w:r>
    </w:p>
    <w:p>
      <w:pPr>
        <w:pStyle w:val="4"/>
        <w:spacing w:before="0" w:beforeAutospacing="0" w:after="0" w:afterAutospacing="0" w:line="450" w:lineRule="atLeast"/>
        <w:ind w:firstLine="640" w:firstLineChars="200"/>
        <w:contextualSpacing/>
        <w:rPr>
          <w:rFonts w:hint="eastAsia" w:ascii="仿宋" w:hAnsi="仿宋" w:eastAsia="仿宋"/>
          <w:bCs/>
          <w:sz w:val="32"/>
          <w:szCs w:val="32"/>
          <w:lang w:eastAsia="zh-CN"/>
        </w:rPr>
      </w:pPr>
      <w:r>
        <w:rPr>
          <w:rFonts w:hint="eastAsia" w:ascii="仿宋" w:hAnsi="仿宋" w:eastAsia="仿宋"/>
          <w:bCs/>
          <w:sz w:val="32"/>
          <w:szCs w:val="32"/>
        </w:rPr>
        <w:t>我</w:t>
      </w:r>
      <w:r>
        <w:rPr>
          <w:rFonts w:hint="eastAsia" w:ascii="仿宋" w:hAnsi="仿宋" w:eastAsia="仿宋"/>
          <w:bCs/>
          <w:sz w:val="32"/>
          <w:szCs w:val="32"/>
          <w:lang w:eastAsia="zh-CN"/>
        </w:rPr>
        <w:t>局</w:t>
      </w:r>
      <w:r>
        <w:rPr>
          <w:rFonts w:ascii="仿宋" w:hAnsi="仿宋" w:eastAsia="仿宋"/>
          <w:bCs/>
          <w:sz w:val="32"/>
          <w:szCs w:val="32"/>
        </w:rPr>
        <w:t>进一步提高预算绩效管理认识，强化以“绩效为中心、对支出结果负责、对社会公众负责”的理念，加强预算绩效动态监控管理，及时跟踪项目进度，</w:t>
      </w:r>
      <w:r>
        <w:rPr>
          <w:rFonts w:hint="eastAsia" w:ascii="仿宋" w:hAnsi="仿宋" w:eastAsia="仿宋"/>
          <w:bCs/>
          <w:sz w:val="32"/>
          <w:szCs w:val="32"/>
          <w:lang w:eastAsia="zh-CN"/>
        </w:rPr>
        <w:t>组织</w:t>
      </w:r>
      <w:r>
        <w:rPr>
          <w:rFonts w:ascii="仿宋" w:hAnsi="仿宋" w:eastAsia="仿宋"/>
          <w:bCs/>
          <w:sz w:val="32"/>
          <w:szCs w:val="32"/>
        </w:rPr>
        <w:t>相关业务培训，进一步提高预算绩效评价质量</w:t>
      </w:r>
      <w:r>
        <w:rPr>
          <w:rFonts w:hint="eastAsia" w:ascii="仿宋" w:hAnsi="仿宋" w:eastAsia="仿宋"/>
          <w:bCs/>
          <w:sz w:val="32"/>
          <w:szCs w:val="32"/>
          <w:lang w:eastAsia="zh-CN"/>
        </w:rPr>
        <w:t>。</w:t>
      </w:r>
    </w:p>
    <w:p>
      <w:pPr>
        <w:widowControl/>
        <w:numPr>
          <w:ilvl w:val="0"/>
          <w:numId w:val="0"/>
        </w:numPr>
        <w:spacing w:line="560" w:lineRule="exact"/>
        <w:rPr>
          <w:rFonts w:hint="eastAsia" w:ascii="仿宋_GB2312" w:eastAsia="仿宋_GB2312"/>
          <w:sz w:val="32"/>
          <w:lang w:val="en-US" w:eastAsia="zh-CN"/>
        </w:rPr>
      </w:pPr>
    </w:p>
    <w:p>
      <w:pPr>
        <w:widowControl/>
        <w:spacing w:line="560" w:lineRule="exact"/>
        <w:ind w:firstLine="640" w:firstLineChars="200"/>
        <w:rPr>
          <w:rFonts w:hint="default" w:ascii="仿宋_GB2312" w:eastAsia="仿宋_GB2312"/>
          <w:sz w:val="32"/>
          <w:lang w:eastAsia="zh-CN"/>
        </w:rPr>
      </w:pPr>
    </w:p>
    <w:p>
      <w:pPr>
        <w:widowControl/>
        <w:spacing w:line="560" w:lineRule="exact"/>
        <w:ind w:firstLine="640" w:firstLineChars="200"/>
        <w:rPr>
          <w:rFonts w:hint="default" w:ascii="仿宋_GB2312" w:eastAsia="仿宋_GB2312"/>
          <w:sz w:val="32"/>
        </w:rPr>
      </w:pPr>
    </w:p>
    <w:p>
      <w:pPr>
        <w:widowControl/>
        <w:spacing w:line="240" w:lineRule="auto"/>
        <w:rPr>
          <w:rFonts w:hint="eastAsia" w:ascii="仿宋_GB2312" w:eastAsia="仿宋_GB2312"/>
          <w:sz w:val="32"/>
          <w:lang w:eastAsia="zh-CN"/>
        </w:rPr>
      </w:pPr>
    </w:p>
    <w:p>
      <w:pPr>
        <w:widowControl/>
        <w:spacing w:line="240" w:lineRule="auto"/>
        <w:rPr>
          <w:rFonts w:hint="eastAsia" w:ascii="仿宋_GB2312" w:eastAsia="仿宋_GB2312"/>
          <w:sz w:val="32"/>
          <w:lang w:eastAsia="zh-CN"/>
        </w:rPr>
      </w:pPr>
      <w:r>
        <w:rPr>
          <w:rFonts w:hint="eastAsia" w:ascii="仿宋_GB2312" w:eastAsia="仿宋_GB2312"/>
          <w:sz w:val="32"/>
          <w:lang w:eastAsia="zh-CN"/>
        </w:rPr>
        <w:drawing>
          <wp:inline distT="0" distB="0" distL="114300" distR="114300">
            <wp:extent cx="5763260" cy="8375650"/>
            <wp:effectExtent l="0" t="0" r="8890" b="6350"/>
            <wp:docPr id="23" name="图片 23" descr="548001沈阳市人力资源和社会保障局本级-210100000自评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548001沈阳市人力资源和社会保障局本级-210100000自评表"/>
                    <pic:cNvPicPr>
                      <a:picLocks noChangeAspect="1"/>
                    </pic:cNvPicPr>
                  </pic:nvPicPr>
                  <pic:blipFill>
                    <a:blip r:embed="rId6"/>
                    <a:stretch>
                      <a:fillRect/>
                    </a:stretch>
                  </pic:blipFill>
                  <pic:spPr>
                    <a:xfrm>
                      <a:off x="0" y="0"/>
                      <a:ext cx="5763260" cy="8375650"/>
                    </a:xfrm>
                    <a:prstGeom prst="rect">
                      <a:avLst/>
                    </a:prstGeom>
                  </pic:spPr>
                </pic:pic>
              </a:graphicData>
            </a:graphic>
          </wp:inline>
        </w:drawing>
      </w:r>
    </w:p>
    <w:p>
      <w:pPr>
        <w:widowControl/>
        <w:spacing w:line="240" w:lineRule="auto"/>
        <w:rPr>
          <w:rFonts w:hint="eastAsia" w:ascii="仿宋_GB2312" w:eastAsia="仿宋_GB2312"/>
          <w:sz w:val="32"/>
          <w:lang w:eastAsia="zh-CN"/>
        </w:rPr>
      </w:pPr>
      <w:r>
        <w:rPr>
          <w:rFonts w:hint="eastAsia" w:ascii="仿宋_GB2312" w:eastAsia="仿宋_GB2312"/>
          <w:sz w:val="32"/>
          <w:lang w:eastAsia="zh-CN"/>
        </w:rPr>
        <w:drawing>
          <wp:inline distT="0" distB="0" distL="114300" distR="114300">
            <wp:extent cx="5701030" cy="8096250"/>
            <wp:effectExtent l="0" t="0" r="13970" b="0"/>
            <wp:docPr id="1" name="图片 1" descr="“高级技师”购房补贴自评表_A1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高级技师”购房补贴自评表_A1R24"/>
                    <pic:cNvPicPr>
                      <a:picLocks noChangeAspect="1"/>
                    </pic:cNvPicPr>
                  </pic:nvPicPr>
                  <pic:blipFill>
                    <a:blip r:embed="rId7"/>
                    <a:stretch>
                      <a:fillRect/>
                    </a:stretch>
                  </pic:blipFill>
                  <pic:spPr>
                    <a:xfrm>
                      <a:off x="0" y="0"/>
                      <a:ext cx="5701030" cy="8096250"/>
                    </a:xfrm>
                    <a:prstGeom prst="rect">
                      <a:avLst/>
                    </a:prstGeom>
                  </pic:spPr>
                </pic:pic>
              </a:graphicData>
            </a:graphic>
          </wp:inline>
        </w:drawing>
      </w:r>
    </w:p>
    <w:p>
      <w:pPr>
        <w:widowControl/>
        <w:spacing w:line="240" w:lineRule="auto"/>
        <w:rPr>
          <w:rFonts w:hint="eastAsia" w:ascii="仿宋_GB2312" w:eastAsia="仿宋_GB2312"/>
          <w:sz w:val="32"/>
          <w:lang w:eastAsia="zh-CN"/>
        </w:rPr>
      </w:pPr>
      <w:r>
        <w:rPr>
          <w:rFonts w:hint="eastAsia" w:ascii="仿宋_GB2312" w:eastAsia="仿宋_GB2312"/>
          <w:sz w:val="32"/>
          <w:lang w:eastAsia="zh-CN"/>
        </w:rPr>
        <w:drawing>
          <wp:inline distT="0" distB="0" distL="114300" distR="114300">
            <wp:extent cx="5609590" cy="8121650"/>
            <wp:effectExtent l="0" t="0" r="10160" b="12700"/>
            <wp:docPr id="4" name="图片 4" descr="“双元制”校企合作补贴自评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双元制”校企合作补贴自评表"/>
                    <pic:cNvPicPr>
                      <a:picLocks noChangeAspect="1"/>
                    </pic:cNvPicPr>
                  </pic:nvPicPr>
                  <pic:blipFill>
                    <a:blip r:embed="rId8"/>
                    <a:stretch>
                      <a:fillRect/>
                    </a:stretch>
                  </pic:blipFill>
                  <pic:spPr>
                    <a:xfrm>
                      <a:off x="0" y="0"/>
                      <a:ext cx="5609590" cy="8121650"/>
                    </a:xfrm>
                    <a:prstGeom prst="rect">
                      <a:avLst/>
                    </a:prstGeom>
                  </pic:spPr>
                </pic:pic>
              </a:graphicData>
            </a:graphic>
          </wp:inline>
        </w:drawing>
      </w:r>
    </w:p>
    <w:p>
      <w:pPr>
        <w:widowControl/>
        <w:spacing w:line="240" w:lineRule="auto"/>
        <w:rPr>
          <w:rFonts w:hint="eastAsia" w:ascii="仿宋_GB2312" w:eastAsia="仿宋_GB2312"/>
          <w:sz w:val="32"/>
          <w:lang w:eastAsia="zh-CN"/>
        </w:rPr>
      </w:pPr>
      <w:r>
        <w:rPr>
          <w:rFonts w:hint="eastAsia" w:ascii="仿宋_GB2312" w:eastAsia="仿宋_GB2312"/>
          <w:sz w:val="32"/>
          <w:lang w:eastAsia="zh-CN"/>
        </w:rPr>
        <w:drawing>
          <wp:inline distT="0" distB="0" distL="114300" distR="114300">
            <wp:extent cx="5609590" cy="8115935"/>
            <wp:effectExtent l="0" t="0" r="10160" b="18415"/>
            <wp:docPr id="5" name="图片 5" descr="博士后培养工程资助自评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博士后培养工程资助自评表"/>
                    <pic:cNvPicPr>
                      <a:picLocks noChangeAspect="1"/>
                    </pic:cNvPicPr>
                  </pic:nvPicPr>
                  <pic:blipFill>
                    <a:blip r:embed="rId9"/>
                    <a:stretch>
                      <a:fillRect/>
                    </a:stretch>
                  </pic:blipFill>
                  <pic:spPr>
                    <a:xfrm>
                      <a:off x="0" y="0"/>
                      <a:ext cx="5609590" cy="8115935"/>
                    </a:xfrm>
                    <a:prstGeom prst="rect">
                      <a:avLst/>
                    </a:prstGeom>
                  </pic:spPr>
                </pic:pic>
              </a:graphicData>
            </a:graphic>
          </wp:inline>
        </w:drawing>
      </w:r>
    </w:p>
    <w:p>
      <w:pPr>
        <w:widowControl/>
        <w:spacing w:line="240" w:lineRule="auto"/>
        <w:rPr>
          <w:rFonts w:hint="eastAsia" w:ascii="仿宋_GB2312" w:eastAsia="仿宋_GB2312"/>
          <w:sz w:val="32"/>
          <w:lang w:eastAsia="zh-CN"/>
        </w:rPr>
      </w:pPr>
      <w:r>
        <w:rPr>
          <w:rFonts w:hint="eastAsia" w:ascii="仿宋_GB2312" w:eastAsia="仿宋_GB2312"/>
          <w:sz w:val="32"/>
          <w:lang w:eastAsia="zh-CN"/>
        </w:rPr>
        <w:drawing>
          <wp:inline distT="0" distB="0" distL="114300" distR="114300">
            <wp:extent cx="5609590" cy="8190230"/>
            <wp:effectExtent l="0" t="0" r="10160" b="1270"/>
            <wp:docPr id="6" name="图片 6" descr="高层次人才创新创业资助自评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高层次人才创新创业资助自评表"/>
                    <pic:cNvPicPr>
                      <a:picLocks noChangeAspect="1"/>
                    </pic:cNvPicPr>
                  </pic:nvPicPr>
                  <pic:blipFill>
                    <a:blip r:embed="rId10"/>
                    <a:stretch>
                      <a:fillRect/>
                    </a:stretch>
                  </pic:blipFill>
                  <pic:spPr>
                    <a:xfrm>
                      <a:off x="0" y="0"/>
                      <a:ext cx="5609590" cy="8190230"/>
                    </a:xfrm>
                    <a:prstGeom prst="rect">
                      <a:avLst/>
                    </a:prstGeom>
                  </pic:spPr>
                </pic:pic>
              </a:graphicData>
            </a:graphic>
          </wp:inline>
        </w:drawing>
      </w:r>
    </w:p>
    <w:p>
      <w:pPr>
        <w:widowControl/>
        <w:spacing w:line="240" w:lineRule="auto"/>
        <w:rPr>
          <w:rFonts w:hint="eastAsia" w:ascii="仿宋_GB2312" w:eastAsia="仿宋_GB2312"/>
          <w:sz w:val="32"/>
          <w:lang w:eastAsia="zh-CN"/>
        </w:rPr>
      </w:pPr>
      <w:r>
        <w:rPr>
          <w:rFonts w:hint="eastAsia" w:ascii="仿宋_GB2312" w:eastAsia="仿宋_GB2312"/>
          <w:sz w:val="32"/>
          <w:lang w:eastAsia="zh-CN"/>
        </w:rPr>
        <w:drawing>
          <wp:inline distT="0" distB="0" distL="114300" distR="114300">
            <wp:extent cx="5813425" cy="8214995"/>
            <wp:effectExtent l="0" t="0" r="15875" b="14605"/>
            <wp:docPr id="7" name="图片 7" descr="高层次人才税收补贴自评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高层次人才税收补贴自评表"/>
                    <pic:cNvPicPr>
                      <a:picLocks noChangeAspect="1"/>
                    </pic:cNvPicPr>
                  </pic:nvPicPr>
                  <pic:blipFill>
                    <a:blip r:embed="rId11"/>
                    <a:stretch>
                      <a:fillRect/>
                    </a:stretch>
                  </pic:blipFill>
                  <pic:spPr>
                    <a:xfrm>
                      <a:off x="0" y="0"/>
                      <a:ext cx="5813425" cy="8214995"/>
                    </a:xfrm>
                    <a:prstGeom prst="rect">
                      <a:avLst/>
                    </a:prstGeom>
                  </pic:spPr>
                </pic:pic>
              </a:graphicData>
            </a:graphic>
          </wp:inline>
        </w:drawing>
      </w:r>
    </w:p>
    <w:p>
      <w:pPr>
        <w:widowControl/>
        <w:spacing w:line="240" w:lineRule="auto"/>
        <w:rPr>
          <w:rFonts w:hint="eastAsia" w:ascii="仿宋_GB2312" w:eastAsia="仿宋_GB2312"/>
          <w:sz w:val="32"/>
          <w:lang w:eastAsia="zh-CN"/>
        </w:rPr>
      </w:pPr>
      <w:r>
        <w:rPr>
          <w:rFonts w:hint="eastAsia" w:ascii="仿宋_GB2312" w:eastAsia="仿宋_GB2312"/>
          <w:sz w:val="32"/>
          <w:lang w:eastAsia="zh-CN"/>
        </w:rPr>
        <w:drawing>
          <wp:inline distT="0" distB="0" distL="114300" distR="114300">
            <wp:extent cx="5786755" cy="8225790"/>
            <wp:effectExtent l="0" t="0" r="4445" b="3810"/>
            <wp:docPr id="9" name="图片 9" descr="高技能人才培育基地建设经费自评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高技能人才培育基地建设经费自评表"/>
                    <pic:cNvPicPr>
                      <a:picLocks noChangeAspect="1"/>
                    </pic:cNvPicPr>
                  </pic:nvPicPr>
                  <pic:blipFill>
                    <a:blip r:embed="rId12"/>
                    <a:stretch>
                      <a:fillRect/>
                    </a:stretch>
                  </pic:blipFill>
                  <pic:spPr>
                    <a:xfrm>
                      <a:off x="0" y="0"/>
                      <a:ext cx="5786755" cy="8225790"/>
                    </a:xfrm>
                    <a:prstGeom prst="rect">
                      <a:avLst/>
                    </a:prstGeom>
                  </pic:spPr>
                </pic:pic>
              </a:graphicData>
            </a:graphic>
          </wp:inline>
        </w:drawing>
      </w:r>
    </w:p>
    <w:p>
      <w:pPr>
        <w:widowControl/>
        <w:spacing w:line="240" w:lineRule="auto"/>
        <w:rPr>
          <w:rFonts w:hint="eastAsia" w:ascii="仿宋_GB2312" w:eastAsia="仿宋_GB2312"/>
          <w:sz w:val="32"/>
          <w:lang w:eastAsia="zh-CN"/>
        </w:rPr>
      </w:pPr>
      <w:r>
        <w:rPr>
          <w:rFonts w:hint="eastAsia" w:ascii="仿宋_GB2312" w:eastAsia="仿宋_GB2312"/>
          <w:sz w:val="32"/>
          <w:lang w:eastAsia="zh-CN"/>
        </w:rPr>
        <w:drawing>
          <wp:inline distT="0" distB="0" distL="114300" distR="114300">
            <wp:extent cx="5609590" cy="8136255"/>
            <wp:effectExtent l="0" t="0" r="10160" b="17145"/>
            <wp:docPr id="10" name="图片 10" descr="候鸟型人才工作站奖励自评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候鸟型人才工作站奖励自评表"/>
                    <pic:cNvPicPr>
                      <a:picLocks noChangeAspect="1"/>
                    </pic:cNvPicPr>
                  </pic:nvPicPr>
                  <pic:blipFill>
                    <a:blip r:embed="rId13"/>
                    <a:stretch>
                      <a:fillRect/>
                    </a:stretch>
                  </pic:blipFill>
                  <pic:spPr>
                    <a:xfrm>
                      <a:off x="0" y="0"/>
                      <a:ext cx="5609590" cy="8136255"/>
                    </a:xfrm>
                    <a:prstGeom prst="rect">
                      <a:avLst/>
                    </a:prstGeom>
                  </pic:spPr>
                </pic:pic>
              </a:graphicData>
            </a:graphic>
          </wp:inline>
        </w:drawing>
      </w:r>
    </w:p>
    <w:p>
      <w:pPr>
        <w:widowControl/>
        <w:spacing w:line="240" w:lineRule="auto"/>
        <w:rPr>
          <w:rFonts w:hint="eastAsia" w:ascii="仿宋_GB2312" w:eastAsia="仿宋_GB2312"/>
          <w:sz w:val="32"/>
          <w:lang w:eastAsia="zh-CN"/>
        </w:rPr>
      </w:pPr>
      <w:r>
        <w:rPr>
          <w:rFonts w:hint="eastAsia" w:ascii="仿宋_GB2312" w:eastAsia="仿宋_GB2312"/>
          <w:sz w:val="32"/>
          <w:lang w:eastAsia="zh-CN"/>
        </w:rPr>
        <w:drawing>
          <wp:inline distT="0" distB="0" distL="114300" distR="114300">
            <wp:extent cx="5732145" cy="8084820"/>
            <wp:effectExtent l="0" t="0" r="1905" b="11430"/>
            <wp:docPr id="11" name="图片 11" descr="技能人才选拔激励奖励资金自评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技能人才选拔激励奖励资金自评表"/>
                    <pic:cNvPicPr>
                      <a:picLocks noChangeAspect="1"/>
                    </pic:cNvPicPr>
                  </pic:nvPicPr>
                  <pic:blipFill>
                    <a:blip r:embed="rId14"/>
                    <a:stretch>
                      <a:fillRect/>
                    </a:stretch>
                  </pic:blipFill>
                  <pic:spPr>
                    <a:xfrm>
                      <a:off x="0" y="0"/>
                      <a:ext cx="5732145" cy="8084820"/>
                    </a:xfrm>
                    <a:prstGeom prst="rect">
                      <a:avLst/>
                    </a:prstGeom>
                  </pic:spPr>
                </pic:pic>
              </a:graphicData>
            </a:graphic>
          </wp:inline>
        </w:drawing>
      </w:r>
    </w:p>
    <w:p>
      <w:pPr>
        <w:widowControl/>
        <w:spacing w:line="240" w:lineRule="auto"/>
        <w:rPr>
          <w:rFonts w:hint="eastAsia" w:ascii="仿宋_GB2312" w:eastAsia="仿宋_GB2312"/>
          <w:sz w:val="32"/>
          <w:lang w:eastAsia="zh-CN"/>
        </w:rPr>
      </w:pPr>
      <w:r>
        <w:rPr>
          <w:rFonts w:hint="eastAsia" w:ascii="仿宋_GB2312" w:eastAsia="仿宋_GB2312"/>
          <w:sz w:val="32"/>
          <w:lang w:eastAsia="zh-CN"/>
        </w:rPr>
        <w:drawing>
          <wp:inline distT="0" distB="0" distL="114300" distR="114300">
            <wp:extent cx="5609590" cy="8278495"/>
            <wp:effectExtent l="0" t="0" r="10160" b="8255"/>
            <wp:docPr id="12" name="图片 12" descr="中青科技英才培养工程奖励自评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中青科技英才培养工程奖励自评表"/>
                    <pic:cNvPicPr>
                      <a:picLocks noChangeAspect="1"/>
                    </pic:cNvPicPr>
                  </pic:nvPicPr>
                  <pic:blipFill>
                    <a:blip r:embed="rId15"/>
                    <a:stretch>
                      <a:fillRect/>
                    </a:stretch>
                  </pic:blipFill>
                  <pic:spPr>
                    <a:xfrm>
                      <a:off x="0" y="0"/>
                      <a:ext cx="5609590" cy="8278495"/>
                    </a:xfrm>
                    <a:prstGeom prst="rect">
                      <a:avLst/>
                    </a:prstGeom>
                  </pic:spPr>
                </pic:pic>
              </a:graphicData>
            </a:graphic>
          </wp:inline>
        </w:drawing>
      </w:r>
    </w:p>
    <w:p>
      <w:pPr>
        <w:widowControl/>
        <w:spacing w:line="240" w:lineRule="auto"/>
        <w:rPr>
          <w:rFonts w:hint="eastAsia" w:ascii="仿宋_GB2312" w:eastAsia="仿宋_GB2312"/>
          <w:sz w:val="32"/>
          <w:lang w:eastAsia="zh-CN"/>
        </w:rPr>
      </w:pPr>
      <w:r>
        <w:rPr>
          <w:rFonts w:hint="eastAsia" w:ascii="仿宋_GB2312" w:eastAsia="仿宋_GB2312"/>
          <w:sz w:val="32"/>
          <w:lang w:eastAsia="zh-CN"/>
        </w:rPr>
        <w:drawing>
          <wp:inline distT="0" distB="0" distL="114300" distR="114300">
            <wp:extent cx="5609590" cy="8182610"/>
            <wp:effectExtent l="0" t="0" r="10160" b="8890"/>
            <wp:docPr id="13" name="图片 13" descr="紧缺急需人才目录编制和奖励补贴自评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紧缺急需人才目录编制和奖励补贴自评表"/>
                    <pic:cNvPicPr>
                      <a:picLocks noChangeAspect="1"/>
                    </pic:cNvPicPr>
                  </pic:nvPicPr>
                  <pic:blipFill>
                    <a:blip r:embed="rId16"/>
                    <a:stretch>
                      <a:fillRect/>
                    </a:stretch>
                  </pic:blipFill>
                  <pic:spPr>
                    <a:xfrm>
                      <a:off x="0" y="0"/>
                      <a:ext cx="5609590" cy="8182610"/>
                    </a:xfrm>
                    <a:prstGeom prst="rect">
                      <a:avLst/>
                    </a:prstGeom>
                  </pic:spPr>
                </pic:pic>
              </a:graphicData>
            </a:graphic>
          </wp:inline>
        </w:drawing>
      </w:r>
    </w:p>
    <w:p>
      <w:pPr>
        <w:widowControl/>
        <w:spacing w:line="240" w:lineRule="auto"/>
        <w:rPr>
          <w:rFonts w:hint="eastAsia" w:ascii="仿宋_GB2312" w:eastAsia="仿宋_GB2312"/>
          <w:sz w:val="32"/>
          <w:lang w:eastAsia="zh-CN"/>
        </w:rPr>
      </w:pPr>
      <w:r>
        <w:rPr>
          <w:rFonts w:hint="eastAsia" w:ascii="仿宋_GB2312" w:eastAsia="仿宋_GB2312"/>
          <w:sz w:val="32"/>
          <w:lang w:eastAsia="zh-CN"/>
        </w:rPr>
        <w:drawing>
          <wp:inline distT="0" distB="0" distL="114300" distR="114300">
            <wp:extent cx="5609590" cy="8136890"/>
            <wp:effectExtent l="0" t="0" r="10160" b="16510"/>
            <wp:docPr id="14" name="图片 14" descr="开展专家服务基层工作经费自评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开展专家服务基层工作经费自评表"/>
                    <pic:cNvPicPr>
                      <a:picLocks noChangeAspect="1"/>
                    </pic:cNvPicPr>
                  </pic:nvPicPr>
                  <pic:blipFill>
                    <a:blip r:embed="rId17"/>
                    <a:stretch>
                      <a:fillRect/>
                    </a:stretch>
                  </pic:blipFill>
                  <pic:spPr>
                    <a:xfrm>
                      <a:off x="0" y="0"/>
                      <a:ext cx="5609590" cy="8136890"/>
                    </a:xfrm>
                    <a:prstGeom prst="rect">
                      <a:avLst/>
                    </a:prstGeom>
                  </pic:spPr>
                </pic:pic>
              </a:graphicData>
            </a:graphic>
          </wp:inline>
        </w:drawing>
      </w:r>
    </w:p>
    <w:p>
      <w:pPr>
        <w:widowControl/>
        <w:spacing w:line="240" w:lineRule="auto"/>
        <w:rPr>
          <w:rFonts w:hint="eastAsia" w:ascii="仿宋_GB2312" w:eastAsia="仿宋_GB2312"/>
          <w:sz w:val="32"/>
          <w:lang w:eastAsia="zh-CN"/>
        </w:rPr>
      </w:pPr>
      <w:r>
        <w:rPr>
          <w:rFonts w:hint="eastAsia" w:ascii="仿宋_GB2312" w:eastAsia="仿宋_GB2312"/>
          <w:sz w:val="32"/>
          <w:lang w:eastAsia="zh-CN"/>
        </w:rPr>
        <w:drawing>
          <wp:inline distT="0" distB="0" distL="114300" distR="114300">
            <wp:extent cx="5777865" cy="8492490"/>
            <wp:effectExtent l="0" t="0" r="13335" b="3810"/>
            <wp:docPr id="15" name="图片 15" descr="留学归国博士创新创业补贴自评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留学归国博士创新创业补贴自评表"/>
                    <pic:cNvPicPr>
                      <a:picLocks noChangeAspect="1"/>
                    </pic:cNvPicPr>
                  </pic:nvPicPr>
                  <pic:blipFill>
                    <a:blip r:embed="rId18"/>
                    <a:stretch>
                      <a:fillRect/>
                    </a:stretch>
                  </pic:blipFill>
                  <pic:spPr>
                    <a:xfrm>
                      <a:off x="0" y="0"/>
                      <a:ext cx="5777865" cy="8492490"/>
                    </a:xfrm>
                    <a:prstGeom prst="rect">
                      <a:avLst/>
                    </a:prstGeom>
                  </pic:spPr>
                </pic:pic>
              </a:graphicData>
            </a:graphic>
          </wp:inline>
        </w:drawing>
      </w:r>
    </w:p>
    <w:p>
      <w:pPr>
        <w:pStyle w:val="7"/>
        <w:spacing w:line="240" w:lineRule="auto"/>
        <w:rPr>
          <w:rFonts w:hint="eastAsia" w:ascii="仿宋_GB2312" w:eastAsia="仿宋_GB2312"/>
          <w:sz w:val="32"/>
          <w:lang w:eastAsia="zh-CN"/>
        </w:rPr>
      </w:pPr>
      <w:r>
        <w:rPr>
          <w:rFonts w:hint="eastAsia" w:ascii="仿宋_GB2312" w:eastAsia="仿宋_GB2312"/>
          <w:sz w:val="32"/>
          <w:lang w:eastAsia="zh-CN"/>
        </w:rPr>
        <w:drawing>
          <wp:inline distT="0" distB="0" distL="114300" distR="114300">
            <wp:extent cx="5609590" cy="8465820"/>
            <wp:effectExtent l="0" t="0" r="10160" b="11430"/>
            <wp:docPr id="16" name="图片 16" descr="落实沈阳市政府特殊津贴制度经费自评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落实沈阳市政府特殊津贴制度经费自评表"/>
                    <pic:cNvPicPr>
                      <a:picLocks noChangeAspect="1"/>
                    </pic:cNvPicPr>
                  </pic:nvPicPr>
                  <pic:blipFill>
                    <a:blip r:embed="rId19"/>
                    <a:stretch>
                      <a:fillRect/>
                    </a:stretch>
                  </pic:blipFill>
                  <pic:spPr>
                    <a:xfrm>
                      <a:off x="0" y="0"/>
                      <a:ext cx="5609590" cy="8465820"/>
                    </a:xfrm>
                    <a:prstGeom prst="rect">
                      <a:avLst/>
                    </a:prstGeom>
                  </pic:spPr>
                </pic:pic>
              </a:graphicData>
            </a:graphic>
          </wp:inline>
        </w:drawing>
      </w:r>
    </w:p>
    <w:p>
      <w:pPr>
        <w:pStyle w:val="7"/>
        <w:spacing w:line="240" w:lineRule="auto"/>
        <w:rPr>
          <w:rFonts w:hint="eastAsia" w:ascii="仿宋_GB2312" w:eastAsia="仿宋_GB2312"/>
          <w:sz w:val="32"/>
          <w:lang w:eastAsia="zh-CN"/>
        </w:rPr>
      </w:pPr>
      <w:r>
        <w:rPr>
          <w:rFonts w:hint="eastAsia" w:ascii="仿宋_GB2312" w:eastAsia="仿宋_GB2312"/>
          <w:sz w:val="32"/>
          <w:lang w:eastAsia="zh-CN"/>
        </w:rPr>
        <w:drawing>
          <wp:inline distT="0" distB="0" distL="114300" distR="114300">
            <wp:extent cx="5609590" cy="8047990"/>
            <wp:effectExtent l="0" t="0" r="10160" b="10160"/>
            <wp:docPr id="17" name="图片 17" descr="乡村振兴人才奖励自评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乡村振兴人才奖励自评表"/>
                    <pic:cNvPicPr>
                      <a:picLocks noChangeAspect="1"/>
                    </pic:cNvPicPr>
                  </pic:nvPicPr>
                  <pic:blipFill>
                    <a:blip r:embed="rId20"/>
                    <a:stretch>
                      <a:fillRect/>
                    </a:stretch>
                  </pic:blipFill>
                  <pic:spPr>
                    <a:xfrm>
                      <a:off x="0" y="0"/>
                      <a:ext cx="5609590" cy="8047990"/>
                    </a:xfrm>
                    <a:prstGeom prst="rect">
                      <a:avLst/>
                    </a:prstGeom>
                  </pic:spPr>
                </pic:pic>
              </a:graphicData>
            </a:graphic>
          </wp:inline>
        </w:drawing>
      </w:r>
    </w:p>
    <w:p>
      <w:pPr>
        <w:pStyle w:val="7"/>
        <w:spacing w:line="240" w:lineRule="auto"/>
        <w:rPr>
          <w:rFonts w:hint="eastAsia" w:ascii="仿宋_GB2312" w:eastAsia="仿宋_GB2312"/>
          <w:sz w:val="32"/>
          <w:lang w:eastAsia="zh-CN"/>
        </w:rPr>
      </w:pPr>
      <w:r>
        <w:rPr>
          <w:rFonts w:hint="eastAsia" w:ascii="仿宋_GB2312" w:eastAsia="仿宋_GB2312"/>
          <w:sz w:val="32"/>
          <w:lang w:eastAsia="zh-CN"/>
        </w:rPr>
        <w:drawing>
          <wp:inline distT="0" distB="0" distL="114300" distR="114300">
            <wp:extent cx="5609590" cy="8126095"/>
            <wp:effectExtent l="0" t="0" r="10160" b="8255"/>
            <wp:docPr id="18" name="图片 18" descr="引博工程资助自评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引博工程资助自评表"/>
                    <pic:cNvPicPr>
                      <a:picLocks noChangeAspect="1"/>
                    </pic:cNvPicPr>
                  </pic:nvPicPr>
                  <pic:blipFill>
                    <a:blip r:embed="rId21"/>
                    <a:stretch>
                      <a:fillRect/>
                    </a:stretch>
                  </pic:blipFill>
                  <pic:spPr>
                    <a:xfrm>
                      <a:off x="0" y="0"/>
                      <a:ext cx="5609590" cy="8126095"/>
                    </a:xfrm>
                    <a:prstGeom prst="rect">
                      <a:avLst/>
                    </a:prstGeom>
                  </pic:spPr>
                </pic:pic>
              </a:graphicData>
            </a:graphic>
          </wp:inline>
        </w:drawing>
      </w:r>
    </w:p>
    <w:p>
      <w:pPr>
        <w:pStyle w:val="7"/>
        <w:spacing w:line="240" w:lineRule="auto"/>
        <w:rPr>
          <w:rFonts w:hint="eastAsia" w:ascii="仿宋_GB2312" w:eastAsia="仿宋_GB2312"/>
          <w:sz w:val="32"/>
          <w:lang w:eastAsia="zh-CN"/>
        </w:rPr>
      </w:pPr>
      <w:r>
        <w:rPr>
          <w:rFonts w:hint="eastAsia" w:ascii="仿宋_GB2312" w:eastAsia="仿宋_GB2312"/>
          <w:sz w:val="32"/>
          <w:lang w:eastAsia="zh-CN"/>
        </w:rPr>
        <w:drawing>
          <wp:inline distT="0" distB="0" distL="114300" distR="114300">
            <wp:extent cx="5609590" cy="8167370"/>
            <wp:effectExtent l="0" t="0" r="10160" b="5080"/>
            <wp:docPr id="19" name="图片 19" descr="优秀高技能人才项目奖励经费自评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优秀高技能人才项目奖励经费自评表"/>
                    <pic:cNvPicPr>
                      <a:picLocks noChangeAspect="1"/>
                    </pic:cNvPicPr>
                  </pic:nvPicPr>
                  <pic:blipFill>
                    <a:blip r:embed="rId22"/>
                    <a:stretch>
                      <a:fillRect/>
                    </a:stretch>
                  </pic:blipFill>
                  <pic:spPr>
                    <a:xfrm>
                      <a:off x="0" y="0"/>
                      <a:ext cx="5609590" cy="8167370"/>
                    </a:xfrm>
                    <a:prstGeom prst="rect">
                      <a:avLst/>
                    </a:prstGeom>
                  </pic:spPr>
                </pic:pic>
              </a:graphicData>
            </a:graphic>
          </wp:inline>
        </w:drawing>
      </w:r>
    </w:p>
    <w:p>
      <w:pPr>
        <w:pStyle w:val="7"/>
        <w:spacing w:line="240" w:lineRule="auto"/>
        <w:rPr>
          <w:rFonts w:hint="eastAsia" w:ascii="仿宋_GB2312" w:eastAsia="仿宋_GB2312"/>
          <w:sz w:val="32"/>
          <w:lang w:eastAsia="zh-CN"/>
        </w:rPr>
      </w:pPr>
      <w:r>
        <w:rPr>
          <w:rFonts w:hint="eastAsia" w:ascii="仿宋_GB2312" w:eastAsia="仿宋_GB2312"/>
          <w:sz w:val="32"/>
          <w:lang w:eastAsia="zh-CN"/>
        </w:rPr>
        <w:drawing>
          <wp:inline distT="0" distB="0" distL="114300" distR="114300">
            <wp:extent cx="5737225" cy="8082915"/>
            <wp:effectExtent l="0" t="0" r="15875" b="13335"/>
            <wp:docPr id="20" name="图片 20" descr="院校输送毕业生奖励自评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院校输送毕业生奖励自评表"/>
                    <pic:cNvPicPr>
                      <a:picLocks noChangeAspect="1"/>
                    </pic:cNvPicPr>
                  </pic:nvPicPr>
                  <pic:blipFill>
                    <a:blip r:embed="rId23"/>
                    <a:stretch>
                      <a:fillRect/>
                    </a:stretch>
                  </pic:blipFill>
                  <pic:spPr>
                    <a:xfrm>
                      <a:off x="0" y="0"/>
                      <a:ext cx="5737225" cy="8082915"/>
                    </a:xfrm>
                    <a:prstGeom prst="rect">
                      <a:avLst/>
                    </a:prstGeom>
                  </pic:spPr>
                </pic:pic>
              </a:graphicData>
            </a:graphic>
          </wp:inline>
        </w:drawing>
      </w:r>
    </w:p>
    <w:p>
      <w:pPr>
        <w:pStyle w:val="7"/>
        <w:spacing w:line="240" w:lineRule="auto"/>
        <w:rPr>
          <w:rFonts w:hint="eastAsia" w:ascii="仿宋_GB2312" w:eastAsia="仿宋_GB2312"/>
          <w:sz w:val="32"/>
          <w:lang w:eastAsia="zh-CN"/>
        </w:rPr>
      </w:pPr>
      <w:r>
        <w:rPr>
          <w:rFonts w:hint="eastAsia" w:ascii="仿宋_GB2312" w:eastAsia="仿宋_GB2312"/>
          <w:sz w:val="32"/>
          <w:lang w:eastAsia="zh-CN"/>
        </w:rPr>
        <w:drawing>
          <wp:inline distT="0" distB="0" distL="114300" distR="114300">
            <wp:extent cx="5750560" cy="8081010"/>
            <wp:effectExtent l="0" t="0" r="2540" b="15240"/>
            <wp:docPr id="21" name="图片 21" descr="中介组织和个人引进人才及团队奖励自评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中介组织和个人引进人才及团队奖励自评表"/>
                    <pic:cNvPicPr>
                      <a:picLocks noChangeAspect="1"/>
                    </pic:cNvPicPr>
                  </pic:nvPicPr>
                  <pic:blipFill>
                    <a:blip r:embed="rId24"/>
                    <a:stretch>
                      <a:fillRect/>
                    </a:stretch>
                  </pic:blipFill>
                  <pic:spPr>
                    <a:xfrm>
                      <a:off x="0" y="0"/>
                      <a:ext cx="5750560" cy="8081010"/>
                    </a:xfrm>
                    <a:prstGeom prst="rect">
                      <a:avLst/>
                    </a:prstGeom>
                  </pic:spPr>
                </pic:pic>
              </a:graphicData>
            </a:graphic>
          </wp:inline>
        </w:drawing>
      </w:r>
    </w:p>
    <w:p>
      <w:pPr>
        <w:pStyle w:val="7"/>
        <w:spacing w:line="240" w:lineRule="auto"/>
        <w:rPr>
          <w:rFonts w:hint="default" w:ascii="仿宋_GB2312" w:eastAsia="仿宋_GB2312"/>
          <w:sz w:val="32"/>
          <w:lang w:eastAsia="zh-CN"/>
        </w:rPr>
      </w:pPr>
      <w:r>
        <w:rPr>
          <w:rFonts w:hint="default" w:ascii="仿宋_GB2312" w:eastAsia="仿宋_GB2312"/>
          <w:sz w:val="32"/>
          <w:lang w:eastAsia="zh-CN"/>
        </w:rPr>
        <w:drawing>
          <wp:inline distT="0" distB="0" distL="114300" distR="114300">
            <wp:extent cx="5775325" cy="8850630"/>
            <wp:effectExtent l="0" t="0" r="15875" b="7620"/>
            <wp:docPr id="2" name="图片 2" descr="“盛京大工匠”评选经费自评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盛京大工匠”评选经费自评表"/>
                    <pic:cNvPicPr>
                      <a:picLocks noChangeAspect="1"/>
                    </pic:cNvPicPr>
                  </pic:nvPicPr>
                  <pic:blipFill>
                    <a:blip r:embed="rId25"/>
                    <a:stretch>
                      <a:fillRect/>
                    </a:stretch>
                  </pic:blipFill>
                  <pic:spPr>
                    <a:xfrm>
                      <a:off x="0" y="0"/>
                      <a:ext cx="5775325" cy="8850630"/>
                    </a:xfrm>
                    <a:prstGeom prst="rect">
                      <a:avLst/>
                    </a:prstGeom>
                  </pic:spPr>
                </pic:pic>
              </a:graphicData>
            </a:graphic>
          </wp:inline>
        </w:drawing>
      </w:r>
    </w:p>
    <w:p>
      <w:pPr>
        <w:pStyle w:val="7"/>
        <w:spacing w:line="240" w:lineRule="auto"/>
        <w:rPr>
          <w:rFonts w:hint="default" w:ascii="仿宋_GB2312" w:eastAsia="仿宋_GB2312"/>
          <w:sz w:val="32"/>
          <w:lang w:eastAsia="zh-CN"/>
        </w:rPr>
      </w:pPr>
      <w:r>
        <w:rPr>
          <w:rFonts w:hint="default" w:ascii="仿宋_GB2312" w:eastAsia="仿宋_GB2312"/>
          <w:sz w:val="32"/>
          <w:lang w:eastAsia="zh-CN"/>
        </w:rPr>
        <w:drawing>
          <wp:inline distT="0" distB="0" distL="114300" distR="114300">
            <wp:extent cx="5609590" cy="8681085"/>
            <wp:effectExtent l="0" t="0" r="10160" b="5715"/>
            <wp:docPr id="3" name="图片 3" descr="548001沈阳市人力资源和社会保障局本级-210100000“招才引智”系列招聘活动经费自评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48001沈阳市人力资源和社会保障局本级-210100000“招才引智”系列招聘活动经费自评表"/>
                    <pic:cNvPicPr>
                      <a:picLocks noChangeAspect="1"/>
                    </pic:cNvPicPr>
                  </pic:nvPicPr>
                  <pic:blipFill>
                    <a:blip r:embed="rId26"/>
                    <a:stretch>
                      <a:fillRect/>
                    </a:stretch>
                  </pic:blipFill>
                  <pic:spPr>
                    <a:xfrm>
                      <a:off x="0" y="0"/>
                      <a:ext cx="5609590" cy="8681085"/>
                    </a:xfrm>
                    <a:prstGeom prst="rect">
                      <a:avLst/>
                    </a:prstGeom>
                  </pic:spPr>
                </pic:pic>
              </a:graphicData>
            </a:graphic>
          </wp:inline>
        </w:drawing>
      </w:r>
    </w:p>
    <w:p>
      <w:pPr>
        <w:pStyle w:val="7"/>
        <w:spacing w:line="240" w:lineRule="auto"/>
        <w:rPr>
          <w:rFonts w:hint="default" w:ascii="仿宋_GB2312" w:eastAsia="仿宋_GB2312"/>
          <w:sz w:val="32"/>
          <w:lang w:eastAsia="zh-CN"/>
        </w:rPr>
      </w:pPr>
      <w:r>
        <w:rPr>
          <w:rFonts w:hint="default" w:ascii="仿宋_GB2312" w:eastAsia="仿宋_GB2312"/>
          <w:sz w:val="32"/>
          <w:lang w:eastAsia="zh-CN"/>
        </w:rPr>
        <w:drawing>
          <wp:inline distT="0" distB="0" distL="114300" distR="114300">
            <wp:extent cx="5713095" cy="8573135"/>
            <wp:effectExtent l="0" t="0" r="1905" b="18415"/>
            <wp:docPr id="8" name="图片 8" descr="548001沈阳市人力资源和社会保障局本级-210100000高精尖优才集聚工程奖励自评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48001沈阳市人力资源和社会保障局本级-210100000高精尖优才集聚工程奖励自评表"/>
                    <pic:cNvPicPr>
                      <a:picLocks noChangeAspect="1"/>
                    </pic:cNvPicPr>
                  </pic:nvPicPr>
                  <pic:blipFill>
                    <a:blip r:embed="rId27"/>
                    <a:stretch>
                      <a:fillRect/>
                    </a:stretch>
                  </pic:blipFill>
                  <pic:spPr>
                    <a:xfrm>
                      <a:off x="0" y="0"/>
                      <a:ext cx="5713095" cy="8573135"/>
                    </a:xfrm>
                    <a:prstGeom prst="rect">
                      <a:avLst/>
                    </a:prstGeom>
                  </pic:spPr>
                </pic:pic>
              </a:graphicData>
            </a:graphic>
          </wp:inline>
        </w:drawing>
      </w:r>
    </w:p>
    <w:p>
      <w:pPr>
        <w:pStyle w:val="10"/>
        <w:autoSpaceDN w:val="0"/>
        <w:spacing w:line="560" w:lineRule="exact"/>
        <w:jc w:val="center"/>
        <w:rPr>
          <w:b/>
          <w:bCs/>
          <w:sz w:val="36"/>
          <w:szCs w:val="36"/>
        </w:rPr>
      </w:pPr>
      <w:r>
        <w:rPr>
          <w:rFonts w:hint="eastAsia"/>
          <w:b/>
          <w:bCs/>
          <w:sz w:val="36"/>
          <w:szCs w:val="36"/>
        </w:rPr>
        <w:t>第三部分 名词解释</w:t>
      </w:r>
    </w:p>
    <w:p>
      <w:pPr>
        <w:pStyle w:val="7"/>
        <w:spacing w:line="560" w:lineRule="exact"/>
        <w:ind w:firstLine="627"/>
        <w:rPr>
          <w:rFonts w:hint="default" w:ascii="仿宋_GB2312" w:eastAsia="仿宋_GB2312"/>
          <w:b/>
          <w:sz w:val="32"/>
        </w:rPr>
      </w:pPr>
      <w:r>
        <w:rPr>
          <w:rFonts w:ascii="仿宋_GB2312" w:eastAsia="仿宋_GB2312"/>
          <w:b/>
          <w:sz w:val="32"/>
        </w:rPr>
        <w:t>1.财政拨款收入：</w:t>
      </w:r>
      <w:r>
        <w:rPr>
          <w:rFonts w:ascii="仿宋_GB2312" w:eastAsia="仿宋_GB2312"/>
          <w:sz w:val="32"/>
        </w:rPr>
        <w:t>指单位从同级财政部门取得的财政预算资金。</w:t>
      </w:r>
    </w:p>
    <w:p>
      <w:pPr>
        <w:pStyle w:val="7"/>
        <w:spacing w:line="560" w:lineRule="exact"/>
        <w:ind w:firstLine="640"/>
        <w:rPr>
          <w:rFonts w:hint="default" w:ascii="仿宋_GB2312" w:eastAsia="仿宋_GB2312"/>
          <w:sz w:val="32"/>
        </w:rPr>
      </w:pPr>
      <w:r>
        <w:rPr>
          <w:rFonts w:ascii="仿宋_GB2312" w:eastAsia="仿宋_GB2312"/>
          <w:b/>
          <w:sz w:val="32"/>
        </w:rPr>
        <w:t>2.上级补助收入：</w:t>
      </w:r>
      <w:r>
        <w:rPr>
          <w:rFonts w:ascii="仿宋_GB2312" w:eastAsia="仿宋_GB2312"/>
          <w:sz w:val="32"/>
        </w:rPr>
        <w:t>指单位从主管部门和上级单位取得的非财政性补助收入。</w:t>
      </w:r>
    </w:p>
    <w:p>
      <w:pPr>
        <w:pStyle w:val="7"/>
        <w:spacing w:line="560" w:lineRule="exact"/>
        <w:ind w:firstLine="640"/>
        <w:rPr>
          <w:rFonts w:hint="default" w:ascii="仿宋_GB2312" w:eastAsia="仿宋_GB2312"/>
          <w:sz w:val="32"/>
        </w:rPr>
      </w:pPr>
      <w:r>
        <w:rPr>
          <w:rFonts w:ascii="仿宋_GB2312" w:eastAsia="仿宋_GB2312"/>
          <w:b/>
          <w:sz w:val="32"/>
        </w:rPr>
        <w:t>3.事业收入：</w:t>
      </w:r>
      <w:r>
        <w:rPr>
          <w:rFonts w:ascii="仿宋_GB2312" w:eastAsia="仿宋_GB2312"/>
          <w:sz w:val="32"/>
        </w:rPr>
        <w:t>指事业单位开展专业业务活动及辅助活动所取得的收入。</w:t>
      </w:r>
    </w:p>
    <w:p>
      <w:pPr>
        <w:pStyle w:val="7"/>
        <w:spacing w:line="560" w:lineRule="exact"/>
        <w:ind w:firstLine="640"/>
        <w:rPr>
          <w:rFonts w:hint="default" w:ascii="仿宋_GB2312" w:eastAsia="仿宋_GB2312"/>
          <w:sz w:val="32"/>
        </w:rPr>
      </w:pPr>
      <w:r>
        <w:rPr>
          <w:rFonts w:ascii="仿宋_GB2312" w:eastAsia="仿宋_GB2312"/>
          <w:b/>
          <w:sz w:val="32"/>
        </w:rPr>
        <w:t>4.经营收入：</w:t>
      </w:r>
      <w:r>
        <w:rPr>
          <w:rFonts w:ascii="仿宋_GB2312" w:eastAsia="仿宋_GB2312"/>
          <w:sz w:val="32"/>
        </w:rPr>
        <w:t>指事业单位在专业业务活动及辅助活动之外开展非独立核算经营活动取得的收入。</w:t>
      </w:r>
    </w:p>
    <w:p>
      <w:pPr>
        <w:pStyle w:val="7"/>
        <w:spacing w:line="560" w:lineRule="exact"/>
        <w:ind w:firstLine="640"/>
        <w:rPr>
          <w:rFonts w:hint="default" w:ascii="仿宋_GB2312" w:eastAsia="仿宋_GB2312"/>
          <w:sz w:val="32"/>
        </w:rPr>
      </w:pPr>
      <w:r>
        <w:rPr>
          <w:rFonts w:ascii="仿宋_GB2312" w:eastAsia="仿宋_GB2312"/>
          <w:b/>
          <w:sz w:val="32"/>
        </w:rPr>
        <w:t>5.附属单位上缴收入：</w:t>
      </w:r>
      <w:r>
        <w:rPr>
          <w:rFonts w:ascii="仿宋_GB2312" w:eastAsia="仿宋_GB2312"/>
          <w:sz w:val="32"/>
        </w:rPr>
        <w:t>指单位附属的独立核算单位按照规定上缴的收入。</w:t>
      </w:r>
    </w:p>
    <w:p>
      <w:pPr>
        <w:pStyle w:val="7"/>
        <w:spacing w:line="560" w:lineRule="exact"/>
        <w:ind w:firstLine="640"/>
        <w:rPr>
          <w:rFonts w:hint="default" w:ascii="仿宋_GB2312" w:eastAsia="仿宋_GB2312"/>
          <w:sz w:val="32"/>
        </w:rPr>
      </w:pPr>
      <w:r>
        <w:rPr>
          <w:rFonts w:ascii="仿宋_GB2312" w:eastAsia="仿宋_GB2312"/>
          <w:b/>
          <w:sz w:val="32"/>
        </w:rPr>
        <w:t>6.其他收入：</w:t>
      </w:r>
      <w:r>
        <w:rPr>
          <w:rFonts w:ascii="仿宋_GB2312" w:eastAsia="仿宋_GB2312"/>
          <w:sz w:val="32"/>
        </w:rPr>
        <w:t>指除上述“财政拨款收入”、</w:t>
      </w:r>
      <w:r>
        <w:rPr>
          <w:rFonts w:ascii="仿宋_GB2312" w:eastAsia="仿宋_GB2312"/>
          <w:b/>
          <w:sz w:val="32"/>
        </w:rPr>
        <w:t xml:space="preserve"> </w:t>
      </w:r>
      <w:r>
        <w:rPr>
          <w:rFonts w:ascii="仿宋_GB2312" w:eastAsia="仿宋_GB2312"/>
          <w:sz w:val="32"/>
        </w:rPr>
        <w:t>“上级补助收入”、“事业收入”、“经营收入”、“附属单位上缴收入”等以外的收入。</w:t>
      </w:r>
    </w:p>
    <w:p>
      <w:pPr>
        <w:pStyle w:val="7"/>
        <w:spacing w:line="560" w:lineRule="exact"/>
        <w:ind w:firstLine="640"/>
        <w:rPr>
          <w:rFonts w:hint="default" w:ascii="仿宋_GB2312" w:eastAsia="仿宋_GB2312"/>
          <w:sz w:val="32"/>
        </w:rPr>
      </w:pPr>
      <w:r>
        <w:rPr>
          <w:rFonts w:ascii="仿宋_GB2312" w:eastAsia="仿宋_GB2312"/>
          <w:b/>
          <w:sz w:val="32"/>
        </w:rPr>
        <w:t>7.使用非财政拨款结余：</w:t>
      </w:r>
      <w:r>
        <w:rPr>
          <w:rFonts w:ascii="仿宋_GB2312" w:eastAsia="仿宋_GB2312"/>
          <w:sz w:val="32"/>
        </w:rPr>
        <w:t>指事业单位按照预算管理要求使用非财政拨款结余弥补收支差额的金额。</w:t>
      </w:r>
    </w:p>
    <w:p>
      <w:pPr>
        <w:pStyle w:val="7"/>
        <w:spacing w:line="560" w:lineRule="exact"/>
        <w:ind w:firstLine="640"/>
        <w:rPr>
          <w:rFonts w:hint="default" w:ascii="仿宋_GB2312" w:eastAsia="仿宋_GB2312"/>
          <w:sz w:val="32"/>
        </w:rPr>
      </w:pPr>
      <w:r>
        <w:rPr>
          <w:rFonts w:ascii="仿宋_GB2312" w:eastAsia="仿宋_GB2312"/>
          <w:b/>
          <w:sz w:val="32"/>
        </w:rPr>
        <w:t>8.上年结转和结余：</w:t>
      </w:r>
      <w:r>
        <w:rPr>
          <w:rFonts w:ascii="仿宋_GB2312" w:eastAsia="仿宋_GB2312"/>
          <w:sz w:val="32"/>
        </w:rPr>
        <w:t>指以前年度尚未完成、结转到本年按有关规定继续使用的资金。</w:t>
      </w:r>
    </w:p>
    <w:p>
      <w:pPr>
        <w:pStyle w:val="7"/>
        <w:spacing w:line="560" w:lineRule="exact"/>
        <w:ind w:firstLine="640"/>
        <w:rPr>
          <w:rFonts w:hint="default" w:ascii="仿宋_GB2312" w:eastAsia="仿宋_GB2312"/>
          <w:sz w:val="32"/>
        </w:rPr>
      </w:pPr>
      <w:r>
        <w:rPr>
          <w:rFonts w:ascii="仿宋_GB2312" w:eastAsia="仿宋_GB2312"/>
          <w:b/>
          <w:sz w:val="32"/>
        </w:rPr>
        <w:t>9.基本支出：</w:t>
      </w:r>
      <w:r>
        <w:rPr>
          <w:rFonts w:ascii="仿宋_GB2312" w:eastAsia="仿宋_GB2312"/>
          <w:sz w:val="32"/>
        </w:rPr>
        <w:t>指保障机构正常运转、完成日常工作任务而发生的人员支出和公用支出。</w:t>
      </w:r>
    </w:p>
    <w:p>
      <w:pPr>
        <w:pStyle w:val="7"/>
        <w:spacing w:line="560" w:lineRule="exact"/>
        <w:ind w:firstLine="640"/>
        <w:rPr>
          <w:rFonts w:hint="default" w:ascii="仿宋_GB2312" w:eastAsia="仿宋_GB2312"/>
          <w:sz w:val="32"/>
        </w:rPr>
      </w:pPr>
      <w:r>
        <w:rPr>
          <w:rFonts w:ascii="仿宋_GB2312" w:eastAsia="仿宋_GB2312"/>
          <w:b/>
          <w:sz w:val="32"/>
        </w:rPr>
        <w:t>10.项目支出：</w:t>
      </w:r>
      <w:r>
        <w:rPr>
          <w:rFonts w:ascii="仿宋_GB2312" w:eastAsia="仿宋_GB2312"/>
          <w:sz w:val="32"/>
        </w:rPr>
        <w:t>指在基本支出之外为完成特定行政任务和事业发展目标所发生的支出。</w:t>
      </w:r>
    </w:p>
    <w:p>
      <w:pPr>
        <w:pStyle w:val="7"/>
        <w:spacing w:line="560" w:lineRule="exact"/>
        <w:ind w:firstLine="640"/>
        <w:rPr>
          <w:rFonts w:hint="default" w:ascii="仿宋_GB2312" w:eastAsia="仿宋_GB2312"/>
          <w:sz w:val="32"/>
        </w:rPr>
      </w:pPr>
      <w:r>
        <w:rPr>
          <w:rFonts w:ascii="仿宋_GB2312" w:eastAsia="仿宋_GB2312"/>
          <w:b/>
          <w:sz w:val="32"/>
        </w:rPr>
        <w:t>11.上缴上级支出：</w:t>
      </w:r>
      <w:r>
        <w:rPr>
          <w:rFonts w:ascii="仿宋_GB2312" w:eastAsia="仿宋_GB2312"/>
          <w:sz w:val="32"/>
        </w:rPr>
        <w:t>指事业单位按照财政部门和主管部门的规定上缴上级单位的支出。</w:t>
      </w:r>
    </w:p>
    <w:p>
      <w:pPr>
        <w:pStyle w:val="7"/>
        <w:spacing w:line="560" w:lineRule="exact"/>
        <w:ind w:firstLine="640"/>
        <w:rPr>
          <w:rFonts w:hint="default" w:ascii="仿宋_GB2312" w:eastAsia="仿宋_GB2312"/>
          <w:sz w:val="32"/>
        </w:rPr>
      </w:pPr>
      <w:r>
        <w:rPr>
          <w:rFonts w:ascii="仿宋_GB2312" w:eastAsia="仿宋_GB2312"/>
          <w:b/>
          <w:sz w:val="32"/>
        </w:rPr>
        <w:t>12.经营支出：</w:t>
      </w:r>
      <w:r>
        <w:rPr>
          <w:rFonts w:ascii="仿宋_GB2312" w:eastAsia="仿宋_GB2312"/>
          <w:sz w:val="32"/>
        </w:rPr>
        <w:t>指事业单位在专业活动及辅助活动之外开展非独立核算经营活动发生的支出。</w:t>
      </w:r>
    </w:p>
    <w:p>
      <w:pPr>
        <w:pStyle w:val="7"/>
        <w:spacing w:line="560" w:lineRule="exact"/>
        <w:ind w:firstLine="640"/>
        <w:rPr>
          <w:rFonts w:hint="default" w:ascii="仿宋_GB2312" w:eastAsia="仿宋_GB2312"/>
          <w:b/>
          <w:sz w:val="32"/>
        </w:rPr>
      </w:pPr>
      <w:r>
        <w:rPr>
          <w:rFonts w:ascii="仿宋_GB2312" w:eastAsia="仿宋_GB2312"/>
          <w:b/>
          <w:sz w:val="32"/>
        </w:rPr>
        <w:t>13.对附属单位补助支出：</w:t>
      </w:r>
      <w:r>
        <w:rPr>
          <w:rFonts w:ascii="仿宋_GB2312" w:eastAsia="仿宋_GB2312"/>
          <w:sz w:val="32"/>
        </w:rPr>
        <w:t>指事业单位用财政补助收入之外的收入对附属单位补助发生的支出。</w:t>
      </w:r>
    </w:p>
    <w:p>
      <w:pPr>
        <w:pStyle w:val="7"/>
        <w:spacing w:line="560" w:lineRule="exact"/>
        <w:ind w:firstLine="640"/>
        <w:rPr>
          <w:rFonts w:hint="default" w:ascii="仿宋_GB2312" w:eastAsia="仿宋_GB2312"/>
          <w:sz w:val="32"/>
        </w:rPr>
      </w:pPr>
      <w:r>
        <w:rPr>
          <w:rFonts w:ascii="仿宋_GB2312" w:eastAsia="仿宋_GB2312"/>
          <w:b/>
          <w:sz w:val="32"/>
        </w:rPr>
        <w:t>14.“三公”经费：</w:t>
      </w:r>
      <w:r>
        <w:rPr>
          <w:rFonts w:ascii="仿宋_GB2312" w:eastAsia="仿宋_GB2312"/>
          <w:sz w:val="32"/>
        </w:rPr>
        <w:t>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pStyle w:val="7"/>
        <w:spacing w:line="560" w:lineRule="exact"/>
        <w:ind w:firstLine="640"/>
        <w:rPr>
          <w:rFonts w:hint="default" w:ascii="仿宋_GB2312" w:eastAsia="仿宋_GB2312"/>
          <w:sz w:val="32"/>
          <w:szCs w:val="32"/>
        </w:rPr>
      </w:pPr>
      <w:r>
        <w:rPr>
          <w:rFonts w:ascii="仿宋_GB2312" w:eastAsia="仿宋_GB2312"/>
          <w:b/>
          <w:bCs/>
          <w:sz w:val="32"/>
        </w:rPr>
        <w:t>15.机关运行经费：</w:t>
      </w:r>
      <w:r>
        <w:rPr>
          <w:rFonts w:ascii="仿宋_GB2312" w:eastAsia="仿宋_GB2312"/>
          <w:sz w:val="32"/>
          <w:szCs w:val="32"/>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7"/>
        <w:spacing w:line="560" w:lineRule="exact"/>
        <w:ind w:firstLine="640"/>
        <w:rPr>
          <w:rFonts w:hint="default" w:ascii="仿宋_GB2312" w:eastAsia="仿宋_GB2312"/>
          <w:b/>
          <w:sz w:val="32"/>
        </w:rPr>
      </w:pPr>
      <w:r>
        <w:rPr>
          <w:rFonts w:ascii="仿宋_GB2312" w:eastAsia="仿宋_GB2312"/>
          <w:b/>
          <w:sz w:val="32"/>
        </w:rPr>
        <w:t>16.</w:t>
      </w:r>
      <w:r>
        <w:rPr>
          <w:rFonts w:hint="eastAsia" w:ascii="仿宋_GB2312" w:eastAsia="仿宋_GB2312"/>
          <w:b/>
          <w:sz w:val="32"/>
        </w:rPr>
        <w:t>社会保障和就业支出</w:t>
      </w:r>
      <w:r>
        <w:rPr>
          <w:rFonts w:ascii="仿宋_GB2312" w:eastAsia="仿宋_GB2312"/>
          <w:b/>
          <w:sz w:val="32"/>
        </w:rPr>
        <w:t>（类）</w:t>
      </w:r>
      <w:r>
        <w:rPr>
          <w:rFonts w:hint="eastAsia" w:ascii="仿宋_GB2312" w:eastAsia="仿宋_GB2312"/>
          <w:b/>
          <w:sz w:val="32"/>
        </w:rPr>
        <w:t>人力资源和社会保障管理事务</w:t>
      </w:r>
      <w:r>
        <w:rPr>
          <w:rFonts w:ascii="仿宋_GB2312" w:eastAsia="仿宋_GB2312"/>
          <w:b/>
          <w:sz w:val="32"/>
        </w:rPr>
        <w:t>（款）行政运行（项）：</w:t>
      </w:r>
      <w:r>
        <w:rPr>
          <w:rFonts w:ascii="仿宋_GB2312" w:eastAsia="仿宋_GB2312"/>
          <w:sz w:val="32"/>
        </w:rPr>
        <w:t>反映行政单位（包括实行公务员管理的事业单位）的基本支出。</w:t>
      </w:r>
    </w:p>
    <w:p>
      <w:pPr>
        <w:pStyle w:val="7"/>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722"/>
        <w:jc w:val="both"/>
        <w:textAlignment w:val="auto"/>
        <w:outlineLvl w:val="9"/>
        <w:rPr>
          <w:rFonts w:hint="eastAsia" w:ascii="仿宋_GB2312" w:eastAsia="仿宋_GB2312"/>
          <w:sz w:val="32"/>
          <w:szCs w:val="32"/>
          <w:highlight w:val="none"/>
          <w:lang w:val="en-US" w:eastAsia="zh-CN"/>
        </w:rPr>
      </w:pPr>
      <w:r>
        <w:rPr>
          <w:rFonts w:hint="eastAsia"/>
          <w:b/>
          <w:sz w:val="36"/>
          <w:highlight w:val="none"/>
          <w:lang w:val="en-US" w:eastAsia="zh-CN"/>
        </w:rPr>
        <w:t>17.</w:t>
      </w:r>
      <w:r>
        <w:rPr>
          <w:rFonts w:hint="eastAsia" w:ascii="仿宋_GB2312" w:eastAsia="仿宋_GB2312"/>
          <w:b/>
          <w:sz w:val="32"/>
        </w:rPr>
        <w:t>社会保障和就业支出</w:t>
      </w:r>
      <w:r>
        <w:rPr>
          <w:rFonts w:ascii="仿宋_GB2312" w:eastAsia="仿宋_GB2312"/>
          <w:b/>
          <w:sz w:val="32"/>
        </w:rPr>
        <w:t>（类）</w:t>
      </w:r>
      <w:r>
        <w:rPr>
          <w:rFonts w:hint="eastAsia" w:ascii="仿宋_GB2312" w:eastAsia="仿宋_GB2312"/>
          <w:b/>
          <w:sz w:val="32"/>
        </w:rPr>
        <w:t>人力资源和社会保障管理事务</w:t>
      </w:r>
      <w:r>
        <w:rPr>
          <w:rFonts w:ascii="仿宋_GB2312" w:eastAsia="仿宋_GB2312"/>
          <w:b/>
          <w:sz w:val="32"/>
        </w:rPr>
        <w:t>（款）</w:t>
      </w:r>
      <w:r>
        <w:rPr>
          <w:rFonts w:hint="eastAsia" w:ascii="仿宋_GB2312" w:hAnsi="宋体" w:eastAsia="仿宋_GB2312"/>
          <w:b/>
          <w:bCs/>
          <w:sz w:val="32"/>
          <w:szCs w:val="32"/>
          <w:highlight w:val="none"/>
        </w:rPr>
        <w:t>一般行政管理事务</w:t>
      </w:r>
      <w:r>
        <w:rPr>
          <w:rFonts w:hint="eastAsia" w:ascii="仿宋_GB2312" w:hAnsi="宋体" w:eastAsia="仿宋_GB2312"/>
          <w:b/>
          <w:bCs/>
          <w:sz w:val="32"/>
          <w:szCs w:val="32"/>
          <w:highlight w:val="none"/>
          <w:lang w:eastAsia="zh-CN"/>
        </w:rPr>
        <w:t>（</w:t>
      </w:r>
      <w:r>
        <w:rPr>
          <w:rFonts w:hint="eastAsia" w:ascii="仿宋_GB2312" w:hAnsi="宋体" w:eastAsia="仿宋_GB2312"/>
          <w:b/>
          <w:bCs/>
          <w:sz w:val="32"/>
          <w:szCs w:val="32"/>
          <w:highlight w:val="none"/>
          <w:lang w:val="en-US" w:eastAsia="zh-CN"/>
        </w:rPr>
        <w:t>项）</w:t>
      </w:r>
      <w:r>
        <w:rPr>
          <w:rFonts w:hint="eastAsia" w:ascii="仿宋_GB2312" w:eastAsia="仿宋_GB2312"/>
          <w:b/>
          <w:bCs/>
          <w:sz w:val="32"/>
          <w:szCs w:val="32"/>
          <w:highlight w:val="none"/>
          <w:lang w:val="en-US" w:eastAsia="zh-CN"/>
        </w:rPr>
        <w:t>：</w:t>
      </w:r>
      <w:r>
        <w:rPr>
          <w:rFonts w:hint="eastAsia" w:ascii="仿宋_GB2312" w:eastAsia="仿宋_GB2312"/>
          <w:b w:val="0"/>
          <w:bCs w:val="0"/>
          <w:sz w:val="32"/>
          <w:szCs w:val="32"/>
          <w:highlight w:val="none"/>
          <w:lang w:val="en-US" w:eastAsia="zh-CN"/>
        </w:rPr>
        <w:t>反映行政单位（包括实行公务员管理的事业单位）未单独设置相级科目的其他项目支出。</w:t>
      </w:r>
    </w:p>
    <w:p>
      <w:pPr>
        <w:pStyle w:val="7"/>
        <w:keepNext w:val="0"/>
        <w:keepLines w:val="0"/>
        <w:pageBreakBefore w:val="0"/>
        <w:numPr>
          <w:ilvl w:val="0"/>
          <w:numId w:val="2"/>
        </w:numPr>
        <w:kinsoku/>
        <w:wordWrap/>
        <w:overflowPunct/>
        <w:topLinePunct w:val="0"/>
        <w:autoSpaceDE/>
        <w:bidi w:val="0"/>
        <w:adjustRightInd/>
        <w:snapToGrid/>
        <w:spacing w:before="0" w:beforeLines="0" w:after="0" w:afterLines="0" w:line="560" w:lineRule="exact"/>
        <w:ind w:left="0" w:leftChars="0" w:right="0" w:rightChars="0" w:firstLine="722"/>
        <w:jc w:val="both"/>
        <w:textAlignment w:val="auto"/>
        <w:outlineLvl w:val="9"/>
        <w:rPr>
          <w:rFonts w:hint="eastAsia" w:ascii="仿宋_GB2312" w:eastAsia="仿宋_GB2312"/>
          <w:sz w:val="32"/>
          <w:szCs w:val="32"/>
          <w:highlight w:val="none"/>
          <w:lang w:val="en-US" w:eastAsia="zh-CN"/>
        </w:rPr>
      </w:pPr>
      <w:r>
        <w:rPr>
          <w:rFonts w:hint="eastAsia" w:ascii="仿宋_GB2312" w:eastAsia="仿宋_GB2312"/>
          <w:b/>
          <w:sz w:val="32"/>
        </w:rPr>
        <w:t>社会保障和就业支出</w:t>
      </w:r>
      <w:r>
        <w:rPr>
          <w:rFonts w:ascii="仿宋_GB2312" w:eastAsia="仿宋_GB2312"/>
          <w:b/>
          <w:sz w:val="32"/>
        </w:rPr>
        <w:t>（类）</w:t>
      </w:r>
      <w:r>
        <w:rPr>
          <w:rFonts w:hint="eastAsia" w:ascii="仿宋_GB2312" w:eastAsia="仿宋_GB2312"/>
          <w:b/>
          <w:sz w:val="32"/>
        </w:rPr>
        <w:t>人力资源和社会保障管理事务</w:t>
      </w:r>
      <w:r>
        <w:rPr>
          <w:rFonts w:ascii="仿宋_GB2312" w:eastAsia="仿宋_GB2312"/>
          <w:b/>
          <w:sz w:val="32"/>
        </w:rPr>
        <w:t>（款）</w:t>
      </w:r>
      <w:r>
        <w:rPr>
          <w:rFonts w:hint="eastAsia" w:ascii="仿宋_GB2312" w:hAnsi="宋体" w:eastAsia="仿宋_GB2312"/>
          <w:b/>
          <w:bCs/>
          <w:sz w:val="32"/>
          <w:szCs w:val="32"/>
          <w:highlight w:val="none"/>
        </w:rPr>
        <w:t>机关服务</w:t>
      </w:r>
      <w:r>
        <w:rPr>
          <w:rFonts w:hint="eastAsia" w:ascii="仿宋_GB2312" w:hAnsi="宋体" w:eastAsia="仿宋_GB2312"/>
          <w:b/>
          <w:bCs/>
          <w:sz w:val="32"/>
          <w:szCs w:val="32"/>
          <w:highlight w:val="none"/>
          <w:lang w:eastAsia="zh-CN"/>
        </w:rPr>
        <w:t>（</w:t>
      </w:r>
      <w:r>
        <w:rPr>
          <w:rFonts w:hint="eastAsia" w:ascii="仿宋_GB2312" w:hAnsi="宋体" w:eastAsia="仿宋_GB2312"/>
          <w:b/>
          <w:bCs/>
          <w:sz w:val="32"/>
          <w:szCs w:val="32"/>
          <w:highlight w:val="none"/>
          <w:lang w:val="en-US" w:eastAsia="zh-CN"/>
        </w:rPr>
        <w:t>项）</w:t>
      </w:r>
      <w:r>
        <w:rPr>
          <w:rFonts w:hint="eastAsia" w:ascii="仿宋_GB2312" w:eastAsia="仿宋_GB2312"/>
          <w:b/>
          <w:bCs/>
          <w:sz w:val="32"/>
          <w:szCs w:val="32"/>
          <w:highlight w:val="none"/>
          <w:lang w:val="en-US" w:eastAsia="zh-CN"/>
        </w:rPr>
        <w:t>：</w:t>
      </w:r>
      <w:r>
        <w:rPr>
          <w:rFonts w:hint="eastAsia" w:ascii="仿宋_GB2312" w:eastAsia="仿宋_GB2312"/>
          <w:b w:val="0"/>
          <w:bCs w:val="0"/>
          <w:sz w:val="32"/>
          <w:szCs w:val="32"/>
          <w:highlight w:val="none"/>
          <w:lang w:val="en-US" w:eastAsia="zh-CN"/>
        </w:rPr>
        <w:t>反映为行政单位（包括实行公务员管理的事业单位）提供后勤服务的各类后勤服务中心、医务室等附属事业单位的支出。其他事业单位的支出，凡单独设置了项级科目的，在单独设置的项级科目中反映。未单设项级科目的，在“其他”项级科目中反映。</w:t>
      </w:r>
    </w:p>
    <w:p>
      <w:pPr>
        <w:pStyle w:val="7"/>
        <w:keepNext w:val="0"/>
        <w:keepLines w:val="0"/>
        <w:pageBreakBefore w:val="0"/>
        <w:widowControl/>
        <w:numPr>
          <w:ilvl w:val="0"/>
          <w:numId w:val="0"/>
        </w:numPr>
        <w:kinsoku/>
        <w:wordWrap/>
        <w:overflowPunct/>
        <w:topLinePunct w:val="0"/>
        <w:autoSpaceDE/>
        <w:bidi w:val="0"/>
        <w:adjustRightInd/>
        <w:snapToGrid/>
        <w:spacing w:before="0" w:beforeLines="0" w:after="0" w:afterLines="0" w:line="560" w:lineRule="exact"/>
        <w:ind w:right="0" w:rightChars="0" w:firstLine="640"/>
        <w:jc w:val="both"/>
        <w:textAlignment w:val="auto"/>
        <w:outlineLvl w:val="9"/>
        <w:rPr>
          <w:rFonts w:hint="eastAsia" w:ascii="仿宋_GB2312" w:eastAsia="仿宋_GB2312"/>
          <w:sz w:val="32"/>
          <w:szCs w:val="32"/>
          <w:highlight w:val="none"/>
          <w:lang w:val="en-US" w:eastAsia="zh-CN"/>
        </w:rPr>
      </w:pPr>
      <w:r>
        <w:rPr>
          <w:rFonts w:hint="eastAsia" w:ascii="仿宋_GB2312" w:eastAsia="仿宋_GB2312"/>
          <w:b/>
          <w:bCs/>
          <w:sz w:val="32"/>
          <w:szCs w:val="32"/>
          <w:highlight w:val="none"/>
          <w:lang w:val="en-US" w:eastAsia="zh-CN"/>
        </w:rPr>
        <w:t>19.</w:t>
      </w:r>
      <w:r>
        <w:rPr>
          <w:rFonts w:hint="eastAsia" w:ascii="仿宋_GB2312" w:hAnsi="宋体" w:eastAsia="仿宋_GB2312"/>
          <w:b/>
          <w:bCs/>
          <w:sz w:val="32"/>
          <w:szCs w:val="32"/>
          <w:highlight w:val="none"/>
        </w:rPr>
        <w:t>教育支出</w:t>
      </w:r>
      <w:r>
        <w:rPr>
          <w:rFonts w:hint="eastAsia" w:ascii="仿宋_GB2312" w:hAnsi="宋体" w:eastAsia="仿宋_GB2312"/>
          <w:b/>
          <w:bCs/>
          <w:sz w:val="32"/>
          <w:szCs w:val="32"/>
          <w:highlight w:val="none"/>
          <w:lang w:eastAsia="zh-CN"/>
        </w:rPr>
        <w:t>（</w:t>
      </w:r>
      <w:r>
        <w:rPr>
          <w:rFonts w:hint="eastAsia" w:ascii="仿宋_GB2312" w:hAnsi="宋体" w:eastAsia="仿宋_GB2312"/>
          <w:b/>
          <w:bCs/>
          <w:sz w:val="32"/>
          <w:szCs w:val="32"/>
          <w:highlight w:val="none"/>
          <w:lang w:val="en-US" w:eastAsia="zh-CN"/>
        </w:rPr>
        <w:t>类）职业教育</w:t>
      </w:r>
      <w:r>
        <w:rPr>
          <w:rFonts w:ascii="仿宋_GB2312" w:eastAsia="仿宋_GB2312"/>
          <w:b/>
          <w:sz w:val="32"/>
        </w:rPr>
        <w:t>（款）</w:t>
      </w:r>
      <w:r>
        <w:rPr>
          <w:rFonts w:hint="eastAsia" w:ascii="仿宋_GB2312" w:eastAsia="仿宋_GB2312"/>
          <w:b/>
          <w:sz w:val="32"/>
        </w:rPr>
        <w:t>技校教育</w:t>
      </w:r>
      <w:r>
        <w:rPr>
          <w:rFonts w:hint="eastAsia" w:ascii="仿宋_GB2312" w:hAnsi="宋体" w:eastAsia="仿宋_GB2312"/>
          <w:b/>
          <w:bCs/>
          <w:sz w:val="32"/>
          <w:szCs w:val="32"/>
          <w:highlight w:val="none"/>
          <w:lang w:eastAsia="zh-CN"/>
        </w:rPr>
        <w:t>（</w:t>
      </w:r>
      <w:r>
        <w:rPr>
          <w:rFonts w:hint="eastAsia" w:ascii="仿宋_GB2312" w:hAnsi="宋体" w:eastAsia="仿宋_GB2312"/>
          <w:b/>
          <w:bCs/>
          <w:sz w:val="32"/>
          <w:szCs w:val="32"/>
          <w:highlight w:val="none"/>
          <w:lang w:val="en-US" w:eastAsia="zh-CN"/>
        </w:rPr>
        <w:t>项）</w:t>
      </w:r>
      <w:r>
        <w:rPr>
          <w:rFonts w:hint="eastAsia" w:ascii="仿宋_GB2312" w:eastAsia="仿宋_GB2312"/>
          <w:sz w:val="32"/>
          <w:szCs w:val="32"/>
          <w:highlight w:val="none"/>
          <w:lang w:val="en-US" w:eastAsia="zh-CN"/>
        </w:rPr>
        <w:t>：反映人力资源社会保障部门举办的技校教育支出。政府各部门对社会组织等举办的技工学校的资助，如捐赠、补贴等，也在本科目中反映。</w:t>
      </w:r>
    </w:p>
    <w:p>
      <w:pPr>
        <w:pStyle w:val="7"/>
        <w:keepNext w:val="0"/>
        <w:keepLines w:val="0"/>
        <w:pageBreakBefore w:val="0"/>
        <w:widowControl/>
        <w:numPr>
          <w:ilvl w:val="0"/>
          <w:numId w:val="3"/>
        </w:numPr>
        <w:kinsoku/>
        <w:wordWrap/>
        <w:overflowPunct/>
        <w:topLinePunct w:val="0"/>
        <w:autoSpaceDE/>
        <w:bidi w:val="0"/>
        <w:adjustRightInd/>
        <w:snapToGrid/>
        <w:spacing w:before="0" w:beforeLines="0" w:after="0" w:afterLines="0" w:line="560" w:lineRule="exact"/>
        <w:ind w:right="0" w:rightChars="0" w:firstLine="640"/>
        <w:jc w:val="both"/>
        <w:textAlignment w:val="auto"/>
        <w:outlineLvl w:val="9"/>
        <w:rPr>
          <w:rFonts w:hint="eastAsia" w:ascii="仿宋_GB2312" w:hAnsi="宋体" w:eastAsia="仿宋_GB2312"/>
          <w:sz w:val="32"/>
          <w:szCs w:val="32"/>
          <w:highlight w:val="none"/>
          <w:lang w:val="en-US" w:eastAsia="zh-CN"/>
        </w:rPr>
      </w:pPr>
      <w:r>
        <w:rPr>
          <w:rFonts w:hint="eastAsia" w:ascii="仿宋_GB2312" w:eastAsia="仿宋_GB2312"/>
          <w:b/>
          <w:sz w:val="32"/>
        </w:rPr>
        <w:t>社会保障和就业支出</w:t>
      </w:r>
      <w:r>
        <w:rPr>
          <w:rFonts w:ascii="仿宋_GB2312" w:eastAsia="仿宋_GB2312"/>
          <w:b/>
          <w:sz w:val="32"/>
        </w:rPr>
        <w:t>（类）</w:t>
      </w:r>
      <w:r>
        <w:rPr>
          <w:rFonts w:hint="eastAsia" w:ascii="仿宋_GB2312" w:eastAsia="仿宋_GB2312"/>
          <w:b/>
          <w:sz w:val="32"/>
        </w:rPr>
        <w:t>人力资源和社会保障管理事务</w:t>
      </w:r>
      <w:r>
        <w:rPr>
          <w:rFonts w:ascii="仿宋_GB2312" w:eastAsia="仿宋_GB2312"/>
          <w:b/>
          <w:sz w:val="32"/>
        </w:rPr>
        <w:t>（款）</w:t>
      </w:r>
      <w:r>
        <w:rPr>
          <w:rFonts w:hint="eastAsia" w:ascii="仿宋_GB2312" w:hAnsi="宋体" w:eastAsia="仿宋_GB2312"/>
          <w:b/>
          <w:bCs/>
          <w:sz w:val="32"/>
          <w:szCs w:val="32"/>
          <w:highlight w:val="none"/>
        </w:rPr>
        <w:t>引进人才费用</w:t>
      </w:r>
      <w:r>
        <w:rPr>
          <w:rFonts w:hint="eastAsia" w:ascii="仿宋_GB2312" w:hAnsi="宋体" w:eastAsia="仿宋_GB2312"/>
          <w:b/>
          <w:bCs/>
          <w:sz w:val="32"/>
          <w:szCs w:val="32"/>
          <w:highlight w:val="none"/>
          <w:lang w:eastAsia="zh-CN"/>
        </w:rPr>
        <w:t>（</w:t>
      </w:r>
      <w:r>
        <w:rPr>
          <w:rFonts w:hint="eastAsia" w:ascii="仿宋_GB2312" w:hAnsi="宋体" w:eastAsia="仿宋_GB2312"/>
          <w:b/>
          <w:bCs/>
          <w:sz w:val="32"/>
          <w:szCs w:val="32"/>
          <w:highlight w:val="none"/>
          <w:lang w:val="en-US" w:eastAsia="zh-CN"/>
        </w:rPr>
        <w:t>项）</w:t>
      </w:r>
      <w:r>
        <w:rPr>
          <w:rFonts w:hint="eastAsia" w:ascii="仿宋_GB2312" w:eastAsia="仿宋_GB2312"/>
          <w:sz w:val="32"/>
          <w:szCs w:val="32"/>
          <w:highlight w:val="none"/>
          <w:lang w:val="en-US" w:eastAsia="zh-CN"/>
        </w:rPr>
        <w:t>：反映用于引进外国专家补助、引智成果推广等方面的支出。</w:t>
      </w:r>
    </w:p>
    <w:p>
      <w:pPr>
        <w:pStyle w:val="7"/>
        <w:keepNext w:val="0"/>
        <w:keepLines w:val="0"/>
        <w:pageBreakBefore w:val="0"/>
        <w:widowControl/>
        <w:numPr>
          <w:ilvl w:val="0"/>
          <w:numId w:val="3"/>
        </w:numPr>
        <w:kinsoku/>
        <w:wordWrap/>
        <w:overflowPunct/>
        <w:topLinePunct w:val="0"/>
        <w:autoSpaceDE/>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_GB2312" w:eastAsia="仿宋_GB2312"/>
          <w:sz w:val="32"/>
          <w:szCs w:val="32"/>
          <w:highlight w:val="none"/>
          <w:lang w:val="en-US" w:eastAsia="zh-CN"/>
        </w:rPr>
      </w:pPr>
      <w:r>
        <w:rPr>
          <w:rFonts w:hint="eastAsia" w:ascii="仿宋_GB2312" w:eastAsia="仿宋_GB2312"/>
          <w:b/>
          <w:sz w:val="32"/>
        </w:rPr>
        <w:t>社会保障和就业支出</w:t>
      </w:r>
      <w:r>
        <w:rPr>
          <w:rFonts w:ascii="仿宋_GB2312" w:eastAsia="仿宋_GB2312"/>
          <w:b/>
          <w:sz w:val="32"/>
        </w:rPr>
        <w:t>（类）</w:t>
      </w:r>
      <w:r>
        <w:rPr>
          <w:rFonts w:hint="eastAsia" w:ascii="仿宋_GB2312" w:eastAsia="仿宋_GB2312"/>
          <w:b/>
          <w:sz w:val="32"/>
        </w:rPr>
        <w:t>人力资源和社会保障管理事务</w:t>
      </w:r>
      <w:r>
        <w:rPr>
          <w:rFonts w:ascii="仿宋_GB2312" w:eastAsia="仿宋_GB2312"/>
          <w:b/>
          <w:sz w:val="32"/>
        </w:rPr>
        <w:t>（款）</w:t>
      </w:r>
      <w:r>
        <w:rPr>
          <w:rFonts w:hint="eastAsia" w:ascii="仿宋_GB2312" w:hAnsi="宋体" w:eastAsia="仿宋_GB2312"/>
          <w:b/>
          <w:bCs/>
          <w:sz w:val="32"/>
          <w:szCs w:val="32"/>
          <w:highlight w:val="none"/>
        </w:rPr>
        <w:t>其他人力资源事务支出</w:t>
      </w:r>
      <w:r>
        <w:rPr>
          <w:rFonts w:hint="eastAsia" w:ascii="仿宋_GB2312" w:hAnsi="宋体" w:eastAsia="仿宋_GB2312"/>
          <w:b/>
          <w:bCs/>
          <w:sz w:val="32"/>
          <w:szCs w:val="32"/>
          <w:highlight w:val="none"/>
          <w:lang w:eastAsia="zh-CN"/>
        </w:rPr>
        <w:t>（</w:t>
      </w:r>
      <w:r>
        <w:rPr>
          <w:rFonts w:hint="eastAsia" w:ascii="仿宋_GB2312" w:hAnsi="宋体" w:eastAsia="仿宋_GB2312"/>
          <w:b/>
          <w:bCs/>
          <w:sz w:val="32"/>
          <w:szCs w:val="32"/>
          <w:highlight w:val="none"/>
          <w:lang w:val="en-US" w:eastAsia="zh-CN"/>
        </w:rPr>
        <w:t>项）</w:t>
      </w:r>
      <w:r>
        <w:rPr>
          <w:rFonts w:hint="eastAsia" w:ascii="仿宋_GB2312" w:eastAsia="仿宋_GB2312"/>
          <w:b/>
          <w:bCs/>
          <w:sz w:val="32"/>
          <w:szCs w:val="32"/>
          <w:highlight w:val="none"/>
          <w:lang w:val="en-US" w:eastAsia="zh-CN"/>
        </w:rPr>
        <w:t>：</w:t>
      </w:r>
      <w:r>
        <w:rPr>
          <w:rFonts w:hint="eastAsia" w:ascii="仿宋_GB2312" w:eastAsia="仿宋_GB2312"/>
          <w:sz w:val="32"/>
          <w:szCs w:val="32"/>
          <w:highlight w:val="none"/>
          <w:lang w:val="en-US" w:eastAsia="zh-CN"/>
        </w:rPr>
        <w:t>反映除上述项目以外其他</w:t>
      </w:r>
      <w:r>
        <w:rPr>
          <w:rFonts w:hint="eastAsia" w:ascii="仿宋_GB2312" w:hAnsi="宋体" w:eastAsia="仿宋_GB2312"/>
          <w:sz w:val="32"/>
          <w:szCs w:val="32"/>
          <w:highlight w:val="none"/>
          <w:lang w:val="en-US" w:eastAsia="zh-CN"/>
        </w:rPr>
        <w:t>人力资源事务</w:t>
      </w:r>
      <w:r>
        <w:rPr>
          <w:rFonts w:hint="eastAsia" w:ascii="仿宋_GB2312" w:eastAsia="仿宋_GB2312"/>
          <w:sz w:val="32"/>
          <w:szCs w:val="32"/>
          <w:highlight w:val="none"/>
          <w:lang w:val="en-US" w:eastAsia="zh-CN"/>
        </w:rPr>
        <w:t>方面的支出。</w:t>
      </w:r>
    </w:p>
    <w:p>
      <w:pPr>
        <w:pStyle w:val="7"/>
        <w:keepNext w:val="0"/>
        <w:keepLines w:val="0"/>
        <w:pageBreakBefore w:val="0"/>
        <w:widowControl/>
        <w:numPr>
          <w:ilvl w:val="0"/>
          <w:numId w:val="3"/>
        </w:numPr>
        <w:kinsoku/>
        <w:wordWrap/>
        <w:overflowPunct/>
        <w:topLinePunct w:val="0"/>
        <w:autoSpaceDE/>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_GB2312" w:eastAsia="仿宋_GB2312"/>
          <w:sz w:val="32"/>
          <w:szCs w:val="32"/>
          <w:highlight w:val="none"/>
          <w:lang w:val="en-US" w:eastAsia="zh-CN"/>
        </w:rPr>
      </w:pPr>
      <w:r>
        <w:rPr>
          <w:rFonts w:hint="eastAsia" w:ascii="仿宋_GB2312" w:hAnsi="宋体" w:eastAsia="仿宋_GB2312"/>
          <w:b/>
          <w:bCs/>
          <w:sz w:val="32"/>
          <w:szCs w:val="32"/>
          <w:highlight w:val="none"/>
        </w:rPr>
        <w:t>教育支出</w:t>
      </w:r>
      <w:r>
        <w:rPr>
          <w:rFonts w:hint="eastAsia" w:ascii="仿宋_GB2312" w:hAnsi="宋体" w:eastAsia="仿宋_GB2312"/>
          <w:b/>
          <w:bCs/>
          <w:sz w:val="32"/>
          <w:szCs w:val="32"/>
          <w:highlight w:val="none"/>
          <w:lang w:eastAsia="zh-CN"/>
        </w:rPr>
        <w:t>（</w:t>
      </w:r>
      <w:r>
        <w:rPr>
          <w:rFonts w:hint="eastAsia" w:ascii="仿宋_GB2312" w:hAnsi="宋体" w:eastAsia="仿宋_GB2312"/>
          <w:b/>
          <w:bCs/>
          <w:sz w:val="32"/>
          <w:szCs w:val="32"/>
          <w:highlight w:val="none"/>
          <w:lang w:val="en-US" w:eastAsia="zh-CN"/>
        </w:rPr>
        <w:t>类）教育费附加安排的支出（款）</w:t>
      </w:r>
      <w:r>
        <w:rPr>
          <w:rFonts w:hint="eastAsia" w:ascii="仿宋_GB2312" w:hAnsi="宋体" w:eastAsia="仿宋_GB2312"/>
          <w:b/>
          <w:bCs/>
          <w:sz w:val="32"/>
          <w:szCs w:val="32"/>
          <w:highlight w:val="none"/>
        </w:rPr>
        <w:t>其他教育费附加安排的支出</w:t>
      </w:r>
      <w:r>
        <w:rPr>
          <w:rFonts w:hint="eastAsia" w:ascii="仿宋_GB2312" w:hAnsi="宋体" w:eastAsia="仿宋_GB2312"/>
          <w:b/>
          <w:bCs/>
          <w:sz w:val="32"/>
          <w:szCs w:val="32"/>
          <w:highlight w:val="none"/>
          <w:lang w:eastAsia="zh-CN"/>
        </w:rPr>
        <w:t>（</w:t>
      </w:r>
      <w:r>
        <w:rPr>
          <w:rFonts w:hint="eastAsia" w:ascii="仿宋_GB2312" w:hAnsi="宋体" w:eastAsia="仿宋_GB2312"/>
          <w:b/>
          <w:bCs/>
          <w:sz w:val="32"/>
          <w:szCs w:val="32"/>
          <w:highlight w:val="none"/>
          <w:lang w:val="en-US" w:eastAsia="zh-CN"/>
        </w:rPr>
        <w:t>项）</w:t>
      </w:r>
      <w:r>
        <w:rPr>
          <w:rFonts w:hint="eastAsia" w:ascii="仿宋_GB2312" w:eastAsia="仿宋_GB2312"/>
          <w:b/>
          <w:bCs/>
          <w:sz w:val="32"/>
          <w:szCs w:val="32"/>
          <w:highlight w:val="none"/>
          <w:lang w:val="en-US" w:eastAsia="zh-CN"/>
        </w:rPr>
        <w:t>：</w:t>
      </w:r>
      <w:r>
        <w:rPr>
          <w:rFonts w:hint="eastAsia" w:ascii="仿宋_GB2312" w:eastAsia="仿宋_GB2312"/>
          <w:sz w:val="32"/>
          <w:szCs w:val="32"/>
          <w:highlight w:val="none"/>
          <w:lang w:val="en-US" w:eastAsia="zh-CN"/>
        </w:rPr>
        <w:t>反映除上述项目以外其他用于教育方面的支出。</w:t>
      </w:r>
    </w:p>
    <w:p>
      <w:pPr>
        <w:pStyle w:val="7"/>
        <w:keepNext w:val="0"/>
        <w:keepLines w:val="0"/>
        <w:pageBreakBefore w:val="0"/>
        <w:widowControl/>
        <w:numPr>
          <w:ilvl w:val="0"/>
          <w:numId w:val="3"/>
        </w:numPr>
        <w:kinsoku/>
        <w:wordWrap/>
        <w:overflowPunct/>
        <w:topLinePunct w:val="0"/>
        <w:autoSpaceDE/>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_GB2312" w:eastAsia="仿宋_GB2312"/>
          <w:sz w:val="32"/>
          <w:szCs w:val="32"/>
          <w:highlight w:val="none"/>
          <w:lang w:val="en-US" w:eastAsia="zh-CN"/>
        </w:rPr>
      </w:pPr>
      <w:r>
        <w:rPr>
          <w:rFonts w:hint="eastAsia" w:ascii="仿宋_GB2312" w:hAnsi="宋体" w:eastAsia="仿宋_GB2312"/>
          <w:b/>
          <w:bCs/>
          <w:sz w:val="32"/>
          <w:szCs w:val="32"/>
          <w:highlight w:val="none"/>
        </w:rPr>
        <w:t>社会保障和就业支出</w:t>
      </w:r>
      <w:r>
        <w:rPr>
          <w:rFonts w:hint="eastAsia" w:ascii="仿宋_GB2312" w:hAnsi="宋体" w:eastAsia="仿宋_GB2312"/>
          <w:b/>
          <w:bCs/>
          <w:sz w:val="32"/>
          <w:szCs w:val="32"/>
          <w:highlight w:val="none"/>
          <w:lang w:eastAsia="zh-CN"/>
        </w:rPr>
        <w:t>（</w:t>
      </w:r>
      <w:r>
        <w:rPr>
          <w:rFonts w:hint="eastAsia" w:ascii="仿宋_GB2312" w:hAnsi="宋体" w:eastAsia="仿宋_GB2312"/>
          <w:b/>
          <w:bCs/>
          <w:sz w:val="32"/>
          <w:szCs w:val="32"/>
          <w:highlight w:val="none"/>
          <w:lang w:val="en-US" w:eastAsia="zh-CN"/>
        </w:rPr>
        <w:t>类）</w:t>
      </w:r>
      <w:r>
        <w:rPr>
          <w:rFonts w:hint="eastAsia" w:ascii="仿宋_GB2312" w:hAnsi="宋体" w:eastAsia="仿宋_GB2312"/>
          <w:b/>
          <w:bCs/>
          <w:color w:val="auto"/>
          <w:sz w:val="32"/>
          <w:szCs w:val="32"/>
          <w:highlight w:val="none"/>
          <w:lang w:val="en-US" w:eastAsia="zh-CN"/>
        </w:rPr>
        <w:t>行政事业单位养老支出</w:t>
      </w:r>
      <w:r>
        <w:rPr>
          <w:rFonts w:hint="eastAsia" w:ascii="仿宋_GB2312" w:hAnsi="宋体" w:eastAsia="仿宋_GB2312"/>
          <w:b/>
          <w:bCs/>
          <w:sz w:val="32"/>
          <w:szCs w:val="32"/>
          <w:highlight w:val="none"/>
          <w:lang w:val="en-US" w:eastAsia="zh-CN"/>
        </w:rPr>
        <w:t>（款）行政单位离退休</w:t>
      </w:r>
      <w:r>
        <w:rPr>
          <w:rFonts w:hint="eastAsia" w:ascii="仿宋_GB2312" w:hAnsi="宋体" w:eastAsia="仿宋_GB2312"/>
          <w:b/>
          <w:bCs/>
          <w:sz w:val="32"/>
          <w:szCs w:val="32"/>
          <w:highlight w:val="none"/>
          <w:lang w:eastAsia="zh-CN"/>
        </w:rPr>
        <w:t>（</w:t>
      </w:r>
      <w:r>
        <w:rPr>
          <w:rFonts w:hint="eastAsia" w:ascii="仿宋_GB2312" w:hAnsi="宋体" w:eastAsia="仿宋_GB2312"/>
          <w:b/>
          <w:bCs/>
          <w:sz w:val="32"/>
          <w:szCs w:val="32"/>
          <w:highlight w:val="none"/>
          <w:lang w:val="en-US" w:eastAsia="zh-CN"/>
        </w:rPr>
        <w:t>项）</w:t>
      </w:r>
      <w:r>
        <w:rPr>
          <w:rFonts w:hint="eastAsia" w:ascii="仿宋_GB2312" w:eastAsia="仿宋_GB2312"/>
          <w:b/>
          <w:bCs/>
          <w:sz w:val="32"/>
          <w:szCs w:val="32"/>
          <w:highlight w:val="none"/>
          <w:lang w:val="en-US" w:eastAsia="zh-CN"/>
        </w:rPr>
        <w:t>：</w:t>
      </w:r>
      <w:r>
        <w:rPr>
          <w:rFonts w:hint="eastAsia" w:ascii="仿宋_GB2312" w:eastAsia="仿宋_GB2312"/>
          <w:sz w:val="32"/>
          <w:highlight w:val="none"/>
        </w:rPr>
        <w:t>反映行政单位（包括实行公务员管理的事业单位）</w:t>
      </w:r>
      <w:r>
        <w:rPr>
          <w:rFonts w:hint="eastAsia" w:ascii="仿宋_GB2312" w:eastAsia="仿宋_GB2312"/>
          <w:sz w:val="32"/>
          <w:highlight w:val="none"/>
          <w:lang w:eastAsia="zh-CN"/>
        </w:rPr>
        <w:t>开支的离退休经费。</w:t>
      </w:r>
    </w:p>
    <w:p>
      <w:pPr>
        <w:pStyle w:val="7"/>
        <w:keepNext w:val="0"/>
        <w:keepLines w:val="0"/>
        <w:pageBreakBefore w:val="0"/>
        <w:widowControl/>
        <w:numPr>
          <w:ilvl w:val="0"/>
          <w:numId w:val="3"/>
        </w:numPr>
        <w:kinsoku/>
        <w:wordWrap/>
        <w:overflowPunct/>
        <w:topLinePunct w:val="0"/>
        <w:autoSpaceDE/>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_GB2312" w:eastAsia="仿宋_GB2312"/>
          <w:sz w:val="32"/>
          <w:szCs w:val="32"/>
          <w:highlight w:val="none"/>
          <w:lang w:val="en-US" w:eastAsia="zh-CN"/>
        </w:rPr>
      </w:pPr>
      <w:r>
        <w:rPr>
          <w:rFonts w:hint="eastAsia" w:ascii="仿宋_GB2312" w:hAnsi="宋体" w:eastAsia="仿宋_GB2312"/>
          <w:b/>
          <w:bCs/>
          <w:sz w:val="32"/>
          <w:szCs w:val="32"/>
          <w:highlight w:val="none"/>
        </w:rPr>
        <w:t>社会保障和就业支出</w:t>
      </w:r>
      <w:r>
        <w:rPr>
          <w:rFonts w:hint="eastAsia" w:ascii="仿宋_GB2312" w:hAnsi="宋体" w:eastAsia="仿宋_GB2312"/>
          <w:b/>
          <w:bCs/>
          <w:sz w:val="32"/>
          <w:szCs w:val="32"/>
          <w:highlight w:val="none"/>
          <w:lang w:eastAsia="zh-CN"/>
        </w:rPr>
        <w:t>（</w:t>
      </w:r>
      <w:r>
        <w:rPr>
          <w:rFonts w:hint="eastAsia" w:ascii="仿宋_GB2312" w:hAnsi="宋体" w:eastAsia="仿宋_GB2312"/>
          <w:b/>
          <w:bCs/>
          <w:sz w:val="32"/>
          <w:szCs w:val="32"/>
          <w:highlight w:val="none"/>
          <w:lang w:val="en-US" w:eastAsia="zh-CN"/>
        </w:rPr>
        <w:t>类）</w:t>
      </w:r>
      <w:r>
        <w:rPr>
          <w:rFonts w:hint="eastAsia" w:ascii="仿宋_GB2312" w:hAnsi="宋体" w:eastAsia="仿宋_GB2312"/>
          <w:b/>
          <w:bCs/>
          <w:color w:val="auto"/>
          <w:sz w:val="32"/>
          <w:szCs w:val="32"/>
          <w:highlight w:val="none"/>
          <w:lang w:val="en-US" w:eastAsia="zh-CN"/>
        </w:rPr>
        <w:t>行政事业单位养老支出</w:t>
      </w:r>
      <w:r>
        <w:rPr>
          <w:rFonts w:hint="eastAsia" w:ascii="仿宋_GB2312" w:hAnsi="宋体" w:eastAsia="仿宋_GB2312"/>
          <w:b/>
          <w:bCs/>
          <w:sz w:val="32"/>
          <w:szCs w:val="32"/>
          <w:highlight w:val="none"/>
          <w:lang w:val="en-US" w:eastAsia="zh-CN"/>
        </w:rPr>
        <w:t>（款）  机关事业单位基本养老保险缴费支出</w:t>
      </w:r>
      <w:r>
        <w:rPr>
          <w:rFonts w:hint="eastAsia" w:ascii="仿宋_GB2312" w:hAnsi="宋体" w:eastAsia="仿宋_GB2312"/>
          <w:b/>
          <w:bCs/>
          <w:sz w:val="32"/>
          <w:szCs w:val="32"/>
          <w:highlight w:val="none"/>
          <w:lang w:eastAsia="zh-CN"/>
        </w:rPr>
        <w:t>（</w:t>
      </w:r>
      <w:r>
        <w:rPr>
          <w:rFonts w:hint="eastAsia" w:ascii="仿宋_GB2312" w:hAnsi="宋体" w:eastAsia="仿宋_GB2312"/>
          <w:b/>
          <w:bCs/>
          <w:sz w:val="32"/>
          <w:szCs w:val="32"/>
          <w:highlight w:val="none"/>
          <w:lang w:val="en-US" w:eastAsia="zh-CN"/>
        </w:rPr>
        <w:t>项）</w:t>
      </w:r>
      <w:r>
        <w:rPr>
          <w:rFonts w:hint="eastAsia" w:ascii="仿宋_GB2312" w:eastAsia="仿宋_GB2312"/>
          <w:b/>
          <w:bCs/>
          <w:sz w:val="32"/>
          <w:szCs w:val="32"/>
          <w:highlight w:val="none"/>
          <w:lang w:val="en-US" w:eastAsia="zh-CN"/>
        </w:rPr>
        <w:t>：</w:t>
      </w:r>
      <w:r>
        <w:rPr>
          <w:rFonts w:hint="eastAsia" w:ascii="仿宋_GB2312" w:eastAsia="仿宋_GB2312"/>
          <w:sz w:val="32"/>
          <w:szCs w:val="32"/>
          <w:highlight w:val="none"/>
          <w:lang w:val="en-US" w:eastAsia="zh-CN"/>
        </w:rPr>
        <w:t>反映事业单位实施养老保险制度由单位实际缴纳的基本养老保险费支出。</w:t>
      </w:r>
    </w:p>
    <w:p>
      <w:pPr>
        <w:pStyle w:val="7"/>
        <w:keepNext w:val="0"/>
        <w:keepLines w:val="0"/>
        <w:pageBreakBefore w:val="0"/>
        <w:widowControl/>
        <w:numPr>
          <w:ilvl w:val="0"/>
          <w:numId w:val="3"/>
        </w:numPr>
        <w:kinsoku/>
        <w:wordWrap/>
        <w:overflowPunct/>
        <w:topLinePunct w:val="0"/>
        <w:autoSpaceDE/>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_GB2312" w:eastAsia="仿宋_GB2312"/>
          <w:sz w:val="32"/>
          <w:szCs w:val="32"/>
          <w:highlight w:val="none"/>
          <w:lang w:val="en-US" w:eastAsia="zh-CN"/>
        </w:rPr>
      </w:pPr>
      <w:r>
        <w:rPr>
          <w:rFonts w:hint="eastAsia" w:ascii="仿宋_GB2312" w:hAnsi="宋体" w:eastAsia="仿宋_GB2312"/>
          <w:b/>
          <w:bCs/>
          <w:sz w:val="32"/>
          <w:szCs w:val="32"/>
          <w:highlight w:val="none"/>
        </w:rPr>
        <w:t>社会保障和就业支出</w:t>
      </w:r>
      <w:r>
        <w:rPr>
          <w:rFonts w:hint="eastAsia" w:ascii="仿宋_GB2312" w:hAnsi="宋体" w:eastAsia="仿宋_GB2312"/>
          <w:b/>
          <w:bCs/>
          <w:sz w:val="32"/>
          <w:szCs w:val="32"/>
          <w:highlight w:val="none"/>
          <w:lang w:eastAsia="zh-CN"/>
        </w:rPr>
        <w:t>（</w:t>
      </w:r>
      <w:r>
        <w:rPr>
          <w:rFonts w:hint="eastAsia" w:ascii="仿宋_GB2312" w:hAnsi="宋体" w:eastAsia="仿宋_GB2312"/>
          <w:b/>
          <w:bCs/>
          <w:sz w:val="32"/>
          <w:szCs w:val="32"/>
          <w:highlight w:val="none"/>
          <w:lang w:val="en-US" w:eastAsia="zh-CN"/>
        </w:rPr>
        <w:t>类）</w:t>
      </w:r>
      <w:r>
        <w:rPr>
          <w:rFonts w:hint="eastAsia" w:ascii="仿宋_GB2312" w:hAnsi="宋体" w:eastAsia="仿宋_GB2312"/>
          <w:b/>
          <w:bCs/>
          <w:color w:val="auto"/>
          <w:sz w:val="32"/>
          <w:szCs w:val="32"/>
          <w:highlight w:val="none"/>
          <w:lang w:val="en-US" w:eastAsia="zh-CN"/>
        </w:rPr>
        <w:t>行政事业单位养老支出</w:t>
      </w:r>
      <w:r>
        <w:rPr>
          <w:rFonts w:hint="eastAsia" w:ascii="仿宋_GB2312" w:hAnsi="宋体" w:eastAsia="仿宋_GB2312"/>
          <w:b/>
          <w:bCs/>
          <w:sz w:val="32"/>
          <w:szCs w:val="32"/>
          <w:highlight w:val="none"/>
          <w:lang w:val="en-US" w:eastAsia="zh-CN"/>
        </w:rPr>
        <w:t>（款）    机关事业单位职业年金缴费支出</w:t>
      </w:r>
      <w:r>
        <w:rPr>
          <w:rFonts w:hint="eastAsia" w:ascii="仿宋_GB2312" w:hAnsi="宋体" w:eastAsia="仿宋_GB2312"/>
          <w:b/>
          <w:bCs/>
          <w:sz w:val="32"/>
          <w:szCs w:val="32"/>
          <w:highlight w:val="none"/>
          <w:lang w:eastAsia="zh-CN"/>
        </w:rPr>
        <w:t>（</w:t>
      </w:r>
      <w:r>
        <w:rPr>
          <w:rFonts w:hint="eastAsia" w:ascii="仿宋_GB2312" w:hAnsi="宋体" w:eastAsia="仿宋_GB2312"/>
          <w:b/>
          <w:bCs/>
          <w:sz w:val="32"/>
          <w:szCs w:val="32"/>
          <w:highlight w:val="none"/>
          <w:lang w:val="en-US" w:eastAsia="zh-CN"/>
        </w:rPr>
        <w:t>项）</w:t>
      </w:r>
      <w:r>
        <w:rPr>
          <w:rFonts w:hint="eastAsia" w:ascii="仿宋_GB2312" w:eastAsia="仿宋_GB2312"/>
          <w:b/>
          <w:bCs/>
          <w:sz w:val="32"/>
          <w:szCs w:val="32"/>
          <w:highlight w:val="none"/>
          <w:lang w:val="en-US" w:eastAsia="zh-CN"/>
        </w:rPr>
        <w:t>：</w:t>
      </w:r>
      <w:r>
        <w:rPr>
          <w:rFonts w:hint="eastAsia" w:ascii="仿宋_GB2312" w:eastAsia="仿宋_GB2312"/>
          <w:sz w:val="32"/>
          <w:szCs w:val="32"/>
          <w:highlight w:val="none"/>
          <w:lang w:val="en-US" w:eastAsia="zh-CN"/>
        </w:rPr>
        <w:t>反映事业单位实施养老保险制度由单位实际缴纳的职业年金支出。</w:t>
      </w:r>
    </w:p>
    <w:p>
      <w:pPr>
        <w:pStyle w:val="7"/>
        <w:keepNext w:val="0"/>
        <w:keepLines w:val="0"/>
        <w:pageBreakBefore w:val="0"/>
        <w:widowControl/>
        <w:numPr>
          <w:ilvl w:val="0"/>
          <w:numId w:val="3"/>
        </w:numPr>
        <w:kinsoku/>
        <w:wordWrap/>
        <w:overflowPunct/>
        <w:topLinePunct w:val="0"/>
        <w:autoSpaceDE/>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_GB2312" w:eastAsia="仿宋_GB2312"/>
          <w:sz w:val="32"/>
          <w:szCs w:val="32"/>
          <w:highlight w:val="none"/>
          <w:lang w:val="en-US" w:eastAsia="zh-CN"/>
        </w:rPr>
      </w:pPr>
      <w:r>
        <w:rPr>
          <w:rFonts w:hint="eastAsia" w:ascii="仿宋_GB2312" w:hAnsi="宋体" w:eastAsia="仿宋_GB2312"/>
          <w:b/>
          <w:bCs/>
          <w:sz w:val="32"/>
          <w:szCs w:val="32"/>
          <w:highlight w:val="none"/>
        </w:rPr>
        <w:t>社会保障和就业支出</w:t>
      </w:r>
      <w:r>
        <w:rPr>
          <w:rFonts w:hint="eastAsia" w:ascii="仿宋_GB2312" w:hAnsi="宋体" w:eastAsia="仿宋_GB2312"/>
          <w:b/>
          <w:bCs/>
          <w:sz w:val="32"/>
          <w:szCs w:val="32"/>
          <w:highlight w:val="none"/>
          <w:lang w:eastAsia="zh-CN"/>
        </w:rPr>
        <w:t>（</w:t>
      </w:r>
      <w:r>
        <w:rPr>
          <w:rFonts w:hint="eastAsia" w:ascii="仿宋_GB2312" w:hAnsi="宋体" w:eastAsia="仿宋_GB2312"/>
          <w:b/>
          <w:bCs/>
          <w:sz w:val="32"/>
          <w:szCs w:val="32"/>
          <w:highlight w:val="none"/>
          <w:lang w:val="en-US" w:eastAsia="zh-CN"/>
        </w:rPr>
        <w:t>类）</w:t>
      </w:r>
      <w:r>
        <w:rPr>
          <w:rFonts w:hint="eastAsia" w:ascii="仿宋_GB2312" w:hAnsi="宋体" w:eastAsia="仿宋_GB2312"/>
          <w:b/>
          <w:bCs/>
          <w:color w:val="auto"/>
          <w:sz w:val="32"/>
          <w:szCs w:val="32"/>
          <w:highlight w:val="none"/>
          <w:lang w:val="en-US" w:eastAsia="zh-CN"/>
        </w:rPr>
        <w:t>就业补助</w:t>
      </w:r>
      <w:r>
        <w:rPr>
          <w:rFonts w:hint="eastAsia" w:ascii="仿宋_GB2312" w:hAnsi="宋体" w:eastAsia="仿宋_GB2312"/>
          <w:b/>
          <w:bCs/>
          <w:sz w:val="32"/>
          <w:szCs w:val="32"/>
          <w:highlight w:val="none"/>
          <w:lang w:val="en-US" w:eastAsia="zh-CN"/>
        </w:rPr>
        <w:t>（款）高技能人才培养补助</w:t>
      </w:r>
      <w:r>
        <w:rPr>
          <w:rFonts w:hint="eastAsia" w:ascii="仿宋_GB2312" w:hAnsi="宋体" w:eastAsia="仿宋_GB2312"/>
          <w:b/>
          <w:bCs/>
          <w:sz w:val="32"/>
          <w:szCs w:val="32"/>
          <w:highlight w:val="none"/>
          <w:lang w:eastAsia="zh-CN"/>
        </w:rPr>
        <w:t>（</w:t>
      </w:r>
      <w:r>
        <w:rPr>
          <w:rFonts w:hint="eastAsia" w:ascii="仿宋_GB2312" w:hAnsi="宋体" w:eastAsia="仿宋_GB2312"/>
          <w:b/>
          <w:bCs/>
          <w:sz w:val="32"/>
          <w:szCs w:val="32"/>
          <w:highlight w:val="none"/>
          <w:lang w:val="en-US" w:eastAsia="zh-CN"/>
        </w:rPr>
        <w:t>项）</w:t>
      </w:r>
      <w:r>
        <w:rPr>
          <w:rFonts w:hint="eastAsia" w:ascii="仿宋_GB2312" w:eastAsia="仿宋_GB2312"/>
          <w:b/>
          <w:bCs/>
          <w:sz w:val="32"/>
          <w:szCs w:val="32"/>
          <w:highlight w:val="none"/>
          <w:lang w:val="en-US" w:eastAsia="zh-CN"/>
        </w:rPr>
        <w:t>：</w:t>
      </w:r>
      <w:r>
        <w:rPr>
          <w:rFonts w:hint="eastAsia" w:ascii="仿宋_GB2312" w:eastAsia="仿宋_GB2312"/>
          <w:sz w:val="32"/>
          <w:szCs w:val="32"/>
          <w:highlight w:val="none"/>
          <w:lang w:val="en-US" w:eastAsia="zh-CN"/>
        </w:rPr>
        <w:t>反映财政用于技能大师工作室建设等方面的补助支出。</w:t>
      </w:r>
    </w:p>
    <w:p>
      <w:pPr>
        <w:pStyle w:val="7"/>
        <w:keepNext w:val="0"/>
        <w:keepLines w:val="0"/>
        <w:pageBreakBefore w:val="0"/>
        <w:widowControl/>
        <w:numPr>
          <w:ilvl w:val="0"/>
          <w:numId w:val="3"/>
        </w:numPr>
        <w:kinsoku/>
        <w:wordWrap/>
        <w:overflowPunct/>
        <w:topLinePunct w:val="0"/>
        <w:autoSpaceDE/>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_GB2312" w:eastAsia="仿宋_GB2312"/>
          <w:b w:val="0"/>
          <w:bCs w:val="0"/>
          <w:sz w:val="32"/>
          <w:szCs w:val="32"/>
          <w:highlight w:val="none"/>
          <w:lang w:val="en-US" w:eastAsia="zh-CN"/>
        </w:rPr>
      </w:pPr>
      <w:r>
        <w:rPr>
          <w:rFonts w:hint="eastAsia" w:ascii="仿宋_GB2312" w:hAnsi="宋体" w:eastAsia="仿宋_GB2312"/>
          <w:b/>
          <w:bCs/>
          <w:sz w:val="32"/>
          <w:szCs w:val="32"/>
          <w:highlight w:val="none"/>
        </w:rPr>
        <w:t>社会保障和就业支出</w:t>
      </w:r>
      <w:r>
        <w:rPr>
          <w:rFonts w:hint="eastAsia" w:ascii="仿宋_GB2312" w:hAnsi="宋体" w:eastAsia="仿宋_GB2312"/>
          <w:b/>
          <w:bCs/>
          <w:sz w:val="32"/>
          <w:szCs w:val="32"/>
          <w:highlight w:val="none"/>
          <w:lang w:eastAsia="zh-CN"/>
        </w:rPr>
        <w:t>（</w:t>
      </w:r>
      <w:r>
        <w:rPr>
          <w:rFonts w:hint="eastAsia" w:ascii="仿宋_GB2312" w:hAnsi="宋体" w:eastAsia="仿宋_GB2312"/>
          <w:b/>
          <w:bCs/>
          <w:sz w:val="32"/>
          <w:szCs w:val="32"/>
          <w:highlight w:val="none"/>
          <w:lang w:val="en-US" w:eastAsia="zh-CN"/>
        </w:rPr>
        <w:t>类）抚恤（款）伤残抚恤</w:t>
      </w:r>
      <w:r>
        <w:rPr>
          <w:rFonts w:hint="eastAsia" w:ascii="仿宋_GB2312" w:hAnsi="宋体" w:eastAsia="仿宋_GB2312"/>
          <w:b/>
          <w:bCs/>
          <w:sz w:val="32"/>
          <w:szCs w:val="32"/>
          <w:highlight w:val="none"/>
          <w:lang w:eastAsia="zh-CN"/>
        </w:rPr>
        <w:t>（</w:t>
      </w:r>
      <w:r>
        <w:rPr>
          <w:rFonts w:hint="eastAsia" w:ascii="仿宋_GB2312" w:hAnsi="宋体" w:eastAsia="仿宋_GB2312"/>
          <w:b/>
          <w:bCs/>
          <w:sz w:val="32"/>
          <w:szCs w:val="32"/>
          <w:highlight w:val="none"/>
          <w:lang w:val="en-US" w:eastAsia="zh-CN"/>
        </w:rPr>
        <w:t>项）</w:t>
      </w:r>
      <w:r>
        <w:rPr>
          <w:rFonts w:hint="eastAsia" w:ascii="仿宋_GB2312" w:eastAsia="仿宋_GB2312"/>
          <w:b/>
          <w:bCs/>
          <w:sz w:val="32"/>
          <w:szCs w:val="32"/>
          <w:highlight w:val="none"/>
          <w:lang w:val="en-US" w:eastAsia="zh-CN"/>
        </w:rPr>
        <w:t>：</w:t>
      </w:r>
      <w:r>
        <w:rPr>
          <w:rFonts w:hint="eastAsia" w:ascii="仿宋_GB2312" w:eastAsia="仿宋_GB2312"/>
          <w:b w:val="0"/>
          <w:bCs w:val="0"/>
          <w:sz w:val="32"/>
          <w:szCs w:val="32"/>
          <w:highlight w:val="none"/>
          <w:lang w:val="en-US" w:eastAsia="zh-CN"/>
        </w:rPr>
        <w:t>反映按规定用于伤残人员的抚恤金和按规定开支的各种伤残补助费。</w:t>
      </w:r>
    </w:p>
    <w:p>
      <w:pPr>
        <w:pStyle w:val="7"/>
        <w:keepNext w:val="0"/>
        <w:keepLines w:val="0"/>
        <w:pageBreakBefore w:val="0"/>
        <w:widowControl/>
        <w:numPr>
          <w:ilvl w:val="0"/>
          <w:numId w:val="3"/>
        </w:numPr>
        <w:kinsoku/>
        <w:wordWrap/>
        <w:overflowPunct/>
        <w:topLinePunct w:val="0"/>
        <w:autoSpaceDE/>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_GB2312" w:eastAsia="仿宋_GB2312"/>
          <w:sz w:val="32"/>
          <w:szCs w:val="32"/>
          <w:highlight w:val="none"/>
          <w:lang w:val="en-US" w:eastAsia="zh-CN"/>
        </w:rPr>
      </w:pPr>
      <w:r>
        <w:rPr>
          <w:rFonts w:hint="eastAsia" w:ascii="仿宋_GB2312" w:hAnsi="宋体" w:eastAsia="仿宋_GB2312"/>
          <w:b/>
          <w:bCs/>
          <w:sz w:val="32"/>
          <w:szCs w:val="32"/>
          <w:highlight w:val="none"/>
          <w:lang w:val="en-US" w:eastAsia="zh-CN"/>
        </w:rPr>
        <w:t>卫生健康支出</w:t>
      </w:r>
      <w:r>
        <w:rPr>
          <w:rFonts w:hint="eastAsia" w:ascii="仿宋_GB2312" w:hAnsi="宋体" w:eastAsia="仿宋_GB2312"/>
          <w:b/>
          <w:bCs/>
          <w:sz w:val="32"/>
          <w:szCs w:val="32"/>
          <w:highlight w:val="none"/>
          <w:lang w:eastAsia="zh-CN"/>
        </w:rPr>
        <w:t>（</w:t>
      </w:r>
      <w:r>
        <w:rPr>
          <w:rFonts w:hint="eastAsia" w:ascii="仿宋_GB2312" w:hAnsi="宋体" w:eastAsia="仿宋_GB2312"/>
          <w:b/>
          <w:bCs/>
          <w:sz w:val="32"/>
          <w:szCs w:val="32"/>
          <w:highlight w:val="none"/>
          <w:lang w:val="en-US" w:eastAsia="zh-CN"/>
        </w:rPr>
        <w:t>类）</w:t>
      </w:r>
      <w:r>
        <w:rPr>
          <w:rFonts w:hint="eastAsia" w:ascii="仿宋_GB2312" w:hAnsi="宋体" w:eastAsia="仿宋_GB2312"/>
          <w:b/>
          <w:bCs/>
          <w:color w:val="auto"/>
          <w:sz w:val="32"/>
          <w:szCs w:val="32"/>
          <w:highlight w:val="none"/>
          <w:lang w:val="en-US" w:eastAsia="zh-CN"/>
        </w:rPr>
        <w:t>行政事业单位医疗</w:t>
      </w:r>
      <w:r>
        <w:rPr>
          <w:rFonts w:hint="eastAsia" w:ascii="仿宋_GB2312" w:hAnsi="宋体" w:eastAsia="仿宋_GB2312"/>
          <w:b/>
          <w:bCs/>
          <w:sz w:val="32"/>
          <w:szCs w:val="32"/>
          <w:highlight w:val="none"/>
          <w:lang w:val="en-US" w:eastAsia="zh-CN"/>
        </w:rPr>
        <w:t>（款）行政单位医疗</w:t>
      </w:r>
      <w:r>
        <w:rPr>
          <w:rFonts w:hint="eastAsia" w:ascii="仿宋_GB2312" w:hAnsi="宋体" w:eastAsia="仿宋_GB2312"/>
          <w:b/>
          <w:bCs/>
          <w:sz w:val="32"/>
          <w:szCs w:val="32"/>
          <w:highlight w:val="none"/>
          <w:lang w:eastAsia="zh-CN"/>
        </w:rPr>
        <w:t>（</w:t>
      </w:r>
      <w:r>
        <w:rPr>
          <w:rFonts w:hint="eastAsia" w:ascii="仿宋_GB2312" w:hAnsi="宋体" w:eastAsia="仿宋_GB2312"/>
          <w:b/>
          <w:bCs/>
          <w:sz w:val="32"/>
          <w:szCs w:val="32"/>
          <w:highlight w:val="none"/>
          <w:lang w:val="en-US" w:eastAsia="zh-CN"/>
        </w:rPr>
        <w:t>项）</w:t>
      </w:r>
      <w:r>
        <w:rPr>
          <w:rFonts w:hint="eastAsia" w:ascii="仿宋_GB2312" w:eastAsia="仿宋_GB2312"/>
          <w:b/>
          <w:bCs/>
          <w:sz w:val="32"/>
          <w:szCs w:val="32"/>
          <w:highlight w:val="none"/>
          <w:lang w:val="en-US" w:eastAsia="zh-CN"/>
        </w:rPr>
        <w:t>：</w:t>
      </w:r>
      <w:r>
        <w:rPr>
          <w:rFonts w:hint="eastAsia" w:ascii="仿宋_GB2312" w:eastAsia="仿宋_GB2312"/>
          <w:color w:val="000000"/>
          <w:sz w:val="32"/>
          <w:szCs w:val="32"/>
        </w:rPr>
        <w:t>反映财政部门集中安排的行政单位基本医疗保险缴费经费，未参加医疗保险的行政单位的公费医疗经费，按国家规定享受离休人员、红军老战士待遇人员的医疗经费。</w:t>
      </w:r>
    </w:p>
    <w:p>
      <w:pPr>
        <w:pStyle w:val="7"/>
        <w:keepNext w:val="0"/>
        <w:keepLines w:val="0"/>
        <w:pageBreakBefore w:val="0"/>
        <w:widowControl/>
        <w:numPr>
          <w:ilvl w:val="0"/>
          <w:numId w:val="3"/>
        </w:numPr>
        <w:kinsoku/>
        <w:wordWrap/>
        <w:overflowPunct/>
        <w:topLinePunct w:val="0"/>
        <w:autoSpaceDE/>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_GB2312" w:eastAsia="仿宋_GB2312"/>
          <w:sz w:val="32"/>
          <w:szCs w:val="32"/>
          <w:highlight w:val="none"/>
          <w:lang w:val="en-US" w:eastAsia="zh-CN"/>
        </w:rPr>
      </w:pPr>
      <w:r>
        <w:rPr>
          <w:rFonts w:hint="eastAsia" w:ascii="仿宋_GB2312" w:hAnsi="宋体" w:eastAsia="仿宋_GB2312"/>
          <w:b/>
          <w:bCs/>
          <w:sz w:val="32"/>
          <w:szCs w:val="32"/>
          <w:highlight w:val="none"/>
          <w:lang w:val="en-US" w:eastAsia="zh-CN"/>
        </w:rPr>
        <w:t>节能环保支出</w:t>
      </w:r>
      <w:r>
        <w:rPr>
          <w:rFonts w:hint="eastAsia" w:ascii="仿宋_GB2312" w:hAnsi="宋体" w:eastAsia="仿宋_GB2312"/>
          <w:b/>
          <w:bCs/>
          <w:sz w:val="32"/>
          <w:szCs w:val="32"/>
          <w:highlight w:val="none"/>
          <w:lang w:eastAsia="zh-CN"/>
        </w:rPr>
        <w:t>（</w:t>
      </w:r>
      <w:r>
        <w:rPr>
          <w:rFonts w:hint="eastAsia" w:ascii="仿宋_GB2312" w:hAnsi="宋体" w:eastAsia="仿宋_GB2312"/>
          <w:b/>
          <w:bCs/>
          <w:sz w:val="32"/>
          <w:szCs w:val="32"/>
          <w:highlight w:val="none"/>
          <w:lang w:val="en-US" w:eastAsia="zh-CN"/>
        </w:rPr>
        <w:t>类）</w:t>
      </w:r>
      <w:r>
        <w:rPr>
          <w:rFonts w:hint="eastAsia" w:ascii="仿宋_GB2312" w:hAnsi="宋体" w:eastAsia="仿宋_GB2312"/>
          <w:b/>
          <w:bCs/>
          <w:color w:val="auto"/>
          <w:sz w:val="32"/>
          <w:szCs w:val="32"/>
          <w:highlight w:val="none"/>
          <w:lang w:val="en-US" w:eastAsia="zh-CN"/>
        </w:rPr>
        <w:t>其他节能环保支出</w:t>
      </w:r>
      <w:r>
        <w:rPr>
          <w:rFonts w:hint="eastAsia" w:ascii="仿宋_GB2312" w:hAnsi="宋体" w:eastAsia="仿宋_GB2312"/>
          <w:b/>
          <w:bCs/>
          <w:sz w:val="32"/>
          <w:szCs w:val="32"/>
          <w:highlight w:val="none"/>
          <w:lang w:val="en-US" w:eastAsia="zh-CN"/>
        </w:rPr>
        <w:t>（款）其他节能环保支出</w:t>
      </w:r>
      <w:r>
        <w:rPr>
          <w:rFonts w:hint="eastAsia" w:ascii="仿宋_GB2312" w:hAnsi="宋体" w:eastAsia="仿宋_GB2312"/>
          <w:b/>
          <w:bCs/>
          <w:sz w:val="32"/>
          <w:szCs w:val="32"/>
          <w:highlight w:val="none"/>
          <w:lang w:eastAsia="zh-CN"/>
        </w:rPr>
        <w:t>（</w:t>
      </w:r>
      <w:r>
        <w:rPr>
          <w:rFonts w:hint="eastAsia" w:ascii="仿宋_GB2312" w:hAnsi="宋体" w:eastAsia="仿宋_GB2312"/>
          <w:b/>
          <w:bCs/>
          <w:sz w:val="32"/>
          <w:szCs w:val="32"/>
          <w:highlight w:val="none"/>
          <w:lang w:val="en-US" w:eastAsia="zh-CN"/>
        </w:rPr>
        <w:t>项）</w:t>
      </w:r>
      <w:r>
        <w:rPr>
          <w:rFonts w:hint="eastAsia" w:ascii="仿宋_GB2312" w:eastAsia="仿宋_GB2312"/>
          <w:b/>
          <w:bCs/>
          <w:sz w:val="32"/>
          <w:szCs w:val="32"/>
          <w:highlight w:val="none"/>
          <w:lang w:val="en-US" w:eastAsia="zh-CN"/>
        </w:rPr>
        <w:t>：</w:t>
      </w:r>
      <w:r>
        <w:rPr>
          <w:rFonts w:hint="eastAsia" w:ascii="仿宋_GB2312" w:eastAsia="仿宋_GB2312"/>
          <w:sz w:val="32"/>
          <w:szCs w:val="32"/>
          <w:highlight w:val="none"/>
          <w:lang w:val="en-US" w:eastAsia="zh-CN"/>
        </w:rPr>
        <w:t>反映上述项目以外其他用于节能环保方面的支出。</w:t>
      </w:r>
    </w:p>
    <w:p>
      <w:pPr>
        <w:pStyle w:val="7"/>
        <w:keepNext w:val="0"/>
        <w:keepLines w:val="0"/>
        <w:pageBreakBefore w:val="0"/>
        <w:widowControl/>
        <w:numPr>
          <w:ilvl w:val="0"/>
          <w:numId w:val="3"/>
        </w:numPr>
        <w:kinsoku/>
        <w:wordWrap/>
        <w:overflowPunct/>
        <w:topLinePunct w:val="0"/>
        <w:autoSpaceDE/>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_GB2312" w:eastAsia="仿宋_GB2312"/>
          <w:sz w:val="32"/>
          <w:szCs w:val="32"/>
          <w:highlight w:val="none"/>
          <w:lang w:val="en-US" w:eastAsia="zh-CN"/>
        </w:rPr>
      </w:pPr>
      <w:r>
        <w:rPr>
          <w:rFonts w:hint="eastAsia" w:ascii="仿宋_GB2312" w:hAnsi="宋体" w:eastAsia="仿宋_GB2312"/>
          <w:b/>
          <w:bCs/>
          <w:sz w:val="32"/>
          <w:szCs w:val="32"/>
          <w:highlight w:val="none"/>
          <w:lang w:val="en-US" w:eastAsia="zh-CN"/>
        </w:rPr>
        <w:t>住房保障支出</w:t>
      </w:r>
      <w:r>
        <w:rPr>
          <w:rFonts w:hint="eastAsia" w:ascii="仿宋_GB2312" w:hAnsi="宋体" w:eastAsia="仿宋_GB2312"/>
          <w:b/>
          <w:bCs/>
          <w:sz w:val="32"/>
          <w:szCs w:val="32"/>
          <w:highlight w:val="none"/>
          <w:lang w:eastAsia="zh-CN"/>
        </w:rPr>
        <w:t>（</w:t>
      </w:r>
      <w:r>
        <w:rPr>
          <w:rFonts w:hint="eastAsia" w:ascii="仿宋_GB2312" w:hAnsi="宋体" w:eastAsia="仿宋_GB2312"/>
          <w:b/>
          <w:bCs/>
          <w:sz w:val="32"/>
          <w:szCs w:val="32"/>
          <w:highlight w:val="none"/>
          <w:lang w:val="en-US" w:eastAsia="zh-CN"/>
        </w:rPr>
        <w:t>类）</w:t>
      </w:r>
      <w:r>
        <w:rPr>
          <w:rFonts w:hint="eastAsia" w:ascii="仿宋_GB2312" w:hAnsi="宋体" w:eastAsia="仿宋_GB2312"/>
          <w:b/>
          <w:bCs/>
          <w:color w:val="auto"/>
          <w:sz w:val="32"/>
          <w:szCs w:val="32"/>
          <w:highlight w:val="none"/>
          <w:lang w:val="en-US" w:eastAsia="zh-CN"/>
        </w:rPr>
        <w:t>住房改革支出</w:t>
      </w:r>
      <w:r>
        <w:rPr>
          <w:rFonts w:hint="eastAsia" w:ascii="仿宋_GB2312" w:hAnsi="宋体" w:eastAsia="仿宋_GB2312"/>
          <w:b/>
          <w:bCs/>
          <w:sz w:val="32"/>
          <w:szCs w:val="32"/>
          <w:highlight w:val="none"/>
          <w:lang w:val="en-US" w:eastAsia="zh-CN"/>
        </w:rPr>
        <w:t>（款）住房公积金</w:t>
      </w:r>
      <w:r>
        <w:rPr>
          <w:rFonts w:hint="eastAsia" w:ascii="仿宋_GB2312" w:hAnsi="宋体" w:eastAsia="仿宋_GB2312"/>
          <w:b/>
          <w:bCs/>
          <w:sz w:val="32"/>
          <w:szCs w:val="32"/>
          <w:highlight w:val="none"/>
          <w:lang w:eastAsia="zh-CN"/>
        </w:rPr>
        <w:t>（</w:t>
      </w:r>
      <w:r>
        <w:rPr>
          <w:rFonts w:hint="eastAsia" w:ascii="仿宋_GB2312" w:hAnsi="宋体" w:eastAsia="仿宋_GB2312"/>
          <w:b/>
          <w:bCs/>
          <w:sz w:val="32"/>
          <w:szCs w:val="32"/>
          <w:highlight w:val="none"/>
          <w:lang w:val="en-US" w:eastAsia="zh-CN"/>
        </w:rPr>
        <w:t>项）</w:t>
      </w:r>
      <w:r>
        <w:rPr>
          <w:rFonts w:hint="eastAsia" w:ascii="仿宋_GB2312" w:eastAsia="仿宋_GB2312"/>
          <w:b/>
          <w:bCs/>
          <w:sz w:val="32"/>
          <w:szCs w:val="32"/>
          <w:highlight w:val="none"/>
          <w:lang w:val="en-US" w:eastAsia="zh-CN"/>
        </w:rPr>
        <w:t>：</w:t>
      </w:r>
      <w:r>
        <w:rPr>
          <w:rFonts w:hint="eastAsia" w:ascii="仿宋_GB2312" w:eastAsia="仿宋_GB2312"/>
          <w:color w:val="000000"/>
          <w:sz w:val="32"/>
          <w:szCs w:val="32"/>
        </w:rPr>
        <w:t>反映行政事业单位按人力资源和社会保障部、财政部规定的基本工资和津贴补贴以及规定比例为职工缴纳的住房公积金。</w:t>
      </w:r>
    </w:p>
    <w:p>
      <w:pPr>
        <w:pStyle w:val="7"/>
        <w:keepNext w:val="0"/>
        <w:keepLines w:val="0"/>
        <w:pageBreakBefore w:val="0"/>
        <w:widowControl/>
        <w:numPr>
          <w:ilvl w:val="0"/>
          <w:numId w:val="3"/>
        </w:numPr>
        <w:kinsoku/>
        <w:wordWrap/>
        <w:overflowPunct/>
        <w:topLinePunct w:val="0"/>
        <w:autoSpaceDE/>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_GB2312" w:eastAsia="仿宋_GB2312"/>
          <w:b/>
          <w:bCs/>
          <w:sz w:val="32"/>
          <w:szCs w:val="32"/>
          <w:highlight w:val="none"/>
          <w:lang w:val="en-US" w:eastAsia="zh-CN"/>
        </w:rPr>
      </w:pPr>
      <w:r>
        <w:rPr>
          <w:rFonts w:hint="eastAsia" w:ascii="仿宋_GB2312" w:hAnsi="宋体" w:eastAsia="仿宋_GB2312"/>
          <w:b/>
          <w:bCs/>
          <w:sz w:val="32"/>
          <w:szCs w:val="32"/>
          <w:highlight w:val="none"/>
          <w:lang w:val="en-US" w:eastAsia="zh-CN"/>
        </w:rPr>
        <w:t>住房保障支出</w:t>
      </w:r>
      <w:r>
        <w:rPr>
          <w:rFonts w:hint="eastAsia" w:ascii="仿宋_GB2312" w:hAnsi="宋体" w:eastAsia="仿宋_GB2312"/>
          <w:b/>
          <w:bCs/>
          <w:sz w:val="32"/>
          <w:szCs w:val="32"/>
          <w:highlight w:val="none"/>
          <w:lang w:eastAsia="zh-CN"/>
        </w:rPr>
        <w:t>（</w:t>
      </w:r>
      <w:r>
        <w:rPr>
          <w:rFonts w:hint="eastAsia" w:ascii="仿宋_GB2312" w:hAnsi="宋体" w:eastAsia="仿宋_GB2312"/>
          <w:b/>
          <w:bCs/>
          <w:sz w:val="32"/>
          <w:szCs w:val="32"/>
          <w:highlight w:val="none"/>
          <w:lang w:val="en-US" w:eastAsia="zh-CN"/>
        </w:rPr>
        <w:t>类）</w:t>
      </w:r>
      <w:r>
        <w:rPr>
          <w:rFonts w:hint="eastAsia" w:ascii="仿宋_GB2312" w:hAnsi="宋体" w:eastAsia="仿宋_GB2312"/>
          <w:b/>
          <w:bCs/>
          <w:color w:val="auto"/>
          <w:sz w:val="32"/>
          <w:szCs w:val="32"/>
          <w:highlight w:val="none"/>
          <w:lang w:val="en-US" w:eastAsia="zh-CN"/>
        </w:rPr>
        <w:t>住房改革支出</w:t>
      </w:r>
      <w:r>
        <w:rPr>
          <w:rFonts w:hint="eastAsia" w:ascii="仿宋_GB2312" w:hAnsi="宋体" w:eastAsia="仿宋_GB2312"/>
          <w:b/>
          <w:bCs/>
          <w:sz w:val="32"/>
          <w:szCs w:val="32"/>
          <w:highlight w:val="none"/>
          <w:lang w:val="en-US" w:eastAsia="zh-CN"/>
        </w:rPr>
        <w:t>（款）购房补贴</w:t>
      </w:r>
      <w:r>
        <w:rPr>
          <w:rFonts w:hint="eastAsia" w:ascii="仿宋_GB2312" w:hAnsi="宋体" w:eastAsia="仿宋_GB2312"/>
          <w:b/>
          <w:bCs/>
          <w:sz w:val="32"/>
          <w:szCs w:val="32"/>
          <w:highlight w:val="none"/>
          <w:lang w:eastAsia="zh-CN"/>
        </w:rPr>
        <w:t>（</w:t>
      </w:r>
      <w:r>
        <w:rPr>
          <w:rFonts w:hint="eastAsia" w:ascii="仿宋_GB2312" w:hAnsi="宋体" w:eastAsia="仿宋_GB2312"/>
          <w:b/>
          <w:bCs/>
          <w:sz w:val="32"/>
          <w:szCs w:val="32"/>
          <w:highlight w:val="none"/>
          <w:lang w:val="en-US" w:eastAsia="zh-CN"/>
        </w:rPr>
        <w:t>项）</w:t>
      </w:r>
      <w:r>
        <w:rPr>
          <w:rFonts w:hint="eastAsia" w:ascii="仿宋_GB2312" w:eastAsia="仿宋_GB2312"/>
          <w:b/>
          <w:bCs/>
          <w:sz w:val="32"/>
          <w:szCs w:val="32"/>
          <w:highlight w:val="none"/>
          <w:lang w:val="en-US" w:eastAsia="zh-CN"/>
        </w:rPr>
        <w:t>：</w:t>
      </w:r>
      <w:r>
        <w:rPr>
          <w:rFonts w:hint="eastAsia" w:ascii="仿宋_GB2312" w:eastAsia="仿宋_GB2312"/>
          <w:color w:val="000000"/>
          <w:sz w:val="32"/>
          <w:szCs w:val="32"/>
        </w:rPr>
        <w:t>反映按房改政策规定，行政事业单位向符合条件职工（含离退休人员）、军队（含武警）向转役复员离退休人员发放的用于购买住房的补贴。</w:t>
      </w:r>
    </w:p>
    <w:p>
      <w:pPr>
        <w:pStyle w:val="7"/>
        <w:keepNext w:val="0"/>
        <w:keepLines w:val="0"/>
        <w:pageBreakBefore w:val="0"/>
        <w:widowControl/>
        <w:numPr>
          <w:ilvl w:val="0"/>
          <w:numId w:val="3"/>
        </w:numPr>
        <w:kinsoku/>
        <w:wordWrap/>
        <w:overflowPunct/>
        <w:topLinePunct w:val="0"/>
        <w:autoSpaceDE/>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_GB2312" w:eastAsia="仿宋_GB2312"/>
          <w:b/>
          <w:bCs/>
          <w:sz w:val="32"/>
          <w:szCs w:val="32"/>
          <w:highlight w:val="none"/>
          <w:lang w:val="en-US" w:eastAsia="zh-CN"/>
        </w:rPr>
      </w:pPr>
      <w:r>
        <w:rPr>
          <w:rFonts w:hint="eastAsia" w:ascii="仿宋_GB2312" w:hAnsi="宋体" w:eastAsia="仿宋_GB2312"/>
          <w:b/>
          <w:bCs/>
          <w:sz w:val="32"/>
          <w:szCs w:val="32"/>
          <w:highlight w:val="none"/>
          <w:lang w:val="en-US" w:eastAsia="zh-CN"/>
        </w:rPr>
        <w:t>住房保障支出</w:t>
      </w:r>
      <w:r>
        <w:rPr>
          <w:rFonts w:hint="eastAsia" w:ascii="仿宋_GB2312" w:hAnsi="宋体" w:eastAsia="仿宋_GB2312"/>
          <w:b/>
          <w:bCs/>
          <w:sz w:val="32"/>
          <w:szCs w:val="32"/>
          <w:highlight w:val="none"/>
          <w:lang w:eastAsia="zh-CN"/>
        </w:rPr>
        <w:t>（</w:t>
      </w:r>
      <w:r>
        <w:rPr>
          <w:rFonts w:hint="eastAsia" w:ascii="仿宋_GB2312" w:hAnsi="宋体" w:eastAsia="仿宋_GB2312"/>
          <w:b/>
          <w:bCs/>
          <w:sz w:val="32"/>
          <w:szCs w:val="32"/>
          <w:highlight w:val="none"/>
          <w:lang w:val="en-US" w:eastAsia="zh-CN"/>
        </w:rPr>
        <w:t>类）</w:t>
      </w:r>
      <w:r>
        <w:rPr>
          <w:rFonts w:hint="eastAsia" w:ascii="仿宋_GB2312" w:hAnsi="宋体" w:eastAsia="仿宋_GB2312"/>
          <w:b/>
          <w:bCs/>
          <w:color w:val="auto"/>
          <w:sz w:val="32"/>
          <w:szCs w:val="32"/>
          <w:highlight w:val="none"/>
          <w:lang w:val="en-US" w:eastAsia="zh-CN"/>
        </w:rPr>
        <w:t>住房改革支出</w:t>
      </w:r>
      <w:r>
        <w:rPr>
          <w:rFonts w:hint="eastAsia" w:ascii="仿宋_GB2312" w:hAnsi="宋体" w:eastAsia="仿宋_GB2312"/>
          <w:b/>
          <w:bCs/>
          <w:sz w:val="32"/>
          <w:szCs w:val="32"/>
          <w:highlight w:val="none"/>
          <w:lang w:val="en-US" w:eastAsia="zh-CN"/>
        </w:rPr>
        <w:t>（款）</w:t>
      </w:r>
      <w:r>
        <w:rPr>
          <w:rFonts w:hint="eastAsia" w:ascii="仿宋_GB2312" w:eastAsia="仿宋_GB2312"/>
          <w:b/>
          <w:bCs/>
          <w:sz w:val="32"/>
          <w:szCs w:val="32"/>
          <w:highlight w:val="none"/>
          <w:lang w:val="en-US" w:eastAsia="zh-CN"/>
        </w:rPr>
        <w:t>提租补贴</w:t>
      </w:r>
      <w:r>
        <w:rPr>
          <w:rFonts w:hint="eastAsia" w:ascii="仿宋_GB2312" w:hAnsi="宋体" w:eastAsia="仿宋_GB2312"/>
          <w:b/>
          <w:bCs/>
          <w:sz w:val="32"/>
          <w:szCs w:val="32"/>
          <w:highlight w:val="none"/>
          <w:lang w:eastAsia="zh-CN"/>
        </w:rPr>
        <w:t>（</w:t>
      </w:r>
      <w:r>
        <w:rPr>
          <w:rFonts w:hint="eastAsia" w:ascii="仿宋_GB2312" w:hAnsi="宋体" w:eastAsia="仿宋_GB2312"/>
          <w:b/>
          <w:bCs/>
          <w:sz w:val="32"/>
          <w:szCs w:val="32"/>
          <w:highlight w:val="none"/>
          <w:lang w:val="en-US" w:eastAsia="zh-CN"/>
        </w:rPr>
        <w:t>项）</w:t>
      </w:r>
      <w:r>
        <w:rPr>
          <w:rFonts w:hint="eastAsia" w:ascii="仿宋_GB2312" w:eastAsia="仿宋_GB2312"/>
          <w:b/>
          <w:bCs/>
          <w:sz w:val="32"/>
          <w:szCs w:val="32"/>
          <w:highlight w:val="none"/>
          <w:lang w:val="en-US" w:eastAsia="zh-CN"/>
        </w:rPr>
        <w:t>：</w:t>
      </w:r>
    </w:p>
    <w:p>
      <w:pPr>
        <w:pStyle w:val="7"/>
        <w:keepNext w:val="0"/>
        <w:keepLines w:val="0"/>
        <w:pageBreakBefore w:val="0"/>
        <w:widowControl/>
        <w:numPr>
          <w:ilvl w:val="0"/>
          <w:numId w:val="0"/>
        </w:numPr>
        <w:kinsoku/>
        <w:wordWrap/>
        <w:overflowPunct/>
        <w:topLinePunct w:val="0"/>
        <w:autoSpaceDE/>
        <w:bidi w:val="0"/>
        <w:adjustRightInd/>
        <w:snapToGrid/>
        <w:spacing w:before="0" w:beforeLines="0" w:after="0" w:afterLines="0" w:line="560" w:lineRule="exact"/>
        <w:ind w:right="0" w:rightChars="0"/>
        <w:jc w:val="both"/>
        <w:textAlignment w:val="auto"/>
        <w:outlineLvl w:val="9"/>
        <w:rPr>
          <w:rFonts w:hint="eastAsia" w:ascii="仿宋_GB2312" w:eastAsia="仿宋_GB2312"/>
          <w:sz w:val="32"/>
          <w:szCs w:val="32"/>
          <w:highlight w:val="none"/>
          <w:lang w:val="en-US" w:eastAsia="zh-CN"/>
        </w:rPr>
        <w:sectPr>
          <w:pgSz w:w="11906" w:h="16838"/>
          <w:pgMar w:top="2097" w:right="1474" w:bottom="1984" w:left="1587"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_GB2312" w:eastAsia="仿宋_GB2312"/>
          <w:color w:val="000000"/>
          <w:sz w:val="32"/>
          <w:szCs w:val="32"/>
        </w:rPr>
        <w:t>反映按房改政策规定，行政事业单位职工（含离退休人员）发放的租金补贴。</w:t>
      </w:r>
    </w:p>
    <w:p>
      <w:pPr>
        <w:pStyle w:val="7"/>
        <w:spacing w:line="560" w:lineRule="exact"/>
        <w:ind w:firstLine="640"/>
        <w:rPr>
          <w:rFonts w:hint="default" w:ascii="仿宋_GB2312" w:eastAsia="仿宋_GB2312"/>
          <w:i/>
          <w:sz w:val="32"/>
          <w:u w:val="single"/>
        </w:rPr>
      </w:pPr>
    </w:p>
    <w:p>
      <w:pPr>
        <w:pStyle w:val="7"/>
        <w:spacing w:line="560" w:lineRule="atLeast"/>
        <w:jc w:val="left"/>
        <w:rPr>
          <w:rFonts w:hint="default" w:ascii="仿宋_GB2312" w:hAnsi="仿宋_GB2312" w:eastAsia="仿宋_GB2312" w:cs="仿宋_GB2312"/>
          <w:b/>
          <w:sz w:val="52"/>
          <w:szCs w:val="52"/>
        </w:rPr>
      </w:pPr>
    </w:p>
    <w:p>
      <w:pPr>
        <w:pStyle w:val="7"/>
        <w:spacing w:line="560" w:lineRule="atLeast"/>
        <w:jc w:val="left"/>
        <w:rPr>
          <w:rFonts w:hint="default" w:ascii="仿宋_GB2312" w:hAnsi="仿宋_GB2312" w:eastAsia="仿宋_GB2312" w:cs="仿宋_GB2312"/>
          <w:b/>
          <w:sz w:val="52"/>
          <w:szCs w:val="52"/>
        </w:rPr>
      </w:pPr>
    </w:p>
    <w:p>
      <w:pPr>
        <w:pStyle w:val="7"/>
        <w:spacing w:line="560" w:lineRule="atLeast"/>
        <w:jc w:val="left"/>
        <w:rPr>
          <w:rFonts w:hint="default" w:ascii="仿宋_GB2312" w:hAnsi="仿宋_GB2312" w:eastAsia="仿宋_GB2312" w:cs="仿宋_GB2312"/>
          <w:b/>
          <w:sz w:val="52"/>
          <w:szCs w:val="52"/>
        </w:rPr>
      </w:pPr>
    </w:p>
    <w:p>
      <w:pPr>
        <w:pStyle w:val="7"/>
        <w:numPr>
          <w:ilvl w:val="0"/>
          <w:numId w:val="4"/>
        </w:numPr>
        <w:spacing w:line="560" w:lineRule="atLeast"/>
        <w:jc w:val="center"/>
        <w:rPr>
          <w:rFonts w:ascii="仿宋_GB2312" w:hAnsi="仿宋_GB2312" w:eastAsia="仿宋_GB2312" w:cs="仿宋_GB2312"/>
          <w:b/>
          <w:sz w:val="52"/>
          <w:szCs w:val="52"/>
        </w:rPr>
      </w:pPr>
      <w:r>
        <w:rPr>
          <w:rFonts w:ascii="仿宋_GB2312" w:hAnsi="仿宋_GB2312" w:eastAsia="仿宋_GB2312" w:cs="仿宋_GB2312"/>
          <w:b/>
          <w:sz w:val="52"/>
          <w:szCs w:val="52"/>
        </w:rPr>
        <w:t xml:space="preserve">分 </w:t>
      </w:r>
      <w:r>
        <w:rPr>
          <w:rFonts w:hint="eastAsia" w:ascii="仿宋_GB2312" w:hAnsi="仿宋_GB2312" w:eastAsia="仿宋_GB2312" w:cs="仿宋_GB2312"/>
          <w:b/>
          <w:sz w:val="52"/>
          <w:szCs w:val="52"/>
          <w:lang w:eastAsia="zh-CN"/>
        </w:rPr>
        <w:t>沈阳市人力资源和社会保障局</w:t>
      </w:r>
    </w:p>
    <w:p>
      <w:pPr>
        <w:pStyle w:val="7"/>
        <w:numPr>
          <w:ilvl w:val="0"/>
          <w:numId w:val="0"/>
        </w:numPr>
        <w:spacing w:line="560" w:lineRule="atLeast"/>
        <w:ind w:firstLine="5742" w:firstLineChars="1100"/>
        <w:jc w:val="both"/>
        <w:rPr>
          <w:rFonts w:ascii="仿宋_GB2312" w:hAnsi="仿宋_GB2312" w:eastAsia="仿宋_GB2312" w:cs="仿宋_GB2312"/>
          <w:b/>
          <w:sz w:val="52"/>
          <w:szCs w:val="52"/>
        </w:rPr>
      </w:pPr>
      <w:r>
        <w:rPr>
          <w:rFonts w:ascii="仿宋_GB2312" w:hAnsi="仿宋_GB2312" w:eastAsia="仿宋_GB2312" w:cs="仿宋_GB2312"/>
          <w:b/>
          <w:sz w:val="52"/>
          <w:szCs w:val="52"/>
        </w:rPr>
        <w:t>2021年度部门决算表</w:t>
      </w:r>
    </w:p>
    <w:p>
      <w:pPr>
        <w:pStyle w:val="7"/>
        <w:numPr>
          <w:ilvl w:val="0"/>
          <w:numId w:val="0"/>
        </w:numPr>
        <w:spacing w:line="560" w:lineRule="atLeast"/>
        <w:ind w:firstLine="5742" w:firstLineChars="1100"/>
        <w:jc w:val="both"/>
        <w:rPr>
          <w:rFonts w:hint="eastAsia" w:ascii="仿宋_GB2312" w:hAnsi="仿宋_GB2312" w:eastAsia="仿宋_GB2312" w:cs="仿宋_GB2312"/>
          <w:b/>
          <w:sz w:val="52"/>
          <w:szCs w:val="52"/>
          <w:lang w:eastAsia="zh-CN"/>
        </w:rPr>
      </w:pPr>
      <w:r>
        <w:rPr>
          <w:rFonts w:hint="eastAsia" w:ascii="仿宋_GB2312" w:hAnsi="仿宋_GB2312" w:eastAsia="仿宋_GB2312" w:cs="仿宋_GB2312"/>
          <w:b/>
          <w:sz w:val="52"/>
          <w:szCs w:val="52"/>
          <w:lang w:eastAsia="zh-CN"/>
        </w:rPr>
        <w:t>（含三公经费）</w:t>
      </w:r>
    </w:p>
    <w:p>
      <w:pPr>
        <w:pStyle w:val="7"/>
        <w:widowControl/>
        <w:numPr>
          <w:ilvl w:val="0"/>
          <w:numId w:val="0"/>
        </w:numPr>
        <w:spacing w:line="560" w:lineRule="atLeast"/>
        <w:jc w:val="both"/>
        <w:rPr>
          <w:rFonts w:hint="default" w:ascii="仿宋_GB2312" w:hAnsi="仿宋_GB2312" w:eastAsia="仿宋_GB2312" w:cs="仿宋_GB2312"/>
          <w:b/>
          <w:sz w:val="52"/>
          <w:szCs w:val="52"/>
        </w:rPr>
      </w:pPr>
    </w:p>
    <w:p>
      <w:pPr>
        <w:pStyle w:val="7"/>
        <w:widowControl/>
        <w:numPr>
          <w:ilvl w:val="0"/>
          <w:numId w:val="0"/>
        </w:numPr>
        <w:spacing w:line="560" w:lineRule="atLeast"/>
        <w:jc w:val="both"/>
        <w:rPr>
          <w:rFonts w:hint="default" w:ascii="仿宋_GB2312" w:hAnsi="仿宋_GB2312" w:eastAsia="仿宋_GB2312" w:cs="仿宋_GB2312"/>
          <w:b/>
          <w:sz w:val="52"/>
          <w:szCs w:val="52"/>
        </w:rPr>
      </w:pPr>
    </w:p>
    <w:p>
      <w:pPr>
        <w:pStyle w:val="7"/>
        <w:widowControl/>
        <w:numPr>
          <w:ilvl w:val="0"/>
          <w:numId w:val="0"/>
        </w:numPr>
        <w:spacing w:line="560" w:lineRule="atLeast"/>
        <w:jc w:val="center"/>
        <w:rPr>
          <w:rFonts w:hint="default" w:ascii="仿宋_GB2312" w:hAnsi="仿宋_GB2312" w:eastAsia="仿宋_GB2312" w:cs="仿宋_GB2312"/>
          <w:b/>
          <w:sz w:val="52"/>
          <w:szCs w:val="52"/>
        </w:rPr>
      </w:pPr>
    </w:p>
    <w:p>
      <w:pPr>
        <w:pStyle w:val="7"/>
        <w:widowControl/>
        <w:numPr>
          <w:ilvl w:val="0"/>
          <w:numId w:val="0"/>
        </w:numPr>
        <w:spacing w:line="560" w:lineRule="atLeast"/>
        <w:jc w:val="center"/>
        <w:rPr>
          <w:rFonts w:hint="default" w:ascii="仿宋_GB2312" w:hAnsi="仿宋_GB2312" w:eastAsia="仿宋_GB2312" w:cs="仿宋_GB2312"/>
          <w:b/>
          <w:sz w:val="52"/>
          <w:szCs w:val="52"/>
        </w:rPr>
      </w:pPr>
    </w:p>
    <w:p>
      <w:pPr>
        <w:widowControl/>
        <w:spacing w:line="560" w:lineRule="atLeast"/>
        <w:rPr>
          <w:rFonts w:hint="default" w:ascii="仿宋_GB2312" w:hAnsi="宋体" w:eastAsia="仿宋_GB2312"/>
          <w:kern w:val="0"/>
          <w:sz w:val="24"/>
        </w:rPr>
      </w:pPr>
      <w:r>
        <w:rPr>
          <w:rFonts w:ascii="仿宋_GB2312" w:hAnsi="宋体" w:eastAsia="仿宋_GB2312"/>
          <w:kern w:val="0"/>
          <w:sz w:val="24"/>
        </w:rPr>
        <w:t xml:space="preserve">附件1-1                                          </w:t>
      </w:r>
      <w:r>
        <w:rPr>
          <w:rFonts w:ascii="宋体" w:hAnsi="宋体"/>
          <w:b/>
          <w:color w:val="000000"/>
          <w:kern w:val="0"/>
          <w:sz w:val="28"/>
          <w:shd w:val="clear" w:color="auto" w:fill="FFFFFF"/>
        </w:rPr>
        <w:t>收入支出决算总表</w:t>
      </w:r>
    </w:p>
    <w:tbl>
      <w:tblPr>
        <w:tblStyle w:val="5"/>
        <w:tblW w:w="14560" w:type="dxa"/>
        <w:jc w:val="center"/>
        <w:tblLayout w:type="fixed"/>
        <w:tblCellMar>
          <w:top w:w="0" w:type="dxa"/>
          <w:left w:w="108" w:type="dxa"/>
          <w:bottom w:w="0" w:type="dxa"/>
          <w:right w:w="108" w:type="dxa"/>
        </w:tblCellMar>
      </w:tblPr>
      <w:tblGrid>
        <w:gridCol w:w="2562"/>
        <w:gridCol w:w="680"/>
        <w:gridCol w:w="1607"/>
        <w:gridCol w:w="2712"/>
        <w:gridCol w:w="1334"/>
        <w:gridCol w:w="1328"/>
        <w:gridCol w:w="1607"/>
        <w:gridCol w:w="2730"/>
      </w:tblGrid>
      <w:tr>
        <w:tblPrEx>
          <w:tblCellMar>
            <w:top w:w="0" w:type="dxa"/>
            <w:left w:w="108" w:type="dxa"/>
            <w:bottom w:w="0" w:type="dxa"/>
            <w:right w:w="108" w:type="dxa"/>
          </w:tblCellMar>
        </w:tblPrEx>
        <w:trPr>
          <w:trHeight w:val="312" w:hRule="exact"/>
          <w:jc w:val="center"/>
        </w:trPr>
        <w:tc>
          <w:tcPr>
            <w:tcW w:w="14560" w:type="dxa"/>
            <w:gridSpan w:val="8"/>
            <w:tcBorders>
              <w:top w:val="nil"/>
              <w:left w:val="nil"/>
              <w:bottom w:val="nil"/>
              <w:right w:val="nil"/>
            </w:tcBorders>
            <w:shd w:val="clear" w:color="auto" w:fill="FFFFFF"/>
            <w:vAlign w:val="center"/>
          </w:tcPr>
          <w:p>
            <w:pPr>
              <w:widowControl/>
              <w:shd w:val="clear" w:color="auto" w:fill="FFFFFF"/>
              <w:spacing w:line="153" w:lineRule="atLeast"/>
              <w:jc w:val="right"/>
              <w:rPr>
                <w:rFonts w:hint="default" w:ascii="宋体"/>
                <w:b/>
                <w:color w:val="000000"/>
                <w:kern w:val="0"/>
                <w:shd w:val="clear" w:color="auto" w:fill="FFFFFF"/>
              </w:rPr>
            </w:pPr>
            <w:r>
              <w:rPr>
                <w:rFonts w:ascii="宋体" w:hAnsi="宋体"/>
                <w:b/>
                <w:color w:val="000000"/>
                <w:kern w:val="0"/>
                <w:sz w:val="28"/>
                <w:shd w:val="clear" w:color="auto" w:fill="FFFFFF"/>
              </w:rPr>
              <w:t xml:space="preserve">                                                                                         </w:t>
            </w:r>
            <w:r>
              <w:rPr>
                <w:rFonts w:ascii="宋体" w:hAnsi="宋体"/>
                <w:color w:val="000000"/>
                <w:kern w:val="0"/>
                <w:shd w:val="clear" w:color="auto" w:fill="FFFFFF"/>
              </w:rPr>
              <w:t>公开01表</w:t>
            </w:r>
            <w:r>
              <w:rPr>
                <w:rFonts w:ascii="宋体" w:hAnsi="宋体"/>
                <w:b/>
                <w:color w:val="000000"/>
                <w:kern w:val="0"/>
                <w:sz w:val="28"/>
                <w:shd w:val="clear" w:color="auto" w:fill="FFFFFF"/>
              </w:rPr>
              <w:t xml:space="preserve">  </w:t>
            </w:r>
          </w:p>
        </w:tc>
      </w:tr>
      <w:tr>
        <w:tblPrEx>
          <w:tblCellMar>
            <w:top w:w="0" w:type="dxa"/>
            <w:left w:w="108" w:type="dxa"/>
            <w:bottom w:w="0" w:type="dxa"/>
            <w:right w:w="108" w:type="dxa"/>
          </w:tblCellMar>
        </w:tblPrEx>
        <w:trPr>
          <w:trHeight w:val="312" w:hRule="exact"/>
          <w:jc w:val="center"/>
        </w:trPr>
        <w:tc>
          <w:tcPr>
            <w:tcW w:w="2562" w:type="dxa"/>
            <w:tcBorders>
              <w:top w:val="nil"/>
              <w:left w:val="nil"/>
              <w:bottom w:val="nil"/>
              <w:right w:val="nil"/>
            </w:tcBorders>
            <w:shd w:val="clear" w:color="auto" w:fill="FFFFFF"/>
            <w:vAlign w:val="bottom"/>
          </w:tcPr>
          <w:p>
            <w:pPr>
              <w:widowControl/>
              <w:shd w:val="clear" w:color="auto" w:fill="FFFFFF"/>
              <w:spacing w:line="150" w:lineRule="atLeast"/>
              <w:jc w:val="left"/>
              <w:rPr>
                <w:rFonts w:hint="default" w:ascii="宋体"/>
                <w:color w:val="000000"/>
                <w:kern w:val="0"/>
                <w:shd w:val="clear" w:color="auto" w:fill="FFFFFF"/>
              </w:rPr>
            </w:pPr>
            <w:r>
              <w:rPr>
                <w:rFonts w:ascii="宋体" w:hAnsi="宋体"/>
                <w:color w:val="000000"/>
                <w:kern w:val="0"/>
                <w:shd w:val="clear" w:color="auto" w:fill="FFFFFF"/>
              </w:rPr>
              <w:t>部门：</w:t>
            </w:r>
          </w:p>
        </w:tc>
        <w:tc>
          <w:tcPr>
            <w:tcW w:w="680"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z w:val="16"/>
                <w:shd w:val="clear" w:color="auto" w:fill="FFFFFF"/>
              </w:rPr>
            </w:pPr>
          </w:p>
        </w:tc>
        <w:tc>
          <w:tcPr>
            <w:tcW w:w="4319" w:type="dxa"/>
            <w:gridSpan w:val="2"/>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z w:val="16"/>
                <w:shd w:val="clear" w:color="auto" w:fill="FFFFFF"/>
              </w:rPr>
            </w:pPr>
          </w:p>
        </w:tc>
        <w:tc>
          <w:tcPr>
            <w:tcW w:w="1334"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z w:val="16"/>
                <w:shd w:val="clear" w:color="auto" w:fill="FFFFFF"/>
              </w:rPr>
            </w:pPr>
          </w:p>
        </w:tc>
        <w:tc>
          <w:tcPr>
            <w:tcW w:w="1328" w:type="dxa"/>
            <w:tcBorders>
              <w:top w:val="nil"/>
              <w:left w:val="nil"/>
              <w:bottom w:val="nil"/>
              <w:right w:val="nil"/>
            </w:tcBorders>
            <w:shd w:val="clear" w:color="auto" w:fill="auto"/>
            <w:vAlign w:val="bottom"/>
          </w:tcPr>
          <w:p>
            <w:pPr>
              <w:widowControl/>
              <w:shd w:val="clear" w:color="auto" w:fill="FFFFFF"/>
              <w:jc w:val="right"/>
              <w:rPr>
                <w:rFonts w:hint="default" w:ascii="宋体"/>
                <w:color w:val="000000"/>
                <w:kern w:val="0"/>
                <w:sz w:val="16"/>
                <w:shd w:val="clear" w:color="auto" w:fill="FFFFFF"/>
              </w:rPr>
            </w:pPr>
          </w:p>
        </w:tc>
        <w:tc>
          <w:tcPr>
            <w:tcW w:w="4337" w:type="dxa"/>
            <w:gridSpan w:val="2"/>
            <w:tcBorders>
              <w:top w:val="nil"/>
              <w:left w:val="nil"/>
              <w:bottom w:val="nil"/>
              <w:right w:val="nil"/>
            </w:tcBorders>
            <w:shd w:val="clear" w:color="auto" w:fill="FFFFFF"/>
            <w:vAlign w:val="bottom"/>
          </w:tcPr>
          <w:p>
            <w:pPr>
              <w:widowControl/>
              <w:shd w:val="clear" w:color="auto" w:fill="FFFFFF"/>
              <w:spacing w:line="150" w:lineRule="atLeast"/>
              <w:jc w:val="right"/>
              <w:rPr>
                <w:rFonts w:hint="default" w:ascii="宋体"/>
                <w:color w:val="000000"/>
                <w:kern w:val="0"/>
                <w:shd w:val="clear" w:color="auto" w:fill="FFFFFF"/>
              </w:rPr>
            </w:pPr>
            <w:r>
              <w:rPr>
                <w:rFonts w:ascii="宋体" w:hAnsi="宋体"/>
                <w:color w:val="000000"/>
                <w:kern w:val="0"/>
                <w:shd w:val="clear" w:color="auto" w:fill="FFFFFF"/>
              </w:rPr>
              <w:t>单位：万元</w:t>
            </w:r>
          </w:p>
        </w:tc>
      </w:tr>
      <w:tr>
        <w:tblPrEx>
          <w:tblCellMar>
            <w:top w:w="0" w:type="dxa"/>
            <w:left w:w="108" w:type="dxa"/>
            <w:bottom w:w="0" w:type="dxa"/>
            <w:right w:w="108" w:type="dxa"/>
          </w:tblCellMar>
        </w:tblPrEx>
        <w:trPr>
          <w:trHeight w:val="312" w:hRule="exact"/>
          <w:jc w:val="center"/>
        </w:trPr>
        <w:tc>
          <w:tcPr>
            <w:tcW w:w="756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spacing w:line="125" w:lineRule="atLeast"/>
              <w:jc w:val="center"/>
              <w:rPr>
                <w:rFonts w:hint="default" w:ascii="宋体"/>
                <w:color w:val="000000"/>
                <w:kern w:val="0"/>
                <w:shd w:val="clear" w:color="auto" w:fill="FFFFFF"/>
              </w:rPr>
            </w:pPr>
            <w:r>
              <w:rPr>
                <w:rFonts w:ascii="宋体" w:hAnsi="宋体"/>
                <w:color w:val="000000"/>
                <w:kern w:val="0"/>
                <w:shd w:val="clear" w:color="auto" w:fill="FFFFFF"/>
              </w:rPr>
              <w:t>收     入</w:t>
            </w:r>
          </w:p>
        </w:tc>
        <w:tc>
          <w:tcPr>
            <w:tcW w:w="6999" w:type="dxa"/>
            <w:gridSpan w:val="4"/>
            <w:tcBorders>
              <w:top w:val="single" w:color="000000" w:sz="4" w:space="0"/>
              <w:left w:val="nil"/>
              <w:bottom w:val="single" w:color="000000" w:sz="4" w:space="0"/>
              <w:right w:val="single" w:color="000000" w:sz="4" w:space="0"/>
            </w:tcBorders>
            <w:shd w:val="clear" w:color="auto" w:fill="FFFFFF"/>
            <w:vAlign w:val="center"/>
          </w:tcPr>
          <w:p>
            <w:pPr>
              <w:widowControl/>
              <w:shd w:val="clear" w:color="auto" w:fill="FFFFFF"/>
              <w:spacing w:line="125" w:lineRule="atLeast"/>
              <w:jc w:val="center"/>
              <w:rPr>
                <w:rFonts w:hint="default" w:ascii="宋体"/>
                <w:color w:val="000000"/>
                <w:kern w:val="0"/>
                <w:shd w:val="clear" w:color="auto" w:fill="FFFFFF"/>
              </w:rPr>
            </w:pPr>
            <w:r>
              <w:rPr>
                <w:rFonts w:ascii="宋体" w:hAnsi="宋体"/>
                <w:color w:val="000000"/>
                <w:kern w:val="0"/>
                <w:shd w:val="clear" w:color="auto" w:fill="FFFFFF"/>
              </w:rPr>
              <w:t>支     出</w:t>
            </w:r>
          </w:p>
        </w:tc>
      </w:tr>
      <w:tr>
        <w:tblPrEx>
          <w:tblCellMar>
            <w:top w:w="0" w:type="dxa"/>
            <w:left w:w="108" w:type="dxa"/>
            <w:bottom w:w="0" w:type="dxa"/>
            <w:right w:w="108" w:type="dxa"/>
          </w:tblCellMar>
        </w:tblPrEx>
        <w:trPr>
          <w:trHeight w:val="312" w:hRule="exact"/>
          <w:jc w:val="center"/>
        </w:trPr>
        <w:tc>
          <w:tcPr>
            <w:tcW w:w="324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default" w:ascii="宋体"/>
                <w:color w:val="000000"/>
                <w:kern w:val="0"/>
                <w:shd w:val="clear" w:color="auto" w:fill="FFFFFF"/>
              </w:rPr>
            </w:pPr>
            <w:r>
              <w:rPr>
                <w:rFonts w:ascii="宋体" w:hAnsi="宋体"/>
                <w:color w:val="000000"/>
                <w:kern w:val="0"/>
                <w:shd w:val="clear" w:color="auto" w:fill="FFFFFF"/>
              </w:rPr>
              <w:t>项    目</w:t>
            </w:r>
          </w:p>
        </w:tc>
        <w:tc>
          <w:tcPr>
            <w:tcW w:w="1607" w:type="dxa"/>
            <w:tcBorders>
              <w:top w:val="single" w:color="000000" w:sz="4" w:space="0"/>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color w:val="000000"/>
                <w:kern w:val="0"/>
                <w:shd w:val="clear" w:color="auto" w:fill="FFFFFF"/>
              </w:rPr>
            </w:pPr>
            <w:r>
              <w:rPr>
                <w:rFonts w:ascii="宋体" w:hAnsi="宋体"/>
                <w:color w:val="000000"/>
                <w:kern w:val="0"/>
                <w:shd w:val="clear" w:color="auto" w:fill="FFFFFF"/>
              </w:rPr>
              <w:t>行次</w:t>
            </w:r>
          </w:p>
        </w:tc>
        <w:tc>
          <w:tcPr>
            <w:tcW w:w="2712" w:type="dxa"/>
            <w:tcBorders>
              <w:top w:val="single" w:color="000000" w:sz="4" w:space="0"/>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color w:val="000000"/>
                <w:kern w:val="0"/>
                <w:shd w:val="clear" w:color="auto" w:fill="FFFFFF"/>
              </w:rPr>
            </w:pPr>
            <w:r>
              <w:rPr>
                <w:rFonts w:ascii="宋体" w:hAnsi="宋体"/>
                <w:color w:val="000000"/>
                <w:kern w:val="0"/>
                <w:shd w:val="clear" w:color="auto" w:fill="FFFFFF"/>
              </w:rPr>
              <w:t>决算数</w:t>
            </w:r>
          </w:p>
        </w:tc>
        <w:tc>
          <w:tcPr>
            <w:tcW w:w="266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color w:val="000000"/>
                <w:kern w:val="0"/>
                <w:shd w:val="clear" w:color="auto" w:fill="FFFFFF"/>
              </w:rPr>
            </w:pPr>
            <w:r>
              <w:rPr>
                <w:rFonts w:ascii="宋体" w:hAnsi="宋体"/>
                <w:color w:val="000000"/>
                <w:kern w:val="0"/>
                <w:shd w:val="clear" w:color="auto" w:fill="FFFFFF"/>
              </w:rPr>
              <w:t>项    目</w:t>
            </w:r>
          </w:p>
        </w:tc>
        <w:tc>
          <w:tcPr>
            <w:tcW w:w="160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color w:val="000000"/>
                <w:kern w:val="0"/>
              </w:rPr>
            </w:pPr>
            <w:r>
              <w:rPr>
                <w:rFonts w:ascii="宋体" w:hAnsi="宋体"/>
                <w:color w:val="000000"/>
                <w:kern w:val="0"/>
              </w:rPr>
              <w:t>行次</w:t>
            </w:r>
          </w:p>
        </w:tc>
        <w:tc>
          <w:tcPr>
            <w:tcW w:w="2730" w:type="dxa"/>
            <w:tcBorders>
              <w:top w:val="single" w:color="000000" w:sz="4" w:space="0"/>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color w:val="000000"/>
                <w:kern w:val="0"/>
                <w:shd w:val="clear" w:color="auto" w:fill="FFFFFF"/>
              </w:rPr>
            </w:pPr>
            <w:r>
              <w:rPr>
                <w:rFonts w:ascii="宋体" w:hAnsi="宋体"/>
                <w:color w:val="000000"/>
                <w:kern w:val="0"/>
                <w:shd w:val="clear" w:color="auto" w:fill="FFFFFF"/>
              </w:rPr>
              <w:t>决算数</w:t>
            </w:r>
          </w:p>
        </w:tc>
      </w:tr>
      <w:tr>
        <w:tblPrEx>
          <w:tblCellMar>
            <w:top w:w="0" w:type="dxa"/>
            <w:left w:w="108" w:type="dxa"/>
            <w:bottom w:w="0" w:type="dxa"/>
            <w:right w:w="108" w:type="dxa"/>
          </w:tblCellMar>
        </w:tblPrEx>
        <w:trPr>
          <w:trHeight w:val="312" w:hRule="exact"/>
          <w:jc w:val="center"/>
        </w:trPr>
        <w:tc>
          <w:tcPr>
            <w:tcW w:w="324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default" w:ascii="宋体"/>
                <w:color w:val="000000"/>
                <w:kern w:val="0"/>
                <w:shd w:val="clear" w:color="auto" w:fill="FFFFFF"/>
              </w:rPr>
            </w:pPr>
            <w:r>
              <w:rPr>
                <w:rFonts w:ascii="宋体" w:hAnsi="宋体"/>
                <w:color w:val="000000"/>
                <w:kern w:val="0"/>
                <w:shd w:val="clear" w:color="auto" w:fill="FFFFFF"/>
              </w:rPr>
              <w:t>栏    次</w:t>
            </w:r>
          </w:p>
        </w:tc>
        <w:tc>
          <w:tcPr>
            <w:tcW w:w="1607" w:type="dxa"/>
            <w:tcBorders>
              <w:top w:val="single" w:color="000000" w:sz="4" w:space="0"/>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color w:val="000000"/>
                <w:kern w:val="0"/>
                <w:shd w:val="clear" w:color="auto" w:fill="FFFFFF"/>
              </w:rPr>
            </w:pPr>
          </w:p>
        </w:tc>
        <w:tc>
          <w:tcPr>
            <w:tcW w:w="2712" w:type="dxa"/>
            <w:tcBorders>
              <w:top w:val="single" w:color="000000" w:sz="4" w:space="0"/>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color w:val="000000"/>
                <w:kern w:val="0"/>
                <w:shd w:val="clear" w:color="auto" w:fill="FFFFFF"/>
              </w:rPr>
            </w:pPr>
            <w:r>
              <w:rPr>
                <w:rFonts w:ascii="宋体" w:hAnsi="宋体"/>
                <w:color w:val="000000"/>
                <w:kern w:val="0"/>
                <w:shd w:val="clear" w:color="auto" w:fill="FFFFFF"/>
              </w:rPr>
              <w:t>1</w:t>
            </w:r>
          </w:p>
        </w:tc>
        <w:tc>
          <w:tcPr>
            <w:tcW w:w="266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color w:val="000000"/>
                <w:kern w:val="0"/>
                <w:shd w:val="clear" w:color="auto" w:fill="FFFFFF"/>
              </w:rPr>
            </w:pPr>
            <w:r>
              <w:rPr>
                <w:rFonts w:ascii="宋体" w:hAnsi="宋体"/>
                <w:color w:val="000000"/>
                <w:kern w:val="0"/>
                <w:shd w:val="clear" w:color="auto" w:fill="FFFFFF"/>
              </w:rPr>
              <w:t>栏    次</w:t>
            </w:r>
          </w:p>
        </w:tc>
        <w:tc>
          <w:tcPr>
            <w:tcW w:w="1607" w:type="dxa"/>
            <w:tcBorders>
              <w:top w:val="single" w:color="000000" w:sz="4" w:space="0"/>
              <w:left w:val="nil"/>
              <w:bottom w:val="single" w:color="000000" w:sz="4" w:space="0"/>
              <w:right w:val="single" w:color="000000" w:sz="4" w:space="0"/>
            </w:tcBorders>
            <w:vAlign w:val="center"/>
          </w:tcPr>
          <w:p>
            <w:pPr>
              <w:widowControl/>
              <w:jc w:val="center"/>
              <w:rPr>
                <w:rFonts w:hint="default" w:ascii="宋体"/>
                <w:color w:val="000000"/>
                <w:kern w:val="0"/>
              </w:rPr>
            </w:pPr>
          </w:p>
        </w:tc>
        <w:tc>
          <w:tcPr>
            <w:tcW w:w="2730" w:type="dxa"/>
            <w:tcBorders>
              <w:top w:val="single" w:color="000000" w:sz="4" w:space="0"/>
              <w:left w:val="nil"/>
              <w:bottom w:val="single" w:color="000000" w:sz="4" w:space="0"/>
              <w:right w:val="single" w:color="000000" w:sz="4" w:space="0"/>
            </w:tcBorders>
            <w:vAlign w:val="center"/>
          </w:tcPr>
          <w:p>
            <w:pPr>
              <w:widowControl/>
              <w:jc w:val="center"/>
              <w:rPr>
                <w:rFonts w:hint="default" w:ascii="宋体"/>
                <w:color w:val="000000"/>
                <w:kern w:val="0"/>
              </w:rPr>
            </w:pPr>
            <w:r>
              <w:rPr>
                <w:rFonts w:ascii="宋体" w:hAnsi="宋体"/>
                <w:color w:val="000000"/>
                <w:kern w:val="0"/>
              </w:rPr>
              <w:t>2</w:t>
            </w:r>
          </w:p>
        </w:tc>
      </w:tr>
      <w:tr>
        <w:tblPrEx>
          <w:tblCellMar>
            <w:top w:w="0" w:type="dxa"/>
            <w:left w:w="108" w:type="dxa"/>
            <w:bottom w:w="0" w:type="dxa"/>
            <w:right w:w="108" w:type="dxa"/>
          </w:tblCellMar>
        </w:tblPrEx>
        <w:trPr>
          <w:trHeight w:val="312" w:hRule="exact"/>
          <w:jc w:val="center"/>
        </w:trPr>
        <w:tc>
          <w:tcPr>
            <w:tcW w:w="324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color w:val="000000"/>
                <w:kern w:val="0"/>
              </w:rPr>
            </w:pPr>
            <w:r>
              <w:rPr>
                <w:rFonts w:ascii="宋体" w:hAnsi="宋体"/>
                <w:color w:val="000000"/>
                <w:kern w:val="0"/>
              </w:rPr>
              <w:t>一、一般公共预算财政拨款收入</w:t>
            </w:r>
          </w:p>
        </w:tc>
        <w:tc>
          <w:tcPr>
            <w:tcW w:w="1607" w:type="dxa"/>
            <w:tcBorders>
              <w:top w:val="single" w:color="000000" w:sz="4" w:space="0"/>
              <w:left w:val="nil"/>
              <w:bottom w:val="single" w:color="000000" w:sz="4" w:space="0"/>
              <w:right w:val="single" w:color="000000" w:sz="4" w:space="0"/>
            </w:tcBorders>
            <w:vAlign w:val="center"/>
          </w:tcPr>
          <w:p>
            <w:pPr>
              <w:widowControl/>
              <w:jc w:val="center"/>
              <w:rPr>
                <w:rFonts w:hint="default" w:ascii="宋体"/>
                <w:color w:val="000000"/>
                <w:kern w:val="0"/>
              </w:rPr>
            </w:pPr>
            <w:r>
              <w:rPr>
                <w:rFonts w:ascii="宋体" w:hAnsi="宋体"/>
                <w:color w:val="000000"/>
                <w:kern w:val="0"/>
              </w:rPr>
              <w:t>1</w:t>
            </w:r>
          </w:p>
        </w:tc>
        <w:tc>
          <w:tcPr>
            <w:tcW w:w="2712"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r>
              <w:rPr>
                <w:rFonts w:hint="default" w:ascii="宋体"/>
                <w:color w:val="000000"/>
                <w:kern w:val="0"/>
              </w:rPr>
              <w:t>26720.89</w:t>
            </w:r>
          </w:p>
        </w:tc>
        <w:tc>
          <w:tcPr>
            <w:tcW w:w="2662" w:type="dxa"/>
            <w:gridSpan w:val="2"/>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rPr>
            </w:pPr>
            <w:r>
              <w:rPr>
                <w:rFonts w:ascii="宋体" w:hAnsi="宋体"/>
                <w:color w:val="000000"/>
                <w:kern w:val="0"/>
              </w:rPr>
              <w:t>一、一般公共服务支出</w:t>
            </w:r>
          </w:p>
        </w:tc>
        <w:tc>
          <w:tcPr>
            <w:tcW w:w="1607"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eastAsia="宋体"/>
                <w:color w:val="000000"/>
                <w:kern w:val="0"/>
                <w:lang w:eastAsia="zh-CN"/>
              </w:rPr>
            </w:pPr>
            <w:r>
              <w:rPr>
                <w:rFonts w:ascii="宋体" w:hAnsi="宋体"/>
                <w:color w:val="000000"/>
                <w:kern w:val="0"/>
              </w:rPr>
              <w:t>1</w:t>
            </w:r>
            <w:r>
              <w:rPr>
                <w:rFonts w:hint="eastAsia" w:ascii="宋体" w:hAnsi="宋体"/>
                <w:color w:val="000000"/>
                <w:kern w:val="0"/>
                <w:lang w:val="en-US" w:eastAsia="zh-CN"/>
              </w:rPr>
              <w:t>6</w:t>
            </w:r>
          </w:p>
        </w:tc>
        <w:tc>
          <w:tcPr>
            <w:tcW w:w="2730" w:type="dxa"/>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rPr>
            </w:pPr>
          </w:p>
        </w:tc>
      </w:tr>
      <w:tr>
        <w:tblPrEx>
          <w:tblCellMar>
            <w:top w:w="0" w:type="dxa"/>
            <w:left w:w="108" w:type="dxa"/>
            <w:bottom w:w="0" w:type="dxa"/>
            <w:right w:w="108" w:type="dxa"/>
          </w:tblCellMar>
        </w:tblPrEx>
        <w:trPr>
          <w:trHeight w:val="312" w:hRule="exact"/>
          <w:jc w:val="center"/>
        </w:trPr>
        <w:tc>
          <w:tcPr>
            <w:tcW w:w="324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color w:val="000000"/>
                <w:kern w:val="0"/>
              </w:rPr>
            </w:pPr>
            <w:r>
              <w:rPr>
                <w:rFonts w:ascii="宋体" w:hAnsi="宋体"/>
                <w:color w:val="000000"/>
                <w:kern w:val="0"/>
              </w:rPr>
              <w:t>二、政府性基金预算财政拨款收入</w:t>
            </w:r>
          </w:p>
        </w:tc>
        <w:tc>
          <w:tcPr>
            <w:tcW w:w="1607" w:type="dxa"/>
            <w:tcBorders>
              <w:top w:val="single" w:color="000000" w:sz="4" w:space="0"/>
              <w:left w:val="nil"/>
              <w:bottom w:val="single" w:color="000000" w:sz="4" w:space="0"/>
              <w:right w:val="single" w:color="000000" w:sz="4" w:space="0"/>
            </w:tcBorders>
            <w:vAlign w:val="center"/>
          </w:tcPr>
          <w:p>
            <w:pPr>
              <w:widowControl/>
              <w:jc w:val="center"/>
              <w:rPr>
                <w:rFonts w:hint="default" w:ascii="宋体"/>
                <w:color w:val="000000"/>
                <w:kern w:val="0"/>
              </w:rPr>
            </w:pPr>
            <w:r>
              <w:rPr>
                <w:rFonts w:ascii="宋体" w:hAnsi="宋体"/>
                <w:color w:val="000000"/>
                <w:kern w:val="0"/>
              </w:rPr>
              <w:t>2</w:t>
            </w:r>
          </w:p>
        </w:tc>
        <w:tc>
          <w:tcPr>
            <w:tcW w:w="2712"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662" w:type="dxa"/>
            <w:gridSpan w:val="2"/>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rPr>
            </w:pPr>
            <w:r>
              <w:rPr>
                <w:rFonts w:ascii="宋体" w:hAnsi="宋体"/>
                <w:color w:val="000000"/>
                <w:kern w:val="0"/>
              </w:rPr>
              <w:t>二、外交支出</w:t>
            </w:r>
          </w:p>
        </w:tc>
        <w:tc>
          <w:tcPr>
            <w:tcW w:w="1607"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eastAsia="宋体"/>
                <w:color w:val="000000"/>
                <w:kern w:val="0"/>
                <w:lang w:eastAsia="zh-CN"/>
              </w:rPr>
            </w:pPr>
            <w:r>
              <w:rPr>
                <w:rFonts w:ascii="宋体" w:hAnsi="宋体"/>
                <w:color w:val="000000"/>
                <w:kern w:val="0"/>
              </w:rPr>
              <w:t>1</w:t>
            </w:r>
            <w:r>
              <w:rPr>
                <w:rFonts w:hint="eastAsia" w:ascii="宋体" w:hAnsi="宋体"/>
                <w:color w:val="000000"/>
                <w:kern w:val="0"/>
                <w:lang w:val="en-US" w:eastAsia="zh-CN"/>
              </w:rPr>
              <w:t>7</w:t>
            </w:r>
          </w:p>
        </w:tc>
        <w:tc>
          <w:tcPr>
            <w:tcW w:w="2730" w:type="dxa"/>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rPr>
            </w:pPr>
          </w:p>
        </w:tc>
      </w:tr>
      <w:tr>
        <w:tblPrEx>
          <w:tblCellMar>
            <w:top w:w="0" w:type="dxa"/>
            <w:left w:w="108" w:type="dxa"/>
            <w:bottom w:w="0" w:type="dxa"/>
            <w:right w:w="108" w:type="dxa"/>
          </w:tblCellMar>
        </w:tblPrEx>
        <w:trPr>
          <w:trHeight w:val="312" w:hRule="exact"/>
          <w:jc w:val="center"/>
        </w:trPr>
        <w:tc>
          <w:tcPr>
            <w:tcW w:w="324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color w:val="000000"/>
                <w:kern w:val="0"/>
              </w:rPr>
            </w:pPr>
            <w:r>
              <w:rPr>
                <w:rFonts w:ascii="宋体"/>
                <w:color w:val="000000"/>
                <w:kern w:val="0"/>
              </w:rPr>
              <w:t>三、国有资本经营预算财政拨款收入</w:t>
            </w:r>
          </w:p>
        </w:tc>
        <w:tc>
          <w:tcPr>
            <w:tcW w:w="1607" w:type="dxa"/>
            <w:tcBorders>
              <w:top w:val="single" w:color="000000" w:sz="4" w:space="0"/>
              <w:left w:val="nil"/>
              <w:bottom w:val="single" w:color="000000" w:sz="4" w:space="0"/>
              <w:right w:val="single" w:color="000000" w:sz="4" w:space="0"/>
            </w:tcBorders>
            <w:vAlign w:val="center"/>
          </w:tcPr>
          <w:p>
            <w:pPr>
              <w:widowControl/>
              <w:jc w:val="center"/>
              <w:rPr>
                <w:rFonts w:hint="default" w:ascii="宋体"/>
                <w:color w:val="000000"/>
                <w:kern w:val="0"/>
              </w:rPr>
            </w:pPr>
            <w:r>
              <w:rPr>
                <w:rFonts w:ascii="宋体" w:hAnsi="宋体"/>
                <w:color w:val="000000"/>
                <w:kern w:val="0"/>
              </w:rPr>
              <w:t>3</w:t>
            </w:r>
          </w:p>
        </w:tc>
        <w:tc>
          <w:tcPr>
            <w:tcW w:w="2712"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662" w:type="dxa"/>
            <w:gridSpan w:val="2"/>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rPr>
            </w:pPr>
            <w:r>
              <w:rPr>
                <w:rFonts w:ascii="宋体" w:hAnsi="宋体"/>
                <w:color w:val="000000"/>
                <w:kern w:val="0"/>
              </w:rPr>
              <w:t>三、国防支出</w:t>
            </w:r>
          </w:p>
        </w:tc>
        <w:tc>
          <w:tcPr>
            <w:tcW w:w="1607"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eastAsia="宋体"/>
                <w:color w:val="000000"/>
                <w:kern w:val="0"/>
                <w:lang w:eastAsia="zh-CN"/>
              </w:rPr>
            </w:pPr>
            <w:r>
              <w:rPr>
                <w:rFonts w:ascii="宋体" w:hAnsi="宋体"/>
                <w:color w:val="000000"/>
                <w:kern w:val="0"/>
              </w:rPr>
              <w:t>1</w:t>
            </w:r>
            <w:r>
              <w:rPr>
                <w:rFonts w:hint="eastAsia" w:ascii="宋体" w:hAnsi="宋体"/>
                <w:color w:val="000000"/>
                <w:kern w:val="0"/>
                <w:lang w:val="en-US" w:eastAsia="zh-CN"/>
              </w:rPr>
              <w:t>8</w:t>
            </w:r>
          </w:p>
        </w:tc>
        <w:tc>
          <w:tcPr>
            <w:tcW w:w="2730" w:type="dxa"/>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rPr>
            </w:pPr>
          </w:p>
        </w:tc>
      </w:tr>
      <w:tr>
        <w:tblPrEx>
          <w:tblCellMar>
            <w:top w:w="0" w:type="dxa"/>
            <w:left w:w="108" w:type="dxa"/>
            <w:bottom w:w="0" w:type="dxa"/>
            <w:right w:w="108" w:type="dxa"/>
          </w:tblCellMar>
        </w:tblPrEx>
        <w:trPr>
          <w:trHeight w:val="312" w:hRule="exact"/>
          <w:jc w:val="center"/>
        </w:trPr>
        <w:tc>
          <w:tcPr>
            <w:tcW w:w="324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color w:val="000000"/>
                <w:kern w:val="0"/>
              </w:rPr>
            </w:pPr>
            <w:r>
              <w:rPr>
                <w:rFonts w:ascii="宋体" w:hAnsi="宋体"/>
                <w:color w:val="000000"/>
                <w:kern w:val="0"/>
              </w:rPr>
              <w:t>四、上级补助收入</w:t>
            </w:r>
          </w:p>
        </w:tc>
        <w:tc>
          <w:tcPr>
            <w:tcW w:w="1607" w:type="dxa"/>
            <w:tcBorders>
              <w:top w:val="single" w:color="000000" w:sz="4" w:space="0"/>
              <w:left w:val="nil"/>
              <w:bottom w:val="single" w:color="000000" w:sz="4" w:space="0"/>
              <w:right w:val="single" w:color="000000" w:sz="4" w:space="0"/>
            </w:tcBorders>
            <w:vAlign w:val="center"/>
          </w:tcPr>
          <w:p>
            <w:pPr>
              <w:widowControl/>
              <w:jc w:val="center"/>
              <w:rPr>
                <w:rFonts w:hint="default" w:ascii="宋体"/>
                <w:color w:val="000000"/>
                <w:kern w:val="0"/>
              </w:rPr>
            </w:pPr>
            <w:r>
              <w:rPr>
                <w:rFonts w:ascii="宋体" w:hAnsi="宋体"/>
                <w:color w:val="000000"/>
                <w:kern w:val="0"/>
              </w:rPr>
              <w:t>4</w:t>
            </w:r>
          </w:p>
        </w:tc>
        <w:tc>
          <w:tcPr>
            <w:tcW w:w="2712"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662" w:type="dxa"/>
            <w:gridSpan w:val="2"/>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rPr>
            </w:pPr>
            <w:r>
              <w:rPr>
                <w:rFonts w:ascii="宋体" w:hAnsi="宋体"/>
                <w:color w:val="000000"/>
                <w:kern w:val="0"/>
              </w:rPr>
              <w:t>四、公共安全支出</w:t>
            </w:r>
          </w:p>
        </w:tc>
        <w:tc>
          <w:tcPr>
            <w:tcW w:w="1607"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eastAsia="宋体"/>
                <w:color w:val="000000"/>
                <w:kern w:val="0"/>
                <w:lang w:eastAsia="zh-CN"/>
              </w:rPr>
            </w:pPr>
            <w:r>
              <w:rPr>
                <w:rFonts w:ascii="宋体" w:hAnsi="宋体"/>
                <w:color w:val="000000"/>
                <w:kern w:val="0"/>
              </w:rPr>
              <w:t>1</w:t>
            </w:r>
            <w:r>
              <w:rPr>
                <w:rFonts w:hint="eastAsia" w:ascii="宋体" w:hAnsi="宋体"/>
                <w:color w:val="000000"/>
                <w:kern w:val="0"/>
                <w:lang w:val="en-US" w:eastAsia="zh-CN"/>
              </w:rPr>
              <w:t>9</w:t>
            </w:r>
          </w:p>
        </w:tc>
        <w:tc>
          <w:tcPr>
            <w:tcW w:w="2730" w:type="dxa"/>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rPr>
            </w:pPr>
          </w:p>
        </w:tc>
      </w:tr>
      <w:tr>
        <w:tblPrEx>
          <w:tblCellMar>
            <w:top w:w="0" w:type="dxa"/>
            <w:left w:w="108" w:type="dxa"/>
            <w:bottom w:w="0" w:type="dxa"/>
            <w:right w:w="108" w:type="dxa"/>
          </w:tblCellMar>
        </w:tblPrEx>
        <w:trPr>
          <w:trHeight w:val="312" w:hRule="exact"/>
          <w:jc w:val="center"/>
        </w:trPr>
        <w:tc>
          <w:tcPr>
            <w:tcW w:w="324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color w:val="000000"/>
                <w:kern w:val="0"/>
              </w:rPr>
            </w:pPr>
            <w:r>
              <w:rPr>
                <w:rFonts w:ascii="宋体" w:hAnsi="宋体"/>
                <w:color w:val="000000"/>
                <w:kern w:val="0"/>
              </w:rPr>
              <w:t>五、事业收入</w:t>
            </w:r>
          </w:p>
        </w:tc>
        <w:tc>
          <w:tcPr>
            <w:tcW w:w="1607" w:type="dxa"/>
            <w:tcBorders>
              <w:top w:val="single" w:color="000000" w:sz="4" w:space="0"/>
              <w:left w:val="nil"/>
              <w:bottom w:val="single" w:color="000000" w:sz="4" w:space="0"/>
              <w:right w:val="single" w:color="000000" w:sz="4" w:space="0"/>
            </w:tcBorders>
            <w:vAlign w:val="center"/>
          </w:tcPr>
          <w:p>
            <w:pPr>
              <w:widowControl/>
              <w:jc w:val="center"/>
              <w:rPr>
                <w:rFonts w:hint="default" w:ascii="宋体"/>
                <w:color w:val="000000"/>
                <w:kern w:val="0"/>
              </w:rPr>
            </w:pPr>
            <w:r>
              <w:rPr>
                <w:rFonts w:ascii="宋体" w:hAnsi="宋体"/>
                <w:color w:val="000000"/>
                <w:kern w:val="0"/>
              </w:rPr>
              <w:t>5</w:t>
            </w:r>
          </w:p>
        </w:tc>
        <w:tc>
          <w:tcPr>
            <w:tcW w:w="2712"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662" w:type="dxa"/>
            <w:gridSpan w:val="2"/>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rPr>
            </w:pPr>
            <w:r>
              <w:rPr>
                <w:rFonts w:ascii="宋体" w:hAnsi="宋体"/>
                <w:color w:val="000000"/>
                <w:kern w:val="0"/>
              </w:rPr>
              <w:t>五、教育支出</w:t>
            </w:r>
          </w:p>
        </w:tc>
        <w:tc>
          <w:tcPr>
            <w:tcW w:w="1607" w:type="dxa"/>
            <w:tcBorders>
              <w:top w:val="single" w:color="000000" w:sz="4" w:space="0"/>
              <w:left w:val="nil"/>
              <w:bottom w:val="single" w:color="000000" w:sz="4" w:space="0"/>
              <w:right w:val="single" w:color="000000" w:sz="4" w:space="0"/>
            </w:tcBorders>
            <w:vAlign w:val="center"/>
          </w:tcPr>
          <w:p>
            <w:pPr>
              <w:widowControl/>
              <w:jc w:val="center"/>
              <w:rPr>
                <w:rFonts w:hint="default" w:ascii="宋体" w:eastAsia="宋体"/>
                <w:color w:val="000000"/>
                <w:kern w:val="0"/>
                <w:lang w:val="en-US" w:eastAsia="zh-CN"/>
              </w:rPr>
            </w:pPr>
            <w:r>
              <w:rPr>
                <w:rFonts w:hint="eastAsia" w:ascii="宋体" w:hAnsi="宋体"/>
                <w:color w:val="000000"/>
                <w:kern w:val="0"/>
                <w:lang w:val="en-US" w:eastAsia="zh-CN"/>
              </w:rPr>
              <w:t>20</w:t>
            </w:r>
          </w:p>
        </w:tc>
        <w:tc>
          <w:tcPr>
            <w:tcW w:w="2730" w:type="dxa"/>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rPr>
            </w:pPr>
            <w:r>
              <w:rPr>
                <w:rFonts w:hint="default" w:ascii="宋体"/>
                <w:color w:val="000000"/>
                <w:kern w:val="0"/>
              </w:rPr>
              <w:t>7469.77</w:t>
            </w:r>
          </w:p>
        </w:tc>
      </w:tr>
      <w:tr>
        <w:tblPrEx>
          <w:tblCellMar>
            <w:top w:w="0" w:type="dxa"/>
            <w:left w:w="108" w:type="dxa"/>
            <w:bottom w:w="0" w:type="dxa"/>
            <w:right w:w="108" w:type="dxa"/>
          </w:tblCellMar>
        </w:tblPrEx>
        <w:trPr>
          <w:trHeight w:val="312" w:hRule="exact"/>
          <w:jc w:val="center"/>
        </w:trPr>
        <w:tc>
          <w:tcPr>
            <w:tcW w:w="324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color w:val="000000"/>
                <w:kern w:val="0"/>
              </w:rPr>
            </w:pPr>
            <w:r>
              <w:rPr>
                <w:rFonts w:ascii="宋体" w:hAnsi="宋体"/>
                <w:color w:val="000000"/>
                <w:kern w:val="0"/>
              </w:rPr>
              <w:t>六、经营收入</w:t>
            </w:r>
          </w:p>
        </w:tc>
        <w:tc>
          <w:tcPr>
            <w:tcW w:w="1607" w:type="dxa"/>
            <w:tcBorders>
              <w:top w:val="single" w:color="000000" w:sz="4" w:space="0"/>
              <w:left w:val="nil"/>
              <w:bottom w:val="single" w:color="000000" w:sz="4" w:space="0"/>
              <w:right w:val="single" w:color="000000" w:sz="4" w:space="0"/>
            </w:tcBorders>
            <w:vAlign w:val="center"/>
          </w:tcPr>
          <w:p>
            <w:pPr>
              <w:widowControl/>
              <w:jc w:val="center"/>
              <w:rPr>
                <w:rFonts w:hint="default" w:ascii="宋体"/>
                <w:color w:val="000000"/>
                <w:kern w:val="0"/>
              </w:rPr>
            </w:pPr>
            <w:r>
              <w:rPr>
                <w:rFonts w:ascii="宋体" w:hAnsi="宋体"/>
                <w:color w:val="000000"/>
                <w:kern w:val="0"/>
              </w:rPr>
              <w:t>6</w:t>
            </w:r>
          </w:p>
        </w:tc>
        <w:tc>
          <w:tcPr>
            <w:tcW w:w="2712"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662" w:type="dxa"/>
            <w:gridSpan w:val="2"/>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rPr>
            </w:pPr>
            <w:r>
              <w:rPr>
                <w:rFonts w:ascii="宋体" w:hAnsi="宋体"/>
                <w:color w:val="000000"/>
                <w:kern w:val="0"/>
              </w:rPr>
              <w:t>六、科学技术支出</w:t>
            </w:r>
          </w:p>
        </w:tc>
        <w:tc>
          <w:tcPr>
            <w:tcW w:w="1607" w:type="dxa"/>
            <w:tcBorders>
              <w:top w:val="single" w:color="000000" w:sz="4" w:space="0"/>
              <w:left w:val="nil"/>
              <w:bottom w:val="single" w:color="000000" w:sz="4" w:space="0"/>
              <w:right w:val="single" w:color="000000" w:sz="4" w:space="0"/>
            </w:tcBorders>
            <w:vAlign w:val="center"/>
          </w:tcPr>
          <w:p>
            <w:pPr>
              <w:widowControl/>
              <w:jc w:val="center"/>
              <w:rPr>
                <w:rFonts w:hint="default" w:ascii="宋体" w:eastAsia="宋体"/>
                <w:color w:val="000000"/>
                <w:kern w:val="0"/>
                <w:lang w:val="en-US" w:eastAsia="zh-CN"/>
              </w:rPr>
            </w:pPr>
            <w:r>
              <w:rPr>
                <w:rFonts w:hint="eastAsia" w:ascii="宋体"/>
                <w:color w:val="000000"/>
                <w:kern w:val="0"/>
                <w:lang w:val="en-US" w:eastAsia="zh-CN"/>
              </w:rPr>
              <w:t>21</w:t>
            </w:r>
          </w:p>
        </w:tc>
        <w:tc>
          <w:tcPr>
            <w:tcW w:w="2730" w:type="dxa"/>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rPr>
            </w:pPr>
          </w:p>
        </w:tc>
      </w:tr>
      <w:tr>
        <w:tblPrEx>
          <w:tblCellMar>
            <w:top w:w="0" w:type="dxa"/>
            <w:left w:w="108" w:type="dxa"/>
            <w:bottom w:w="0" w:type="dxa"/>
            <w:right w:w="108" w:type="dxa"/>
          </w:tblCellMar>
        </w:tblPrEx>
        <w:trPr>
          <w:trHeight w:val="312" w:hRule="exact"/>
          <w:jc w:val="center"/>
        </w:trPr>
        <w:tc>
          <w:tcPr>
            <w:tcW w:w="324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color w:val="000000"/>
                <w:kern w:val="0"/>
              </w:rPr>
            </w:pPr>
            <w:r>
              <w:rPr>
                <w:rFonts w:ascii="宋体" w:hAnsi="宋体"/>
                <w:color w:val="000000"/>
                <w:kern w:val="0"/>
              </w:rPr>
              <w:t>七、附属单位上缴收入</w:t>
            </w:r>
          </w:p>
        </w:tc>
        <w:tc>
          <w:tcPr>
            <w:tcW w:w="1607" w:type="dxa"/>
            <w:tcBorders>
              <w:top w:val="single" w:color="000000" w:sz="4" w:space="0"/>
              <w:left w:val="nil"/>
              <w:bottom w:val="single" w:color="000000" w:sz="4" w:space="0"/>
              <w:right w:val="single" w:color="000000" w:sz="4" w:space="0"/>
            </w:tcBorders>
            <w:vAlign w:val="center"/>
          </w:tcPr>
          <w:p>
            <w:pPr>
              <w:widowControl/>
              <w:jc w:val="center"/>
              <w:rPr>
                <w:rFonts w:hint="default" w:ascii="宋体"/>
                <w:color w:val="000000"/>
                <w:kern w:val="0"/>
              </w:rPr>
            </w:pPr>
            <w:r>
              <w:rPr>
                <w:rFonts w:ascii="宋体" w:hAnsi="宋体"/>
                <w:color w:val="000000"/>
                <w:kern w:val="0"/>
              </w:rPr>
              <w:t>7</w:t>
            </w:r>
          </w:p>
        </w:tc>
        <w:tc>
          <w:tcPr>
            <w:tcW w:w="2712"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662" w:type="dxa"/>
            <w:gridSpan w:val="2"/>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rPr>
            </w:pPr>
            <w:r>
              <w:rPr>
                <w:rFonts w:hint="eastAsia" w:ascii="宋体" w:hAnsi="宋体"/>
                <w:color w:val="000000"/>
                <w:kern w:val="0"/>
              </w:rPr>
              <w:t>七、文化旅游体育与传媒支出</w:t>
            </w:r>
          </w:p>
        </w:tc>
        <w:tc>
          <w:tcPr>
            <w:tcW w:w="1607" w:type="dxa"/>
            <w:tcBorders>
              <w:top w:val="single" w:color="000000" w:sz="4" w:space="0"/>
              <w:left w:val="nil"/>
              <w:bottom w:val="single" w:color="000000" w:sz="4" w:space="0"/>
              <w:right w:val="single" w:color="000000" w:sz="4" w:space="0"/>
            </w:tcBorders>
            <w:vAlign w:val="center"/>
          </w:tcPr>
          <w:p>
            <w:pPr>
              <w:widowControl/>
              <w:jc w:val="center"/>
              <w:rPr>
                <w:rFonts w:hint="default" w:ascii="宋体" w:eastAsia="宋体"/>
                <w:color w:val="000000"/>
                <w:kern w:val="0"/>
                <w:lang w:val="en-US" w:eastAsia="zh-CN"/>
              </w:rPr>
            </w:pPr>
            <w:r>
              <w:rPr>
                <w:rFonts w:hint="eastAsia" w:ascii="宋体" w:hAnsi="宋体"/>
                <w:color w:val="000000"/>
                <w:kern w:val="0"/>
                <w:lang w:val="en-US" w:eastAsia="zh-CN"/>
              </w:rPr>
              <w:t>22</w:t>
            </w:r>
          </w:p>
        </w:tc>
        <w:tc>
          <w:tcPr>
            <w:tcW w:w="2730" w:type="dxa"/>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rPr>
            </w:pPr>
          </w:p>
        </w:tc>
      </w:tr>
      <w:tr>
        <w:tblPrEx>
          <w:tblCellMar>
            <w:top w:w="0" w:type="dxa"/>
            <w:left w:w="108" w:type="dxa"/>
            <w:bottom w:w="0" w:type="dxa"/>
            <w:right w:w="108" w:type="dxa"/>
          </w:tblCellMar>
        </w:tblPrEx>
        <w:trPr>
          <w:trHeight w:val="312" w:hRule="exact"/>
          <w:jc w:val="center"/>
        </w:trPr>
        <w:tc>
          <w:tcPr>
            <w:tcW w:w="32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宋体"/>
                <w:color w:val="000000"/>
                <w:kern w:val="0"/>
              </w:rPr>
            </w:pPr>
            <w:r>
              <w:rPr>
                <w:rFonts w:ascii="宋体" w:hAnsi="宋体"/>
                <w:color w:val="000000"/>
                <w:kern w:val="0"/>
              </w:rPr>
              <w:t>八、其他收入</w:t>
            </w:r>
          </w:p>
        </w:tc>
        <w:tc>
          <w:tcPr>
            <w:tcW w:w="1607" w:type="dxa"/>
            <w:tcBorders>
              <w:top w:val="single" w:color="000000" w:sz="4" w:space="0"/>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color w:val="000000"/>
                <w:kern w:val="0"/>
                <w:shd w:val="clear" w:color="auto" w:fill="FFFFFF"/>
              </w:rPr>
            </w:pPr>
            <w:r>
              <w:rPr>
                <w:rFonts w:ascii="宋体" w:hAnsi="宋体"/>
                <w:color w:val="000000"/>
                <w:kern w:val="0"/>
                <w:shd w:val="clear" w:color="auto" w:fill="FFFFFF"/>
              </w:rPr>
              <w:t>8</w:t>
            </w:r>
          </w:p>
        </w:tc>
        <w:tc>
          <w:tcPr>
            <w:tcW w:w="2712" w:type="dxa"/>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rPr>
            </w:pPr>
          </w:p>
        </w:tc>
        <w:tc>
          <w:tcPr>
            <w:tcW w:w="2662" w:type="dxa"/>
            <w:gridSpan w:val="2"/>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rPr>
            </w:pPr>
            <w:r>
              <w:rPr>
                <w:rFonts w:hint="default" w:ascii="宋体"/>
                <w:color w:val="000000"/>
                <w:kern w:val="0"/>
              </w:rPr>
              <w:t>八、社会保障和就业支出</w:t>
            </w:r>
          </w:p>
        </w:tc>
        <w:tc>
          <w:tcPr>
            <w:tcW w:w="1607"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eastAsia="宋体"/>
                <w:color w:val="000000"/>
                <w:kern w:val="0"/>
                <w:lang w:eastAsia="zh-CN"/>
              </w:rPr>
            </w:pPr>
            <w:r>
              <w:rPr>
                <w:rFonts w:ascii="宋体" w:hAnsi="宋体"/>
                <w:color w:val="000000"/>
                <w:kern w:val="0"/>
              </w:rPr>
              <w:t>2</w:t>
            </w:r>
            <w:r>
              <w:rPr>
                <w:rFonts w:hint="eastAsia" w:ascii="宋体" w:hAnsi="宋体"/>
                <w:color w:val="000000"/>
                <w:kern w:val="0"/>
                <w:lang w:val="en-US" w:eastAsia="zh-CN"/>
              </w:rPr>
              <w:t>3</w:t>
            </w:r>
          </w:p>
        </w:tc>
        <w:tc>
          <w:tcPr>
            <w:tcW w:w="2730" w:type="dxa"/>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rPr>
            </w:pPr>
            <w:r>
              <w:rPr>
                <w:rFonts w:hint="default" w:ascii="宋体"/>
                <w:color w:val="000000"/>
                <w:kern w:val="0"/>
              </w:rPr>
              <w:t>21237.3</w:t>
            </w:r>
          </w:p>
        </w:tc>
      </w:tr>
      <w:tr>
        <w:tblPrEx>
          <w:tblCellMar>
            <w:top w:w="0" w:type="dxa"/>
            <w:left w:w="108" w:type="dxa"/>
            <w:bottom w:w="0" w:type="dxa"/>
            <w:right w:w="108" w:type="dxa"/>
          </w:tblCellMar>
        </w:tblPrEx>
        <w:trPr>
          <w:trHeight w:val="312" w:hRule="exact"/>
          <w:jc w:val="center"/>
        </w:trPr>
        <w:tc>
          <w:tcPr>
            <w:tcW w:w="32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宋体" w:hAnsi="宋体"/>
                <w:color w:val="000000"/>
                <w:kern w:val="0"/>
              </w:rPr>
            </w:pPr>
          </w:p>
        </w:tc>
        <w:tc>
          <w:tcPr>
            <w:tcW w:w="1607" w:type="dxa"/>
            <w:tcBorders>
              <w:top w:val="single" w:color="000000" w:sz="4" w:space="0"/>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hAnsi="宋体"/>
                <w:color w:val="000000"/>
                <w:kern w:val="0"/>
                <w:shd w:val="clear" w:color="auto" w:fill="FFFFFF"/>
              </w:rPr>
            </w:pPr>
            <w:r>
              <w:rPr>
                <w:rFonts w:ascii="宋体" w:hAnsi="宋体"/>
                <w:color w:val="000000"/>
                <w:kern w:val="0"/>
                <w:shd w:val="clear" w:color="auto" w:fill="FFFFFF"/>
              </w:rPr>
              <w:t>9</w:t>
            </w:r>
          </w:p>
        </w:tc>
        <w:tc>
          <w:tcPr>
            <w:tcW w:w="2712" w:type="dxa"/>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rPr>
            </w:pPr>
          </w:p>
        </w:tc>
        <w:tc>
          <w:tcPr>
            <w:tcW w:w="2662" w:type="dxa"/>
            <w:gridSpan w:val="2"/>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rPr>
            </w:pPr>
            <w:r>
              <w:rPr>
                <w:rFonts w:hint="default" w:ascii="宋体"/>
                <w:color w:val="000000"/>
                <w:kern w:val="0"/>
              </w:rPr>
              <w:t>九、卫生健康支出</w:t>
            </w:r>
          </w:p>
        </w:tc>
        <w:tc>
          <w:tcPr>
            <w:tcW w:w="1607"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olor w:val="000000"/>
                <w:kern w:val="0"/>
                <w:lang w:eastAsia="zh-CN"/>
              </w:rPr>
            </w:pPr>
            <w:r>
              <w:rPr>
                <w:rFonts w:ascii="宋体" w:hAnsi="宋体"/>
                <w:color w:val="000000"/>
                <w:kern w:val="0"/>
              </w:rPr>
              <w:t>2</w:t>
            </w:r>
            <w:r>
              <w:rPr>
                <w:rFonts w:hint="eastAsia" w:ascii="宋体" w:hAnsi="宋体"/>
                <w:color w:val="000000"/>
                <w:kern w:val="0"/>
                <w:lang w:val="en-US" w:eastAsia="zh-CN"/>
              </w:rPr>
              <w:t>4</w:t>
            </w:r>
          </w:p>
        </w:tc>
        <w:tc>
          <w:tcPr>
            <w:tcW w:w="2730" w:type="dxa"/>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rPr>
            </w:pPr>
            <w:r>
              <w:rPr>
                <w:rFonts w:hint="default" w:ascii="宋体"/>
                <w:color w:val="000000"/>
                <w:kern w:val="0"/>
              </w:rPr>
              <w:t>122.5</w:t>
            </w:r>
          </w:p>
        </w:tc>
      </w:tr>
      <w:tr>
        <w:tblPrEx>
          <w:tblCellMar>
            <w:top w:w="0" w:type="dxa"/>
            <w:left w:w="108" w:type="dxa"/>
            <w:bottom w:w="0" w:type="dxa"/>
            <w:right w:w="108" w:type="dxa"/>
          </w:tblCellMar>
        </w:tblPrEx>
        <w:trPr>
          <w:trHeight w:val="312" w:hRule="exact"/>
          <w:jc w:val="center"/>
        </w:trPr>
        <w:tc>
          <w:tcPr>
            <w:tcW w:w="32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宋体" w:hAnsi="宋体"/>
                <w:color w:val="000000"/>
                <w:kern w:val="0"/>
              </w:rPr>
            </w:pPr>
          </w:p>
        </w:tc>
        <w:tc>
          <w:tcPr>
            <w:tcW w:w="1607" w:type="dxa"/>
            <w:tcBorders>
              <w:top w:val="single" w:color="000000" w:sz="4" w:space="0"/>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hAnsi="宋体" w:eastAsia="宋体"/>
                <w:color w:val="000000"/>
                <w:kern w:val="0"/>
                <w:shd w:val="clear" w:color="auto" w:fill="FFFFFF"/>
                <w:lang w:val="en-US" w:eastAsia="zh-CN"/>
              </w:rPr>
            </w:pPr>
            <w:r>
              <w:rPr>
                <w:rFonts w:hint="eastAsia" w:ascii="宋体" w:hAnsi="宋体"/>
                <w:color w:val="000000"/>
                <w:kern w:val="0"/>
                <w:shd w:val="clear" w:color="auto" w:fill="FFFFFF"/>
                <w:lang w:val="en-US" w:eastAsia="zh-CN"/>
              </w:rPr>
              <w:t>10</w:t>
            </w:r>
          </w:p>
        </w:tc>
        <w:tc>
          <w:tcPr>
            <w:tcW w:w="2712" w:type="dxa"/>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rPr>
            </w:pPr>
          </w:p>
        </w:tc>
        <w:tc>
          <w:tcPr>
            <w:tcW w:w="2662" w:type="dxa"/>
            <w:gridSpan w:val="2"/>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rPr>
            </w:pPr>
            <w:r>
              <w:rPr>
                <w:rFonts w:hint="default" w:ascii="宋体"/>
                <w:color w:val="000000"/>
                <w:kern w:val="0"/>
              </w:rPr>
              <w:t>十、节能环保支出</w:t>
            </w:r>
          </w:p>
        </w:tc>
        <w:tc>
          <w:tcPr>
            <w:tcW w:w="1607"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color w:val="000000"/>
                <w:kern w:val="0"/>
                <w:lang w:val="en-US" w:eastAsia="zh-CN"/>
              </w:rPr>
            </w:pPr>
            <w:r>
              <w:rPr>
                <w:rFonts w:hint="eastAsia" w:ascii="宋体" w:hAnsi="宋体"/>
                <w:color w:val="000000"/>
                <w:kern w:val="0"/>
                <w:lang w:val="en-US" w:eastAsia="zh-CN"/>
              </w:rPr>
              <w:t>25</w:t>
            </w:r>
          </w:p>
        </w:tc>
        <w:tc>
          <w:tcPr>
            <w:tcW w:w="2730" w:type="dxa"/>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rPr>
            </w:pPr>
            <w:r>
              <w:rPr>
                <w:rFonts w:hint="default" w:ascii="宋体"/>
                <w:color w:val="000000"/>
                <w:kern w:val="0"/>
              </w:rPr>
              <w:t>4440.55</w:t>
            </w:r>
          </w:p>
        </w:tc>
      </w:tr>
      <w:tr>
        <w:tblPrEx>
          <w:tblCellMar>
            <w:top w:w="0" w:type="dxa"/>
            <w:left w:w="108" w:type="dxa"/>
            <w:bottom w:w="0" w:type="dxa"/>
            <w:right w:w="108" w:type="dxa"/>
          </w:tblCellMar>
        </w:tblPrEx>
        <w:trPr>
          <w:trHeight w:val="312" w:hRule="exact"/>
          <w:jc w:val="center"/>
        </w:trPr>
        <w:tc>
          <w:tcPr>
            <w:tcW w:w="32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宋体" w:hAnsi="宋体"/>
                <w:color w:val="000000"/>
                <w:kern w:val="0"/>
              </w:rPr>
            </w:pPr>
          </w:p>
        </w:tc>
        <w:tc>
          <w:tcPr>
            <w:tcW w:w="1607" w:type="dxa"/>
            <w:tcBorders>
              <w:top w:val="single" w:color="000000" w:sz="4" w:space="0"/>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hAnsi="宋体" w:eastAsia="宋体"/>
                <w:color w:val="000000"/>
                <w:kern w:val="0"/>
                <w:shd w:val="clear" w:color="auto" w:fill="FFFFFF"/>
                <w:lang w:val="en-US" w:eastAsia="zh-CN"/>
              </w:rPr>
            </w:pPr>
            <w:r>
              <w:rPr>
                <w:rFonts w:hint="eastAsia" w:ascii="宋体" w:hAnsi="宋体"/>
                <w:color w:val="000000"/>
                <w:kern w:val="0"/>
                <w:shd w:val="clear" w:color="auto" w:fill="FFFFFF"/>
                <w:lang w:val="en-US" w:eastAsia="zh-CN"/>
              </w:rPr>
              <w:t>11</w:t>
            </w:r>
          </w:p>
        </w:tc>
        <w:tc>
          <w:tcPr>
            <w:tcW w:w="2712" w:type="dxa"/>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rPr>
            </w:pPr>
          </w:p>
        </w:tc>
        <w:tc>
          <w:tcPr>
            <w:tcW w:w="2662" w:type="dxa"/>
            <w:gridSpan w:val="2"/>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rPr>
            </w:pPr>
            <w:r>
              <w:rPr>
                <w:rFonts w:hint="default" w:ascii="宋体"/>
                <w:color w:val="000000"/>
                <w:kern w:val="0"/>
              </w:rPr>
              <w:t>十九、住房保障支出</w:t>
            </w:r>
          </w:p>
        </w:tc>
        <w:tc>
          <w:tcPr>
            <w:tcW w:w="1607"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color w:val="000000"/>
                <w:kern w:val="0"/>
                <w:lang w:val="en-US" w:eastAsia="zh-CN"/>
              </w:rPr>
            </w:pPr>
            <w:r>
              <w:rPr>
                <w:rFonts w:hint="eastAsia" w:ascii="宋体" w:hAnsi="宋体"/>
                <w:color w:val="000000"/>
                <w:kern w:val="0"/>
                <w:lang w:val="en-US" w:eastAsia="zh-CN"/>
              </w:rPr>
              <w:t>26</w:t>
            </w:r>
          </w:p>
        </w:tc>
        <w:tc>
          <w:tcPr>
            <w:tcW w:w="2730" w:type="dxa"/>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rPr>
            </w:pPr>
            <w:r>
              <w:rPr>
                <w:rFonts w:hint="default" w:ascii="宋体"/>
                <w:color w:val="000000"/>
                <w:kern w:val="0"/>
              </w:rPr>
              <w:t>422.19</w:t>
            </w:r>
          </w:p>
        </w:tc>
      </w:tr>
      <w:tr>
        <w:tblPrEx>
          <w:tblCellMar>
            <w:top w:w="0" w:type="dxa"/>
            <w:left w:w="108" w:type="dxa"/>
            <w:bottom w:w="0" w:type="dxa"/>
            <w:right w:w="108" w:type="dxa"/>
          </w:tblCellMar>
        </w:tblPrEx>
        <w:trPr>
          <w:trHeight w:val="312" w:hRule="exact"/>
          <w:jc w:val="center"/>
        </w:trPr>
        <w:tc>
          <w:tcPr>
            <w:tcW w:w="32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宋体"/>
                <w:b/>
                <w:color w:val="000000"/>
                <w:kern w:val="0"/>
              </w:rPr>
            </w:pPr>
            <w:r>
              <w:rPr>
                <w:rFonts w:ascii="宋体" w:hAnsi="宋体"/>
                <w:b/>
                <w:color w:val="000000"/>
                <w:kern w:val="0"/>
              </w:rPr>
              <w:t>本年收入合计</w:t>
            </w:r>
          </w:p>
        </w:tc>
        <w:tc>
          <w:tcPr>
            <w:tcW w:w="1607" w:type="dxa"/>
            <w:tcBorders>
              <w:top w:val="single" w:color="000000" w:sz="4" w:space="0"/>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eastAsia="宋体"/>
                <w:color w:val="000000"/>
                <w:kern w:val="0"/>
                <w:shd w:val="clear" w:color="auto" w:fill="FFFFFF"/>
                <w:lang w:val="en-US" w:eastAsia="zh-CN"/>
              </w:rPr>
            </w:pPr>
            <w:r>
              <w:rPr>
                <w:rFonts w:hint="eastAsia" w:ascii="宋体" w:hAnsi="宋体"/>
                <w:color w:val="000000"/>
                <w:kern w:val="0"/>
                <w:shd w:val="clear" w:color="auto" w:fill="FFFFFF"/>
                <w:lang w:val="en-US" w:eastAsia="zh-CN"/>
              </w:rPr>
              <w:t>12</w:t>
            </w:r>
          </w:p>
        </w:tc>
        <w:tc>
          <w:tcPr>
            <w:tcW w:w="2712"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r>
              <w:rPr>
                <w:rFonts w:hint="default" w:ascii="宋体"/>
                <w:color w:val="000000"/>
                <w:kern w:val="0"/>
              </w:rPr>
              <w:t>26720.89</w:t>
            </w:r>
          </w:p>
        </w:tc>
        <w:tc>
          <w:tcPr>
            <w:tcW w:w="2662" w:type="dxa"/>
            <w:gridSpan w:val="2"/>
            <w:tcBorders>
              <w:top w:val="single" w:color="000000" w:sz="4" w:space="0"/>
              <w:left w:val="nil"/>
              <w:bottom w:val="single" w:color="000000" w:sz="4" w:space="0"/>
              <w:right w:val="single" w:color="000000" w:sz="4" w:space="0"/>
            </w:tcBorders>
            <w:vAlign w:val="center"/>
          </w:tcPr>
          <w:p>
            <w:pPr>
              <w:widowControl/>
              <w:jc w:val="center"/>
              <w:rPr>
                <w:rFonts w:hint="default" w:ascii="宋体"/>
                <w:b/>
                <w:color w:val="000000"/>
                <w:kern w:val="0"/>
              </w:rPr>
            </w:pPr>
            <w:r>
              <w:rPr>
                <w:rFonts w:ascii="宋体" w:hAnsi="宋体"/>
                <w:b/>
                <w:color w:val="000000"/>
                <w:kern w:val="0"/>
              </w:rPr>
              <w:t>本年支出合计</w:t>
            </w:r>
          </w:p>
        </w:tc>
        <w:tc>
          <w:tcPr>
            <w:tcW w:w="1607"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eastAsia="宋体"/>
                <w:color w:val="000000"/>
                <w:kern w:val="0"/>
                <w:lang w:eastAsia="zh-CN"/>
              </w:rPr>
            </w:pPr>
            <w:r>
              <w:rPr>
                <w:rFonts w:ascii="宋体" w:hAnsi="宋体"/>
                <w:color w:val="000000"/>
                <w:kern w:val="0"/>
              </w:rPr>
              <w:t>2</w:t>
            </w:r>
            <w:r>
              <w:rPr>
                <w:rFonts w:hint="eastAsia" w:ascii="宋体" w:hAnsi="宋体"/>
                <w:color w:val="000000"/>
                <w:kern w:val="0"/>
                <w:lang w:val="en-US" w:eastAsia="zh-CN"/>
              </w:rPr>
              <w:t>7</w:t>
            </w:r>
          </w:p>
        </w:tc>
        <w:tc>
          <w:tcPr>
            <w:tcW w:w="2730" w:type="dxa"/>
            <w:tcBorders>
              <w:top w:val="single" w:color="000000" w:sz="4" w:space="0"/>
              <w:left w:val="nil"/>
              <w:bottom w:val="single" w:color="000000" w:sz="4" w:space="0"/>
              <w:right w:val="single" w:color="000000" w:sz="4" w:space="0"/>
            </w:tcBorders>
            <w:vAlign w:val="center"/>
          </w:tcPr>
          <w:p>
            <w:pPr>
              <w:widowControl/>
              <w:jc w:val="left"/>
              <w:rPr>
                <w:rFonts w:hint="default" w:ascii="宋体"/>
                <w:b/>
                <w:color w:val="000000"/>
                <w:kern w:val="0"/>
              </w:rPr>
            </w:pPr>
            <w:r>
              <w:rPr>
                <w:rFonts w:hint="default" w:ascii="宋体"/>
                <w:b/>
                <w:color w:val="000000"/>
                <w:kern w:val="0"/>
              </w:rPr>
              <w:t>33692.31</w:t>
            </w:r>
          </w:p>
        </w:tc>
      </w:tr>
      <w:tr>
        <w:tblPrEx>
          <w:tblCellMar>
            <w:top w:w="0" w:type="dxa"/>
            <w:left w:w="108" w:type="dxa"/>
            <w:bottom w:w="0" w:type="dxa"/>
            <w:right w:w="108" w:type="dxa"/>
          </w:tblCellMar>
        </w:tblPrEx>
        <w:trPr>
          <w:trHeight w:val="312" w:hRule="exact"/>
          <w:jc w:val="center"/>
        </w:trPr>
        <w:tc>
          <w:tcPr>
            <w:tcW w:w="32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宋体"/>
                <w:color w:val="000000"/>
                <w:kern w:val="0"/>
              </w:rPr>
            </w:pPr>
            <w:r>
              <w:rPr>
                <w:rFonts w:ascii="宋体" w:hAnsi="宋体"/>
                <w:color w:val="000000"/>
                <w:kern w:val="0"/>
              </w:rPr>
              <w:t>使用非财政拨款结余</w:t>
            </w:r>
          </w:p>
        </w:tc>
        <w:tc>
          <w:tcPr>
            <w:tcW w:w="1607" w:type="dxa"/>
            <w:tcBorders>
              <w:top w:val="single" w:color="000000" w:sz="4" w:space="0"/>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eastAsia="宋体"/>
                <w:color w:val="000000"/>
                <w:kern w:val="0"/>
                <w:shd w:val="clear" w:color="auto" w:fill="FFFFFF"/>
                <w:lang w:val="en-US" w:eastAsia="zh-CN"/>
              </w:rPr>
            </w:pPr>
            <w:r>
              <w:rPr>
                <w:rFonts w:hint="eastAsia" w:ascii="宋体" w:hAnsi="宋体"/>
                <w:color w:val="000000"/>
                <w:kern w:val="0"/>
                <w:shd w:val="clear" w:color="auto" w:fill="FFFFFF"/>
                <w:lang w:val="en-US" w:eastAsia="zh-CN"/>
              </w:rPr>
              <w:t>13</w:t>
            </w:r>
          </w:p>
        </w:tc>
        <w:tc>
          <w:tcPr>
            <w:tcW w:w="2712"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662" w:type="dxa"/>
            <w:gridSpan w:val="2"/>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rPr>
            </w:pPr>
            <w:r>
              <w:rPr>
                <w:rFonts w:ascii="宋体" w:hAnsi="宋体"/>
                <w:color w:val="000000"/>
                <w:kern w:val="0"/>
              </w:rPr>
              <w:t>结余分配</w:t>
            </w:r>
          </w:p>
        </w:tc>
        <w:tc>
          <w:tcPr>
            <w:tcW w:w="1607"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eastAsia="宋体"/>
                <w:color w:val="000000"/>
                <w:kern w:val="0"/>
                <w:lang w:eastAsia="zh-CN"/>
              </w:rPr>
            </w:pPr>
            <w:r>
              <w:rPr>
                <w:rFonts w:ascii="宋体" w:hAnsi="宋体"/>
                <w:color w:val="000000"/>
                <w:kern w:val="0"/>
              </w:rPr>
              <w:t>2</w:t>
            </w:r>
            <w:r>
              <w:rPr>
                <w:rFonts w:hint="eastAsia" w:ascii="宋体" w:hAnsi="宋体"/>
                <w:color w:val="000000"/>
                <w:kern w:val="0"/>
                <w:lang w:val="en-US" w:eastAsia="zh-CN"/>
              </w:rPr>
              <w:t>8</w:t>
            </w:r>
          </w:p>
        </w:tc>
        <w:tc>
          <w:tcPr>
            <w:tcW w:w="2730" w:type="dxa"/>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rPr>
            </w:pPr>
          </w:p>
        </w:tc>
      </w:tr>
      <w:tr>
        <w:tblPrEx>
          <w:tblCellMar>
            <w:top w:w="0" w:type="dxa"/>
            <w:left w:w="108" w:type="dxa"/>
            <w:bottom w:w="0" w:type="dxa"/>
            <w:right w:w="108" w:type="dxa"/>
          </w:tblCellMar>
        </w:tblPrEx>
        <w:trPr>
          <w:trHeight w:val="312" w:hRule="exact"/>
          <w:jc w:val="center"/>
        </w:trPr>
        <w:tc>
          <w:tcPr>
            <w:tcW w:w="32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宋体"/>
                <w:color w:val="000000"/>
                <w:kern w:val="0"/>
              </w:rPr>
            </w:pPr>
            <w:r>
              <w:rPr>
                <w:rFonts w:ascii="宋体" w:hAnsi="宋体"/>
                <w:color w:val="000000"/>
                <w:kern w:val="0"/>
              </w:rPr>
              <w:t>年初结转和结余</w:t>
            </w:r>
          </w:p>
        </w:tc>
        <w:tc>
          <w:tcPr>
            <w:tcW w:w="1607" w:type="dxa"/>
            <w:tcBorders>
              <w:top w:val="single" w:color="000000" w:sz="4" w:space="0"/>
              <w:left w:val="nil"/>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eastAsia="宋体"/>
                <w:color w:val="000000"/>
                <w:kern w:val="0"/>
                <w:shd w:val="clear" w:color="auto" w:fill="FFFFFF"/>
                <w:lang w:eastAsia="zh-CN"/>
              </w:rPr>
            </w:pPr>
            <w:r>
              <w:rPr>
                <w:rFonts w:ascii="宋体" w:hAnsi="宋体"/>
                <w:color w:val="000000"/>
                <w:kern w:val="0"/>
                <w:shd w:val="clear" w:color="auto" w:fill="FFFFFF"/>
              </w:rPr>
              <w:t>1</w:t>
            </w:r>
            <w:r>
              <w:rPr>
                <w:rFonts w:hint="eastAsia" w:ascii="宋体" w:hAnsi="宋体"/>
                <w:color w:val="000000"/>
                <w:kern w:val="0"/>
                <w:shd w:val="clear" w:color="auto" w:fill="FFFFFF"/>
                <w:lang w:val="en-US" w:eastAsia="zh-CN"/>
              </w:rPr>
              <w:t>4</w:t>
            </w:r>
          </w:p>
        </w:tc>
        <w:tc>
          <w:tcPr>
            <w:tcW w:w="2712"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r>
              <w:rPr>
                <w:rFonts w:hint="default" w:ascii="宋体"/>
                <w:color w:val="000000"/>
                <w:kern w:val="0"/>
              </w:rPr>
              <w:t>7203.78</w:t>
            </w:r>
          </w:p>
        </w:tc>
        <w:tc>
          <w:tcPr>
            <w:tcW w:w="2662" w:type="dxa"/>
            <w:gridSpan w:val="2"/>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rPr>
            </w:pPr>
            <w:r>
              <w:rPr>
                <w:rFonts w:ascii="宋体" w:hAnsi="宋体"/>
                <w:color w:val="000000"/>
                <w:kern w:val="0"/>
              </w:rPr>
              <w:t>年末结转和结余</w:t>
            </w:r>
          </w:p>
        </w:tc>
        <w:tc>
          <w:tcPr>
            <w:tcW w:w="1607"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eastAsia="宋体"/>
                <w:color w:val="000000"/>
                <w:kern w:val="0"/>
                <w:lang w:eastAsia="zh-CN"/>
              </w:rPr>
            </w:pPr>
            <w:r>
              <w:rPr>
                <w:rFonts w:ascii="宋体" w:hAnsi="宋体"/>
                <w:color w:val="000000"/>
                <w:kern w:val="0"/>
              </w:rPr>
              <w:t>2</w:t>
            </w:r>
            <w:r>
              <w:rPr>
                <w:rFonts w:hint="eastAsia" w:ascii="宋体" w:hAnsi="宋体"/>
                <w:color w:val="000000"/>
                <w:kern w:val="0"/>
                <w:lang w:val="en-US" w:eastAsia="zh-CN"/>
              </w:rPr>
              <w:t>9</w:t>
            </w:r>
          </w:p>
        </w:tc>
        <w:tc>
          <w:tcPr>
            <w:tcW w:w="2730" w:type="dxa"/>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rPr>
            </w:pPr>
            <w:r>
              <w:rPr>
                <w:rFonts w:hint="default" w:ascii="宋体"/>
                <w:color w:val="000000"/>
                <w:kern w:val="0"/>
              </w:rPr>
              <w:t>232.36</w:t>
            </w:r>
          </w:p>
        </w:tc>
      </w:tr>
      <w:tr>
        <w:tblPrEx>
          <w:tblCellMar>
            <w:top w:w="0" w:type="dxa"/>
            <w:left w:w="108" w:type="dxa"/>
            <w:bottom w:w="0" w:type="dxa"/>
            <w:right w:w="108" w:type="dxa"/>
          </w:tblCellMar>
        </w:tblPrEx>
        <w:trPr>
          <w:trHeight w:val="312" w:hRule="exact"/>
          <w:jc w:val="center"/>
        </w:trPr>
        <w:tc>
          <w:tcPr>
            <w:tcW w:w="32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宋体"/>
                <w:color w:val="000000"/>
                <w:kern w:val="0"/>
              </w:rPr>
            </w:pPr>
            <w:r>
              <w:rPr>
                <w:rFonts w:ascii="宋体" w:hAnsi="宋体"/>
                <w:color w:val="000000"/>
                <w:kern w:val="0"/>
              </w:rPr>
              <w:t xml:space="preserve">                </w:t>
            </w:r>
            <w:r>
              <w:rPr>
                <w:rFonts w:ascii="宋体" w:hAnsi="宋体"/>
                <w:b/>
                <w:color w:val="000000"/>
                <w:kern w:val="0"/>
                <w:shd w:val="clear" w:color="auto" w:fill="FFFFFF"/>
              </w:rPr>
              <w:t>总计</w:t>
            </w:r>
          </w:p>
        </w:tc>
        <w:tc>
          <w:tcPr>
            <w:tcW w:w="1607" w:type="dxa"/>
            <w:tcBorders>
              <w:top w:val="single" w:color="000000" w:sz="4" w:space="0"/>
              <w:left w:val="nil"/>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eastAsia="宋体"/>
                <w:color w:val="000000"/>
                <w:kern w:val="0"/>
                <w:shd w:val="clear" w:color="auto" w:fill="FFFFFF"/>
                <w:lang w:eastAsia="zh-CN"/>
              </w:rPr>
            </w:pPr>
            <w:r>
              <w:rPr>
                <w:rFonts w:ascii="宋体" w:hAnsi="宋体"/>
                <w:color w:val="000000"/>
                <w:kern w:val="0"/>
                <w:shd w:val="clear" w:color="auto" w:fill="FFFFFF"/>
              </w:rPr>
              <w:t>1</w:t>
            </w:r>
            <w:r>
              <w:rPr>
                <w:rFonts w:hint="eastAsia" w:ascii="宋体" w:hAnsi="宋体"/>
                <w:color w:val="000000"/>
                <w:kern w:val="0"/>
                <w:shd w:val="clear" w:color="auto" w:fill="FFFFFF"/>
                <w:lang w:val="en-US" w:eastAsia="zh-CN"/>
              </w:rPr>
              <w:t>5</w:t>
            </w:r>
          </w:p>
        </w:tc>
        <w:tc>
          <w:tcPr>
            <w:tcW w:w="2712"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r>
              <w:rPr>
                <w:rFonts w:hint="default" w:ascii="宋体"/>
                <w:color w:val="000000"/>
                <w:kern w:val="0"/>
              </w:rPr>
              <w:t>33924.67</w:t>
            </w:r>
          </w:p>
        </w:tc>
        <w:tc>
          <w:tcPr>
            <w:tcW w:w="2662" w:type="dxa"/>
            <w:gridSpan w:val="2"/>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rPr>
            </w:pPr>
            <w:r>
              <w:rPr>
                <w:rFonts w:ascii="宋体" w:hAnsi="宋体"/>
                <w:b/>
                <w:color w:val="000000"/>
                <w:kern w:val="0"/>
                <w:shd w:val="clear" w:color="auto" w:fill="FFFFFF"/>
              </w:rPr>
              <w:t xml:space="preserve">            总计</w:t>
            </w:r>
          </w:p>
        </w:tc>
        <w:tc>
          <w:tcPr>
            <w:tcW w:w="1607" w:type="dxa"/>
            <w:tcBorders>
              <w:top w:val="single" w:color="000000" w:sz="4" w:space="0"/>
              <w:left w:val="nil"/>
              <w:bottom w:val="single" w:color="000000" w:sz="4" w:space="0"/>
              <w:right w:val="single" w:color="000000" w:sz="4" w:space="0"/>
            </w:tcBorders>
            <w:vAlign w:val="center"/>
          </w:tcPr>
          <w:p>
            <w:pPr>
              <w:widowControl/>
              <w:jc w:val="center"/>
              <w:rPr>
                <w:rFonts w:hint="default" w:ascii="宋体" w:eastAsia="宋体"/>
                <w:color w:val="000000"/>
                <w:kern w:val="0"/>
                <w:lang w:val="en-US" w:eastAsia="zh-CN"/>
              </w:rPr>
            </w:pPr>
            <w:r>
              <w:rPr>
                <w:rFonts w:hint="eastAsia" w:ascii="宋体" w:hAnsi="宋体"/>
                <w:color w:val="000000"/>
                <w:kern w:val="0"/>
                <w:lang w:val="en-US" w:eastAsia="zh-CN"/>
              </w:rPr>
              <w:t>30</w:t>
            </w:r>
          </w:p>
        </w:tc>
        <w:tc>
          <w:tcPr>
            <w:tcW w:w="2730" w:type="dxa"/>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rPr>
            </w:pPr>
            <w:r>
              <w:rPr>
                <w:rFonts w:hint="default" w:ascii="宋体"/>
                <w:color w:val="000000"/>
                <w:kern w:val="0"/>
              </w:rPr>
              <w:t>33924.67</w:t>
            </w:r>
          </w:p>
        </w:tc>
      </w:tr>
    </w:tbl>
    <w:p>
      <w:pPr>
        <w:widowControl/>
        <w:spacing w:line="560" w:lineRule="atLeast"/>
        <w:jc w:val="left"/>
        <w:rPr>
          <w:rFonts w:hint="default" w:ascii="宋体" w:hAnsi="宋体" w:cs="宋体"/>
          <w:kern w:val="0"/>
          <w:szCs w:val="21"/>
        </w:rPr>
      </w:pPr>
      <w:r>
        <w:rPr>
          <w:rFonts w:ascii="宋体" w:hAnsi="宋体" w:cs="宋体"/>
          <w:kern w:val="0"/>
          <w:szCs w:val="21"/>
        </w:rPr>
        <w:t>注：1.本表反映部门本年度的总收支和年末结转结余情况。2.本套报表金额单位转换时可能存在尾数误差。3.如本表为空，则我部门本年度无此类资金收支余。</w:t>
      </w:r>
    </w:p>
    <w:p>
      <w:pPr>
        <w:widowControl/>
        <w:spacing w:line="560" w:lineRule="atLeast"/>
        <w:jc w:val="center"/>
        <w:rPr>
          <w:rFonts w:ascii="宋体" w:hAnsi="宋体"/>
          <w:b/>
          <w:color w:val="000000"/>
          <w:kern w:val="0"/>
          <w:sz w:val="28"/>
          <w:shd w:val="clear" w:color="auto" w:fill="FFFFFF"/>
        </w:rPr>
      </w:pPr>
    </w:p>
    <w:p>
      <w:pPr>
        <w:widowControl/>
        <w:spacing w:line="560" w:lineRule="atLeast"/>
        <w:jc w:val="center"/>
        <w:rPr>
          <w:rFonts w:ascii="宋体" w:hAnsi="宋体"/>
          <w:b/>
          <w:color w:val="000000"/>
          <w:kern w:val="0"/>
          <w:sz w:val="28"/>
          <w:shd w:val="clear" w:color="auto" w:fill="FFFFFF"/>
        </w:rPr>
      </w:pPr>
    </w:p>
    <w:p>
      <w:pPr>
        <w:widowControl/>
        <w:spacing w:line="560" w:lineRule="atLeast"/>
        <w:jc w:val="center"/>
        <w:rPr>
          <w:rFonts w:hint="default" w:ascii="仿宋_GB2312" w:hAnsi="宋体" w:eastAsia="仿宋_GB2312"/>
          <w:kern w:val="0"/>
          <w:sz w:val="24"/>
        </w:rPr>
      </w:pPr>
      <w:r>
        <w:rPr>
          <w:rFonts w:ascii="宋体" w:hAnsi="宋体"/>
          <w:b/>
          <w:color w:val="000000"/>
          <w:kern w:val="0"/>
          <w:sz w:val="28"/>
          <w:shd w:val="clear" w:color="auto" w:fill="FFFFFF"/>
        </w:rPr>
        <w:t>收入决算表</w:t>
      </w:r>
    </w:p>
    <w:tbl>
      <w:tblPr>
        <w:tblStyle w:val="5"/>
        <w:tblW w:w="13884" w:type="dxa"/>
        <w:jc w:val="center"/>
        <w:tblLayout w:type="fixed"/>
        <w:tblCellMar>
          <w:top w:w="0" w:type="dxa"/>
          <w:left w:w="108" w:type="dxa"/>
          <w:bottom w:w="0" w:type="dxa"/>
          <w:right w:w="108" w:type="dxa"/>
        </w:tblCellMar>
      </w:tblPr>
      <w:tblGrid>
        <w:gridCol w:w="934"/>
        <w:gridCol w:w="122"/>
        <w:gridCol w:w="463"/>
        <w:gridCol w:w="930"/>
        <w:gridCol w:w="930"/>
        <w:gridCol w:w="923"/>
        <w:gridCol w:w="930"/>
        <w:gridCol w:w="1476"/>
        <w:gridCol w:w="1476"/>
        <w:gridCol w:w="738"/>
        <w:gridCol w:w="738"/>
        <w:gridCol w:w="1056"/>
        <w:gridCol w:w="1056"/>
        <w:gridCol w:w="1056"/>
        <w:gridCol w:w="1056"/>
      </w:tblGrid>
      <w:tr>
        <w:tblPrEx>
          <w:tblCellMar>
            <w:top w:w="0" w:type="dxa"/>
            <w:left w:w="108" w:type="dxa"/>
            <w:bottom w:w="0" w:type="dxa"/>
            <w:right w:w="108" w:type="dxa"/>
          </w:tblCellMar>
        </w:tblPrEx>
        <w:trPr>
          <w:trHeight w:val="286" w:hRule="atLeast"/>
          <w:jc w:val="center"/>
        </w:trPr>
        <w:tc>
          <w:tcPr>
            <w:tcW w:w="934"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585" w:type="dxa"/>
            <w:gridSpan w:val="2"/>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930"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930"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923"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930"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2952" w:type="dxa"/>
            <w:gridSpan w:val="2"/>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738"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738"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1056"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3168" w:type="dxa"/>
            <w:gridSpan w:val="3"/>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r>
              <w:rPr>
                <w:rFonts w:ascii="宋体" w:hAnsi="宋体"/>
                <w:color w:val="000000"/>
                <w:kern w:val="0"/>
                <w:shd w:val="clear" w:color="auto" w:fill="FFFFFF"/>
              </w:rPr>
              <w:t>公开02表</w:t>
            </w:r>
          </w:p>
        </w:tc>
      </w:tr>
      <w:tr>
        <w:tblPrEx>
          <w:tblCellMar>
            <w:top w:w="0" w:type="dxa"/>
            <w:left w:w="108" w:type="dxa"/>
            <w:bottom w:w="0" w:type="dxa"/>
            <w:right w:w="108" w:type="dxa"/>
          </w:tblCellMar>
        </w:tblPrEx>
        <w:trPr>
          <w:trHeight w:val="207" w:hRule="atLeast"/>
          <w:jc w:val="center"/>
        </w:trPr>
        <w:tc>
          <w:tcPr>
            <w:tcW w:w="934" w:type="dxa"/>
            <w:tcBorders>
              <w:top w:val="nil"/>
              <w:left w:val="nil"/>
              <w:bottom w:val="nil"/>
              <w:right w:val="nil"/>
            </w:tcBorders>
            <w:shd w:val="clear" w:color="auto" w:fill="FFFFFF"/>
            <w:vAlign w:val="bottom"/>
          </w:tcPr>
          <w:p>
            <w:pPr>
              <w:widowControl/>
              <w:shd w:val="clear" w:color="auto" w:fill="FFFFFF"/>
              <w:jc w:val="left"/>
              <w:rPr>
                <w:rFonts w:hint="default" w:ascii="宋体"/>
                <w:color w:val="000000"/>
                <w:kern w:val="0"/>
                <w:shd w:val="clear" w:color="auto" w:fill="FFFFFF"/>
              </w:rPr>
            </w:pPr>
            <w:r>
              <w:rPr>
                <w:rFonts w:ascii="宋体" w:hAnsi="宋体"/>
                <w:color w:val="000000"/>
                <w:kern w:val="0"/>
                <w:shd w:val="clear" w:color="auto" w:fill="FFFFFF"/>
              </w:rPr>
              <w:t>部门：</w:t>
            </w:r>
          </w:p>
        </w:tc>
        <w:tc>
          <w:tcPr>
            <w:tcW w:w="585" w:type="dxa"/>
            <w:gridSpan w:val="2"/>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930"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930"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923"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930"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2952" w:type="dxa"/>
            <w:gridSpan w:val="2"/>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738"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738"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1056"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3168" w:type="dxa"/>
            <w:gridSpan w:val="3"/>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r>
              <w:rPr>
                <w:rFonts w:ascii="宋体" w:hAnsi="宋体"/>
                <w:color w:val="000000"/>
                <w:kern w:val="0"/>
                <w:shd w:val="clear" w:color="auto" w:fill="FFFFFF"/>
              </w:rPr>
              <w:t>单位：万元</w:t>
            </w:r>
          </w:p>
        </w:tc>
      </w:tr>
      <w:tr>
        <w:tblPrEx>
          <w:tblCellMar>
            <w:top w:w="0" w:type="dxa"/>
            <w:left w:w="108" w:type="dxa"/>
            <w:bottom w:w="0" w:type="dxa"/>
            <w:right w:w="108" w:type="dxa"/>
          </w:tblCellMar>
        </w:tblPrEx>
        <w:trPr>
          <w:trHeight w:val="246" w:hRule="atLeast"/>
          <w:jc w:val="center"/>
        </w:trPr>
        <w:tc>
          <w:tcPr>
            <w:tcW w:w="5232"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default" w:ascii="宋体"/>
                <w:color w:val="000000"/>
                <w:kern w:val="0"/>
                <w:sz w:val="15"/>
                <w:szCs w:val="15"/>
                <w:shd w:val="clear" w:color="auto" w:fill="FFFFFF"/>
              </w:rPr>
            </w:pPr>
            <w:r>
              <w:rPr>
                <w:rFonts w:ascii="宋体"/>
                <w:color w:val="000000"/>
                <w:kern w:val="0"/>
                <w:sz w:val="15"/>
                <w:szCs w:val="15"/>
                <w:shd w:val="clear" w:color="auto" w:fill="FFFFFF"/>
              </w:rPr>
              <w:t>项目</w:t>
            </w:r>
          </w:p>
        </w:tc>
        <w:tc>
          <w:tcPr>
            <w:tcW w:w="1476" w:type="dxa"/>
            <w:vMerge w:val="restart"/>
            <w:tcBorders>
              <w:top w:val="single" w:color="000000" w:sz="4" w:space="0"/>
              <w:left w:val="nil"/>
              <w:right w:val="single" w:color="000000" w:sz="4" w:space="0"/>
            </w:tcBorders>
            <w:shd w:val="clear" w:color="auto" w:fill="FFFFFF"/>
            <w:vAlign w:val="center"/>
          </w:tcPr>
          <w:p>
            <w:pPr>
              <w:widowControl/>
              <w:shd w:val="clear" w:color="auto" w:fill="FFFFFF"/>
              <w:jc w:val="center"/>
              <w:rPr>
                <w:rFonts w:hint="default" w:ascii="宋体"/>
                <w:color w:val="000000"/>
                <w:kern w:val="0"/>
                <w:sz w:val="15"/>
                <w:szCs w:val="15"/>
                <w:shd w:val="clear" w:color="auto" w:fill="FFFFFF"/>
              </w:rPr>
            </w:pPr>
            <w:r>
              <w:rPr>
                <w:rFonts w:ascii="宋体" w:hAnsi="宋体"/>
                <w:color w:val="000000"/>
                <w:kern w:val="0"/>
                <w:sz w:val="15"/>
                <w:szCs w:val="15"/>
                <w:shd w:val="clear" w:color="auto" w:fill="FFFFFF"/>
              </w:rPr>
              <w:t>本年收入合计</w:t>
            </w:r>
          </w:p>
        </w:tc>
        <w:tc>
          <w:tcPr>
            <w:tcW w:w="1476" w:type="dxa"/>
            <w:vMerge w:val="restart"/>
            <w:tcBorders>
              <w:top w:val="single" w:color="000000" w:sz="4" w:space="0"/>
              <w:left w:val="nil"/>
              <w:right w:val="single" w:color="000000" w:sz="4" w:space="0"/>
            </w:tcBorders>
            <w:shd w:val="clear" w:color="auto" w:fill="auto"/>
            <w:vAlign w:val="center"/>
          </w:tcPr>
          <w:p>
            <w:pPr>
              <w:widowControl/>
              <w:jc w:val="center"/>
              <w:rPr>
                <w:rFonts w:hint="default" w:ascii="宋体"/>
                <w:color w:val="000000"/>
                <w:kern w:val="0"/>
                <w:sz w:val="15"/>
                <w:szCs w:val="15"/>
              </w:rPr>
            </w:pPr>
            <w:r>
              <w:rPr>
                <w:rFonts w:ascii="宋体" w:hAnsi="宋体"/>
                <w:color w:val="000000"/>
                <w:kern w:val="0"/>
                <w:sz w:val="15"/>
                <w:szCs w:val="15"/>
              </w:rPr>
              <w:t>财政拨款收入</w:t>
            </w:r>
          </w:p>
        </w:tc>
        <w:tc>
          <w:tcPr>
            <w:tcW w:w="1476" w:type="dxa"/>
            <w:gridSpan w:val="2"/>
            <w:vMerge w:val="restart"/>
            <w:tcBorders>
              <w:top w:val="single" w:color="000000" w:sz="4" w:space="0"/>
              <w:left w:val="nil"/>
              <w:right w:val="single" w:color="000000" w:sz="4" w:space="0"/>
            </w:tcBorders>
            <w:shd w:val="clear" w:color="auto" w:fill="FFFFFF"/>
            <w:vAlign w:val="center"/>
          </w:tcPr>
          <w:p>
            <w:pPr>
              <w:widowControl/>
              <w:shd w:val="clear" w:color="auto" w:fill="FFFFFF"/>
              <w:jc w:val="center"/>
              <w:rPr>
                <w:rFonts w:hint="default" w:ascii="宋体"/>
                <w:color w:val="000000"/>
                <w:kern w:val="0"/>
                <w:sz w:val="15"/>
                <w:szCs w:val="15"/>
                <w:shd w:val="clear" w:color="auto" w:fill="FFFFFF"/>
              </w:rPr>
            </w:pPr>
            <w:r>
              <w:rPr>
                <w:rFonts w:ascii="宋体" w:hAnsi="宋体"/>
                <w:color w:val="000000"/>
                <w:kern w:val="0"/>
                <w:sz w:val="15"/>
                <w:szCs w:val="15"/>
                <w:shd w:val="clear" w:color="auto" w:fill="FFFFFF"/>
              </w:rPr>
              <w:t>上级补助收入</w:t>
            </w:r>
          </w:p>
        </w:tc>
        <w:tc>
          <w:tcPr>
            <w:tcW w:w="1056" w:type="dxa"/>
            <w:vMerge w:val="restart"/>
            <w:tcBorders>
              <w:top w:val="single" w:color="000000" w:sz="4" w:space="0"/>
              <w:left w:val="nil"/>
              <w:right w:val="single" w:color="000000" w:sz="4" w:space="0"/>
            </w:tcBorders>
            <w:shd w:val="clear" w:color="auto" w:fill="FFFFFF"/>
            <w:vAlign w:val="center"/>
          </w:tcPr>
          <w:p>
            <w:pPr>
              <w:widowControl/>
              <w:shd w:val="clear" w:color="auto" w:fill="FFFFFF"/>
              <w:jc w:val="center"/>
              <w:rPr>
                <w:rFonts w:hint="default" w:ascii="宋体"/>
                <w:color w:val="000000"/>
                <w:kern w:val="0"/>
                <w:sz w:val="15"/>
                <w:szCs w:val="15"/>
                <w:shd w:val="clear" w:color="auto" w:fill="FFFFFF"/>
              </w:rPr>
            </w:pPr>
            <w:r>
              <w:rPr>
                <w:rFonts w:ascii="宋体" w:hAnsi="宋体"/>
                <w:color w:val="000000"/>
                <w:kern w:val="0"/>
                <w:sz w:val="15"/>
                <w:szCs w:val="15"/>
                <w:shd w:val="clear" w:color="auto" w:fill="FFFFFF"/>
              </w:rPr>
              <w:t>事业收入</w:t>
            </w:r>
          </w:p>
        </w:tc>
        <w:tc>
          <w:tcPr>
            <w:tcW w:w="1056" w:type="dxa"/>
            <w:vMerge w:val="restart"/>
            <w:tcBorders>
              <w:top w:val="single" w:color="000000" w:sz="4" w:space="0"/>
              <w:left w:val="nil"/>
              <w:right w:val="single" w:color="000000" w:sz="4" w:space="0"/>
            </w:tcBorders>
            <w:shd w:val="clear" w:color="auto" w:fill="FFFFFF"/>
            <w:vAlign w:val="center"/>
          </w:tcPr>
          <w:p>
            <w:pPr>
              <w:widowControl/>
              <w:shd w:val="clear" w:color="auto" w:fill="FFFFFF"/>
              <w:jc w:val="center"/>
              <w:rPr>
                <w:rFonts w:hint="default" w:ascii="宋体"/>
                <w:color w:val="000000"/>
                <w:kern w:val="0"/>
                <w:sz w:val="15"/>
                <w:szCs w:val="15"/>
                <w:shd w:val="clear" w:color="auto" w:fill="FFFFFF"/>
              </w:rPr>
            </w:pPr>
            <w:r>
              <w:rPr>
                <w:rFonts w:ascii="宋体" w:hAnsi="宋体"/>
                <w:color w:val="000000"/>
                <w:kern w:val="0"/>
                <w:sz w:val="15"/>
                <w:szCs w:val="15"/>
                <w:shd w:val="clear" w:color="auto" w:fill="FFFFFF"/>
              </w:rPr>
              <w:t>经营收入</w:t>
            </w:r>
          </w:p>
        </w:tc>
        <w:tc>
          <w:tcPr>
            <w:tcW w:w="1056" w:type="dxa"/>
            <w:vMerge w:val="restart"/>
            <w:tcBorders>
              <w:top w:val="single" w:color="000000" w:sz="4" w:space="0"/>
              <w:left w:val="nil"/>
              <w:right w:val="single" w:color="000000" w:sz="4" w:space="0"/>
            </w:tcBorders>
            <w:vAlign w:val="center"/>
          </w:tcPr>
          <w:p>
            <w:pPr>
              <w:widowControl/>
              <w:jc w:val="center"/>
              <w:rPr>
                <w:rFonts w:hint="eastAsia" w:ascii="宋体" w:hAnsi="宋体" w:eastAsia="宋体"/>
                <w:color w:val="000000"/>
                <w:kern w:val="0"/>
                <w:sz w:val="15"/>
                <w:szCs w:val="15"/>
                <w:lang w:eastAsia="zh-CN"/>
              </w:rPr>
            </w:pPr>
            <w:r>
              <w:rPr>
                <w:rFonts w:ascii="宋体" w:hAnsi="宋体"/>
                <w:color w:val="000000"/>
                <w:kern w:val="0"/>
                <w:sz w:val="15"/>
                <w:szCs w:val="15"/>
              </w:rPr>
              <w:t>附属单位</w:t>
            </w:r>
          </w:p>
          <w:p>
            <w:pPr>
              <w:widowControl/>
              <w:jc w:val="center"/>
              <w:rPr>
                <w:rFonts w:hint="default" w:ascii="宋体"/>
                <w:color w:val="000000"/>
                <w:kern w:val="0"/>
                <w:sz w:val="15"/>
                <w:szCs w:val="15"/>
              </w:rPr>
            </w:pPr>
            <w:r>
              <w:rPr>
                <w:rFonts w:ascii="宋体" w:hAnsi="宋体"/>
                <w:color w:val="000000"/>
                <w:kern w:val="0"/>
                <w:sz w:val="15"/>
                <w:szCs w:val="15"/>
              </w:rPr>
              <w:t>上缴收入</w:t>
            </w:r>
          </w:p>
        </w:tc>
        <w:tc>
          <w:tcPr>
            <w:tcW w:w="1056" w:type="dxa"/>
            <w:vMerge w:val="restart"/>
            <w:tcBorders>
              <w:top w:val="single" w:color="000000" w:sz="4" w:space="0"/>
              <w:left w:val="nil"/>
              <w:right w:val="single" w:color="000000" w:sz="4" w:space="0"/>
            </w:tcBorders>
            <w:vAlign w:val="center"/>
          </w:tcPr>
          <w:p>
            <w:pPr>
              <w:widowControl/>
              <w:jc w:val="center"/>
              <w:rPr>
                <w:rFonts w:hint="default" w:ascii="宋体"/>
                <w:color w:val="000000"/>
                <w:kern w:val="0"/>
                <w:sz w:val="15"/>
                <w:szCs w:val="15"/>
              </w:rPr>
            </w:pPr>
            <w:r>
              <w:rPr>
                <w:rFonts w:ascii="宋体" w:hAnsi="宋体"/>
                <w:color w:val="000000"/>
                <w:kern w:val="0"/>
                <w:sz w:val="15"/>
                <w:szCs w:val="15"/>
              </w:rPr>
              <w:t>其他收入</w:t>
            </w:r>
          </w:p>
        </w:tc>
      </w:tr>
      <w:tr>
        <w:tblPrEx>
          <w:tblCellMar>
            <w:top w:w="0" w:type="dxa"/>
            <w:left w:w="108" w:type="dxa"/>
            <w:bottom w:w="0" w:type="dxa"/>
            <w:right w:w="108" w:type="dxa"/>
          </w:tblCellMar>
        </w:tblPrEx>
        <w:trPr>
          <w:trHeight w:val="444" w:hRule="atLeast"/>
          <w:jc w:val="center"/>
        </w:trPr>
        <w:tc>
          <w:tcPr>
            <w:tcW w:w="10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default" w:ascii="宋体" w:hAnsi="宋体"/>
                <w:color w:val="000000"/>
                <w:kern w:val="0"/>
                <w:sz w:val="15"/>
                <w:szCs w:val="15"/>
                <w:shd w:val="clear" w:color="auto" w:fill="FFFFFF"/>
              </w:rPr>
            </w:pPr>
            <w:r>
              <w:rPr>
                <w:rFonts w:ascii="宋体" w:hAnsi="宋体"/>
                <w:color w:val="000000"/>
                <w:kern w:val="0"/>
                <w:sz w:val="15"/>
                <w:szCs w:val="15"/>
                <w:shd w:val="clear" w:color="auto" w:fill="FFFFFF"/>
              </w:rPr>
              <w:t>功能分类</w:t>
            </w:r>
          </w:p>
          <w:p>
            <w:pPr>
              <w:widowControl/>
              <w:shd w:val="clear" w:color="auto" w:fill="FFFFFF"/>
              <w:jc w:val="center"/>
              <w:rPr>
                <w:rFonts w:hint="default" w:ascii="宋体" w:hAnsi="宋体"/>
                <w:color w:val="000000"/>
                <w:kern w:val="0"/>
                <w:sz w:val="15"/>
                <w:szCs w:val="15"/>
                <w:shd w:val="clear" w:color="auto" w:fill="FFFFFF"/>
              </w:rPr>
            </w:pPr>
            <w:r>
              <w:rPr>
                <w:rFonts w:ascii="宋体" w:hAnsi="宋体"/>
                <w:color w:val="000000"/>
                <w:kern w:val="0"/>
                <w:sz w:val="15"/>
                <w:szCs w:val="15"/>
                <w:shd w:val="clear" w:color="auto" w:fill="FFFFFF"/>
              </w:rPr>
              <w:t>科目编码</w:t>
            </w:r>
          </w:p>
        </w:tc>
        <w:tc>
          <w:tcPr>
            <w:tcW w:w="4176" w:type="dxa"/>
            <w:gridSpan w:val="5"/>
            <w:tcBorders>
              <w:top w:val="single" w:color="000000" w:sz="4" w:space="0"/>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hAnsi="宋体"/>
                <w:color w:val="000000"/>
                <w:kern w:val="0"/>
                <w:sz w:val="15"/>
                <w:szCs w:val="15"/>
                <w:shd w:val="clear" w:color="auto" w:fill="FFFFFF"/>
              </w:rPr>
            </w:pPr>
            <w:r>
              <w:rPr>
                <w:rFonts w:ascii="宋体" w:hAnsi="宋体"/>
                <w:color w:val="000000"/>
                <w:kern w:val="0"/>
                <w:sz w:val="15"/>
                <w:szCs w:val="15"/>
                <w:shd w:val="clear" w:color="auto" w:fill="FFFFFF"/>
              </w:rPr>
              <w:t>科目名称</w:t>
            </w:r>
          </w:p>
        </w:tc>
        <w:tc>
          <w:tcPr>
            <w:tcW w:w="1476" w:type="dxa"/>
            <w:vMerge w:val="continue"/>
            <w:tcBorders>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hAnsi="宋体"/>
                <w:color w:val="000000"/>
                <w:kern w:val="0"/>
                <w:sz w:val="15"/>
                <w:szCs w:val="15"/>
                <w:shd w:val="clear" w:color="auto" w:fill="FFFFFF"/>
              </w:rPr>
            </w:pPr>
          </w:p>
        </w:tc>
        <w:tc>
          <w:tcPr>
            <w:tcW w:w="1476" w:type="dxa"/>
            <w:vMerge w:val="continue"/>
            <w:tcBorders>
              <w:left w:val="nil"/>
              <w:bottom w:val="single" w:color="000000" w:sz="4" w:space="0"/>
              <w:right w:val="single" w:color="000000" w:sz="4" w:space="0"/>
            </w:tcBorders>
            <w:shd w:val="clear" w:color="auto" w:fill="auto"/>
            <w:vAlign w:val="center"/>
          </w:tcPr>
          <w:p>
            <w:pPr>
              <w:widowControl/>
              <w:jc w:val="center"/>
              <w:rPr>
                <w:rFonts w:hint="default" w:ascii="宋体" w:hAnsi="宋体"/>
                <w:color w:val="000000"/>
                <w:kern w:val="0"/>
                <w:sz w:val="15"/>
                <w:szCs w:val="15"/>
              </w:rPr>
            </w:pPr>
          </w:p>
        </w:tc>
        <w:tc>
          <w:tcPr>
            <w:tcW w:w="1476" w:type="dxa"/>
            <w:gridSpan w:val="2"/>
            <w:vMerge w:val="continue"/>
            <w:tcBorders>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hAnsi="宋体"/>
                <w:color w:val="000000"/>
                <w:kern w:val="0"/>
                <w:sz w:val="15"/>
                <w:szCs w:val="15"/>
                <w:shd w:val="clear" w:color="auto" w:fill="FFFFFF"/>
              </w:rPr>
            </w:pPr>
          </w:p>
        </w:tc>
        <w:tc>
          <w:tcPr>
            <w:tcW w:w="1056" w:type="dxa"/>
            <w:vMerge w:val="continue"/>
            <w:tcBorders>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hAnsi="宋体"/>
                <w:color w:val="000000"/>
                <w:kern w:val="0"/>
                <w:sz w:val="15"/>
                <w:szCs w:val="15"/>
                <w:shd w:val="clear" w:color="auto" w:fill="FFFFFF"/>
              </w:rPr>
            </w:pPr>
          </w:p>
        </w:tc>
        <w:tc>
          <w:tcPr>
            <w:tcW w:w="1056" w:type="dxa"/>
            <w:vMerge w:val="continue"/>
            <w:tcBorders>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hAnsi="宋体"/>
                <w:color w:val="000000"/>
                <w:kern w:val="0"/>
                <w:sz w:val="15"/>
                <w:szCs w:val="15"/>
                <w:shd w:val="clear" w:color="auto" w:fill="FFFFFF"/>
              </w:rPr>
            </w:pPr>
          </w:p>
        </w:tc>
        <w:tc>
          <w:tcPr>
            <w:tcW w:w="1056" w:type="dxa"/>
            <w:vMerge w:val="continue"/>
            <w:tcBorders>
              <w:left w:val="nil"/>
              <w:bottom w:val="single" w:color="000000" w:sz="4" w:space="0"/>
              <w:right w:val="single" w:color="000000" w:sz="4" w:space="0"/>
            </w:tcBorders>
            <w:vAlign w:val="center"/>
          </w:tcPr>
          <w:p>
            <w:pPr>
              <w:widowControl/>
              <w:jc w:val="center"/>
              <w:rPr>
                <w:rFonts w:hint="default" w:ascii="宋体" w:hAnsi="宋体"/>
                <w:color w:val="000000"/>
                <w:kern w:val="0"/>
                <w:sz w:val="15"/>
                <w:szCs w:val="15"/>
              </w:rPr>
            </w:pPr>
          </w:p>
        </w:tc>
        <w:tc>
          <w:tcPr>
            <w:tcW w:w="1056" w:type="dxa"/>
            <w:vMerge w:val="continue"/>
            <w:tcBorders>
              <w:left w:val="nil"/>
              <w:bottom w:val="single" w:color="000000" w:sz="4" w:space="0"/>
              <w:right w:val="single" w:color="000000" w:sz="4" w:space="0"/>
            </w:tcBorders>
            <w:vAlign w:val="center"/>
          </w:tcPr>
          <w:p>
            <w:pPr>
              <w:widowControl/>
              <w:jc w:val="center"/>
              <w:rPr>
                <w:rFonts w:hint="default" w:ascii="宋体" w:hAnsi="宋体"/>
                <w:color w:val="000000"/>
                <w:kern w:val="0"/>
                <w:sz w:val="15"/>
                <w:szCs w:val="15"/>
              </w:rPr>
            </w:pPr>
          </w:p>
        </w:tc>
      </w:tr>
      <w:tr>
        <w:tblPrEx>
          <w:tblCellMar>
            <w:top w:w="0" w:type="dxa"/>
            <w:left w:w="108" w:type="dxa"/>
            <w:bottom w:w="0" w:type="dxa"/>
            <w:right w:w="108" w:type="dxa"/>
          </w:tblCellMar>
        </w:tblPrEx>
        <w:trPr>
          <w:trHeight w:val="248" w:hRule="atLeast"/>
          <w:jc w:val="center"/>
        </w:trPr>
        <w:tc>
          <w:tcPr>
            <w:tcW w:w="5232" w:type="dxa"/>
            <w:gridSpan w:val="7"/>
            <w:tcBorders>
              <w:top w:val="nil"/>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default" w:ascii="宋体"/>
                <w:color w:val="000000"/>
                <w:kern w:val="0"/>
                <w:shd w:val="clear" w:color="auto" w:fill="FFFFFF"/>
              </w:rPr>
            </w:pPr>
            <w:r>
              <w:rPr>
                <w:rFonts w:ascii="宋体" w:hAnsi="宋体"/>
                <w:color w:val="000000"/>
                <w:kern w:val="0"/>
                <w:shd w:val="clear" w:color="auto" w:fill="FFFFFF"/>
              </w:rPr>
              <w:t>栏次</w:t>
            </w:r>
          </w:p>
        </w:tc>
        <w:tc>
          <w:tcPr>
            <w:tcW w:w="1476" w:type="dxa"/>
            <w:tcBorders>
              <w:top w:val="single" w:color="000000" w:sz="4" w:space="0"/>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color w:val="000000"/>
                <w:kern w:val="0"/>
                <w:shd w:val="clear" w:color="auto" w:fill="FFFFFF"/>
              </w:rPr>
            </w:pPr>
            <w:r>
              <w:rPr>
                <w:rFonts w:ascii="宋体" w:hAnsi="宋体"/>
                <w:color w:val="000000"/>
                <w:kern w:val="0"/>
                <w:shd w:val="clear" w:color="auto" w:fill="FFFFFF"/>
              </w:rPr>
              <w:t>1</w:t>
            </w:r>
          </w:p>
        </w:tc>
        <w:tc>
          <w:tcPr>
            <w:tcW w:w="1476" w:type="dxa"/>
            <w:tcBorders>
              <w:top w:val="single" w:color="000000" w:sz="4" w:space="0"/>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color w:val="000000"/>
                <w:kern w:val="0"/>
                <w:shd w:val="clear" w:color="auto" w:fill="FFFFFF"/>
              </w:rPr>
            </w:pPr>
            <w:r>
              <w:rPr>
                <w:rFonts w:ascii="宋体" w:hAnsi="宋体"/>
                <w:color w:val="000000"/>
                <w:kern w:val="0"/>
                <w:shd w:val="clear" w:color="auto" w:fill="FFFFFF"/>
              </w:rPr>
              <w:t>2</w:t>
            </w:r>
          </w:p>
        </w:tc>
        <w:tc>
          <w:tcPr>
            <w:tcW w:w="1476" w:type="dxa"/>
            <w:gridSpan w:val="2"/>
            <w:tcBorders>
              <w:top w:val="single" w:color="000000" w:sz="4" w:space="0"/>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color w:val="000000"/>
                <w:kern w:val="0"/>
                <w:shd w:val="clear" w:color="auto" w:fill="FFFFFF"/>
              </w:rPr>
            </w:pPr>
            <w:r>
              <w:rPr>
                <w:rFonts w:ascii="宋体" w:hAnsi="宋体"/>
                <w:color w:val="000000"/>
                <w:kern w:val="0"/>
                <w:shd w:val="clear" w:color="auto" w:fill="FFFFFF"/>
              </w:rPr>
              <w:t>3</w:t>
            </w:r>
          </w:p>
        </w:tc>
        <w:tc>
          <w:tcPr>
            <w:tcW w:w="1056" w:type="dxa"/>
            <w:tcBorders>
              <w:top w:val="single" w:color="000000" w:sz="4" w:space="0"/>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color w:val="000000"/>
                <w:kern w:val="0"/>
                <w:shd w:val="clear" w:color="auto" w:fill="FFFFFF"/>
              </w:rPr>
            </w:pPr>
            <w:r>
              <w:rPr>
                <w:rFonts w:ascii="宋体" w:hAnsi="宋体"/>
                <w:color w:val="000000"/>
                <w:kern w:val="0"/>
                <w:shd w:val="clear" w:color="auto" w:fill="FFFFFF"/>
              </w:rPr>
              <w:t>4</w:t>
            </w:r>
          </w:p>
        </w:tc>
        <w:tc>
          <w:tcPr>
            <w:tcW w:w="1056" w:type="dxa"/>
            <w:tcBorders>
              <w:top w:val="single" w:color="000000" w:sz="4" w:space="0"/>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color w:val="000000"/>
                <w:kern w:val="0"/>
                <w:shd w:val="clear" w:color="auto" w:fill="FFFFFF"/>
              </w:rPr>
            </w:pPr>
            <w:r>
              <w:rPr>
                <w:rFonts w:ascii="宋体" w:hAnsi="宋体"/>
                <w:color w:val="000000"/>
                <w:kern w:val="0"/>
                <w:shd w:val="clear" w:color="auto" w:fill="FFFFFF"/>
              </w:rPr>
              <w:t>5</w:t>
            </w:r>
          </w:p>
        </w:tc>
        <w:tc>
          <w:tcPr>
            <w:tcW w:w="1056" w:type="dxa"/>
            <w:tcBorders>
              <w:top w:val="single" w:color="000000" w:sz="4" w:space="0"/>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color w:val="000000"/>
                <w:kern w:val="0"/>
                <w:shd w:val="clear" w:color="auto" w:fill="FFFFFF"/>
              </w:rPr>
            </w:pPr>
            <w:r>
              <w:rPr>
                <w:rFonts w:ascii="宋体" w:hAnsi="宋体"/>
                <w:color w:val="000000"/>
                <w:kern w:val="0"/>
                <w:shd w:val="clear" w:color="auto" w:fill="FFFFFF"/>
              </w:rPr>
              <w:t>6</w:t>
            </w:r>
          </w:p>
        </w:tc>
        <w:tc>
          <w:tcPr>
            <w:tcW w:w="1056" w:type="dxa"/>
            <w:tcBorders>
              <w:top w:val="single" w:color="000000" w:sz="4" w:space="0"/>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color w:val="000000"/>
                <w:kern w:val="0"/>
                <w:shd w:val="clear" w:color="auto" w:fill="FFFFFF"/>
              </w:rPr>
            </w:pPr>
            <w:r>
              <w:rPr>
                <w:rFonts w:ascii="宋体" w:hAnsi="宋体"/>
                <w:color w:val="000000"/>
                <w:kern w:val="0"/>
                <w:shd w:val="clear" w:color="auto" w:fill="FFFFFF"/>
              </w:rPr>
              <w:t>7</w:t>
            </w:r>
          </w:p>
        </w:tc>
      </w:tr>
      <w:tr>
        <w:tblPrEx>
          <w:tblCellMar>
            <w:top w:w="0" w:type="dxa"/>
            <w:left w:w="108" w:type="dxa"/>
            <w:bottom w:w="0" w:type="dxa"/>
            <w:right w:w="108" w:type="dxa"/>
          </w:tblCellMar>
        </w:tblPrEx>
        <w:trPr>
          <w:trHeight w:val="239" w:hRule="atLeast"/>
          <w:jc w:val="center"/>
        </w:trPr>
        <w:tc>
          <w:tcPr>
            <w:tcW w:w="5232" w:type="dxa"/>
            <w:gridSpan w:val="7"/>
            <w:tcBorders>
              <w:top w:val="nil"/>
              <w:left w:val="single" w:color="000000" w:sz="4" w:space="0"/>
              <w:bottom w:val="single" w:color="000000" w:sz="4" w:space="0"/>
              <w:right w:val="single" w:color="000000" w:sz="4" w:space="0"/>
            </w:tcBorders>
            <w:shd w:val="clear" w:color="auto" w:fill="auto"/>
            <w:vAlign w:val="center"/>
          </w:tcPr>
          <w:p>
            <w:pPr>
              <w:widowControl/>
              <w:shd w:val="clear" w:color="auto" w:fill="FFFFFF"/>
              <w:jc w:val="center"/>
              <w:rPr>
                <w:rFonts w:hint="default" w:ascii="宋体"/>
                <w:color w:val="000000"/>
                <w:kern w:val="0"/>
                <w:shd w:val="clear" w:color="auto" w:fill="FFFFFF"/>
              </w:rPr>
            </w:pPr>
            <w:r>
              <w:rPr>
                <w:rFonts w:ascii="宋体" w:hAnsi="宋体"/>
                <w:color w:val="000000"/>
                <w:kern w:val="0"/>
                <w:shd w:val="clear" w:color="auto" w:fill="FFFFFF"/>
              </w:rPr>
              <w:t>合计</w:t>
            </w:r>
          </w:p>
        </w:tc>
        <w:tc>
          <w:tcPr>
            <w:tcW w:w="147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r>
              <w:rPr>
                <w:rFonts w:hint="default" w:ascii="宋体"/>
                <w:color w:val="000000"/>
                <w:kern w:val="0"/>
              </w:rPr>
              <w:t>26720.89</w:t>
            </w:r>
          </w:p>
        </w:tc>
        <w:tc>
          <w:tcPr>
            <w:tcW w:w="147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r>
              <w:rPr>
                <w:rFonts w:hint="default" w:ascii="宋体"/>
                <w:color w:val="000000"/>
                <w:kern w:val="0"/>
              </w:rPr>
              <w:t>26720.89</w:t>
            </w:r>
          </w:p>
        </w:tc>
        <w:tc>
          <w:tcPr>
            <w:tcW w:w="1476" w:type="dxa"/>
            <w:gridSpan w:val="2"/>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r>
      <w:tr>
        <w:tblPrEx>
          <w:tblCellMar>
            <w:top w:w="0" w:type="dxa"/>
            <w:left w:w="108" w:type="dxa"/>
            <w:bottom w:w="0" w:type="dxa"/>
            <w:right w:w="108" w:type="dxa"/>
          </w:tblCellMar>
        </w:tblPrEx>
        <w:trPr>
          <w:trHeight w:val="227" w:hRule="atLeast"/>
          <w:jc w:val="center"/>
        </w:trPr>
        <w:tc>
          <w:tcPr>
            <w:tcW w:w="10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2050303</w:t>
            </w:r>
          </w:p>
        </w:tc>
        <w:tc>
          <w:tcPr>
            <w:tcW w:w="4176" w:type="dxa"/>
            <w:gridSpan w:val="5"/>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技校教育</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1,152.50</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1,152.50</w:t>
            </w:r>
          </w:p>
        </w:tc>
        <w:tc>
          <w:tcPr>
            <w:tcW w:w="1476" w:type="dxa"/>
            <w:gridSpan w:val="2"/>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r>
      <w:tr>
        <w:tblPrEx>
          <w:tblCellMar>
            <w:top w:w="0" w:type="dxa"/>
            <w:left w:w="108" w:type="dxa"/>
            <w:bottom w:w="0" w:type="dxa"/>
            <w:right w:w="108" w:type="dxa"/>
          </w:tblCellMar>
        </w:tblPrEx>
        <w:trPr>
          <w:trHeight w:val="227" w:hRule="atLeast"/>
          <w:jc w:val="center"/>
        </w:trPr>
        <w:tc>
          <w:tcPr>
            <w:tcW w:w="10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2050999</w:t>
            </w:r>
          </w:p>
        </w:tc>
        <w:tc>
          <w:tcPr>
            <w:tcW w:w="4176" w:type="dxa"/>
            <w:gridSpan w:val="5"/>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其他教育费附加安排的支出</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4,440.13</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4,440.13</w:t>
            </w:r>
          </w:p>
        </w:tc>
        <w:tc>
          <w:tcPr>
            <w:tcW w:w="1476" w:type="dxa"/>
            <w:gridSpan w:val="2"/>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r>
      <w:tr>
        <w:tblPrEx>
          <w:tblCellMar>
            <w:top w:w="0" w:type="dxa"/>
            <w:left w:w="108" w:type="dxa"/>
            <w:bottom w:w="0" w:type="dxa"/>
            <w:right w:w="108" w:type="dxa"/>
          </w:tblCellMar>
        </w:tblPrEx>
        <w:trPr>
          <w:trHeight w:val="294" w:hRule="atLeast"/>
          <w:jc w:val="center"/>
        </w:trPr>
        <w:tc>
          <w:tcPr>
            <w:tcW w:w="10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2080101</w:t>
            </w:r>
          </w:p>
        </w:tc>
        <w:tc>
          <w:tcPr>
            <w:tcW w:w="4176" w:type="dxa"/>
            <w:gridSpan w:val="5"/>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3,662.96</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3,662.96</w:t>
            </w:r>
          </w:p>
        </w:tc>
        <w:tc>
          <w:tcPr>
            <w:tcW w:w="1476" w:type="dxa"/>
            <w:gridSpan w:val="2"/>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r>
      <w:tr>
        <w:tblPrEx>
          <w:tblCellMar>
            <w:top w:w="0" w:type="dxa"/>
            <w:left w:w="108" w:type="dxa"/>
            <w:bottom w:w="0" w:type="dxa"/>
            <w:right w:w="108" w:type="dxa"/>
          </w:tblCellMar>
        </w:tblPrEx>
        <w:trPr>
          <w:trHeight w:val="257" w:hRule="atLeast"/>
          <w:jc w:val="center"/>
        </w:trPr>
        <w:tc>
          <w:tcPr>
            <w:tcW w:w="10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2080102</w:t>
            </w:r>
          </w:p>
        </w:tc>
        <w:tc>
          <w:tcPr>
            <w:tcW w:w="4176" w:type="dxa"/>
            <w:gridSpan w:val="5"/>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308.78</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308.78</w:t>
            </w:r>
          </w:p>
        </w:tc>
        <w:tc>
          <w:tcPr>
            <w:tcW w:w="1476" w:type="dxa"/>
            <w:gridSpan w:val="2"/>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r>
      <w:tr>
        <w:tblPrEx>
          <w:tblCellMar>
            <w:top w:w="0" w:type="dxa"/>
            <w:left w:w="108" w:type="dxa"/>
            <w:bottom w:w="0" w:type="dxa"/>
            <w:right w:w="108" w:type="dxa"/>
          </w:tblCellMar>
        </w:tblPrEx>
        <w:trPr>
          <w:trHeight w:val="272" w:hRule="atLeast"/>
          <w:jc w:val="center"/>
        </w:trPr>
        <w:tc>
          <w:tcPr>
            <w:tcW w:w="10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2080103</w:t>
            </w:r>
          </w:p>
        </w:tc>
        <w:tc>
          <w:tcPr>
            <w:tcW w:w="4176" w:type="dxa"/>
            <w:gridSpan w:val="5"/>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58.87</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58.87</w:t>
            </w:r>
          </w:p>
        </w:tc>
        <w:tc>
          <w:tcPr>
            <w:tcW w:w="1476" w:type="dxa"/>
            <w:gridSpan w:val="2"/>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r>
      <w:tr>
        <w:tblPrEx>
          <w:tblCellMar>
            <w:top w:w="0" w:type="dxa"/>
            <w:left w:w="108" w:type="dxa"/>
            <w:bottom w:w="0" w:type="dxa"/>
            <w:right w:w="108" w:type="dxa"/>
          </w:tblCellMar>
        </w:tblPrEx>
        <w:trPr>
          <w:trHeight w:val="237" w:hRule="atLeast"/>
          <w:jc w:val="center"/>
        </w:trPr>
        <w:tc>
          <w:tcPr>
            <w:tcW w:w="10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2080116</w:t>
            </w:r>
          </w:p>
        </w:tc>
        <w:tc>
          <w:tcPr>
            <w:tcW w:w="4176" w:type="dxa"/>
            <w:gridSpan w:val="5"/>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引进人才费用</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3,270.16</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3,270.16</w:t>
            </w:r>
          </w:p>
        </w:tc>
        <w:tc>
          <w:tcPr>
            <w:tcW w:w="1476" w:type="dxa"/>
            <w:gridSpan w:val="2"/>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r>
      <w:tr>
        <w:tblPrEx>
          <w:tblCellMar>
            <w:top w:w="0" w:type="dxa"/>
            <w:left w:w="108" w:type="dxa"/>
            <w:bottom w:w="0" w:type="dxa"/>
            <w:right w:w="108" w:type="dxa"/>
          </w:tblCellMar>
        </w:tblPrEx>
        <w:trPr>
          <w:trHeight w:val="237" w:hRule="atLeast"/>
          <w:jc w:val="center"/>
        </w:trPr>
        <w:tc>
          <w:tcPr>
            <w:tcW w:w="10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2080199</w:t>
            </w:r>
          </w:p>
        </w:tc>
        <w:tc>
          <w:tcPr>
            <w:tcW w:w="4176" w:type="dxa"/>
            <w:gridSpan w:val="5"/>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12,347.72</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12,347.72</w:t>
            </w:r>
          </w:p>
        </w:tc>
        <w:tc>
          <w:tcPr>
            <w:tcW w:w="1476" w:type="dxa"/>
            <w:gridSpan w:val="2"/>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r>
      <w:tr>
        <w:tblPrEx>
          <w:tblCellMar>
            <w:top w:w="0" w:type="dxa"/>
            <w:left w:w="108" w:type="dxa"/>
            <w:bottom w:w="0" w:type="dxa"/>
            <w:right w:w="108" w:type="dxa"/>
          </w:tblCellMar>
        </w:tblPrEx>
        <w:trPr>
          <w:trHeight w:val="237" w:hRule="atLeast"/>
          <w:jc w:val="center"/>
        </w:trPr>
        <w:tc>
          <w:tcPr>
            <w:tcW w:w="10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2080501</w:t>
            </w:r>
          </w:p>
        </w:tc>
        <w:tc>
          <w:tcPr>
            <w:tcW w:w="4176" w:type="dxa"/>
            <w:gridSpan w:val="5"/>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100.01</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100.01</w:t>
            </w:r>
          </w:p>
        </w:tc>
        <w:tc>
          <w:tcPr>
            <w:tcW w:w="1476" w:type="dxa"/>
            <w:gridSpan w:val="2"/>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r>
      <w:tr>
        <w:tblPrEx>
          <w:tblCellMar>
            <w:top w:w="0" w:type="dxa"/>
            <w:left w:w="108" w:type="dxa"/>
            <w:bottom w:w="0" w:type="dxa"/>
            <w:right w:w="108" w:type="dxa"/>
          </w:tblCellMar>
        </w:tblPrEx>
        <w:trPr>
          <w:trHeight w:val="237" w:hRule="atLeast"/>
          <w:jc w:val="center"/>
        </w:trPr>
        <w:tc>
          <w:tcPr>
            <w:tcW w:w="10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2080505</w:t>
            </w:r>
          </w:p>
        </w:tc>
        <w:tc>
          <w:tcPr>
            <w:tcW w:w="4176" w:type="dxa"/>
            <w:gridSpan w:val="5"/>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251.54</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251.54</w:t>
            </w:r>
          </w:p>
        </w:tc>
        <w:tc>
          <w:tcPr>
            <w:tcW w:w="1476" w:type="dxa"/>
            <w:gridSpan w:val="2"/>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r>
      <w:tr>
        <w:tblPrEx>
          <w:tblCellMar>
            <w:top w:w="0" w:type="dxa"/>
            <w:left w:w="108" w:type="dxa"/>
            <w:bottom w:w="0" w:type="dxa"/>
            <w:right w:w="108" w:type="dxa"/>
          </w:tblCellMar>
        </w:tblPrEx>
        <w:trPr>
          <w:trHeight w:val="237" w:hRule="atLeast"/>
          <w:jc w:val="center"/>
        </w:trPr>
        <w:tc>
          <w:tcPr>
            <w:tcW w:w="10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2080506</w:t>
            </w:r>
          </w:p>
        </w:tc>
        <w:tc>
          <w:tcPr>
            <w:tcW w:w="4176" w:type="dxa"/>
            <w:gridSpan w:val="5"/>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29.92</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29.92</w:t>
            </w:r>
          </w:p>
        </w:tc>
        <w:tc>
          <w:tcPr>
            <w:tcW w:w="1476" w:type="dxa"/>
            <w:gridSpan w:val="2"/>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r>
      <w:tr>
        <w:tblPrEx>
          <w:tblCellMar>
            <w:top w:w="0" w:type="dxa"/>
            <w:left w:w="108" w:type="dxa"/>
            <w:bottom w:w="0" w:type="dxa"/>
            <w:right w:w="108" w:type="dxa"/>
          </w:tblCellMar>
        </w:tblPrEx>
        <w:trPr>
          <w:trHeight w:val="237" w:hRule="atLeast"/>
          <w:jc w:val="center"/>
        </w:trPr>
        <w:tc>
          <w:tcPr>
            <w:tcW w:w="10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2080508</w:t>
            </w:r>
          </w:p>
        </w:tc>
        <w:tc>
          <w:tcPr>
            <w:tcW w:w="4176" w:type="dxa"/>
            <w:gridSpan w:val="5"/>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对机关事业单位职业年金的补助</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8.37</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8.37</w:t>
            </w:r>
          </w:p>
        </w:tc>
        <w:tc>
          <w:tcPr>
            <w:tcW w:w="1476" w:type="dxa"/>
            <w:gridSpan w:val="2"/>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r>
      <w:tr>
        <w:tblPrEx>
          <w:tblCellMar>
            <w:top w:w="0" w:type="dxa"/>
            <w:left w:w="108" w:type="dxa"/>
            <w:bottom w:w="0" w:type="dxa"/>
            <w:right w:w="108" w:type="dxa"/>
          </w:tblCellMar>
        </w:tblPrEx>
        <w:trPr>
          <w:trHeight w:val="237" w:hRule="atLeast"/>
          <w:jc w:val="center"/>
        </w:trPr>
        <w:tc>
          <w:tcPr>
            <w:tcW w:w="10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2080712</w:t>
            </w:r>
          </w:p>
        </w:tc>
        <w:tc>
          <w:tcPr>
            <w:tcW w:w="4176" w:type="dxa"/>
            <w:gridSpan w:val="5"/>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高技能人才培养补助</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540.48</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540.48</w:t>
            </w:r>
          </w:p>
        </w:tc>
        <w:tc>
          <w:tcPr>
            <w:tcW w:w="1476" w:type="dxa"/>
            <w:gridSpan w:val="2"/>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r>
      <w:tr>
        <w:tblPrEx>
          <w:tblCellMar>
            <w:top w:w="0" w:type="dxa"/>
            <w:left w:w="108" w:type="dxa"/>
            <w:bottom w:w="0" w:type="dxa"/>
            <w:right w:w="108" w:type="dxa"/>
          </w:tblCellMar>
        </w:tblPrEx>
        <w:trPr>
          <w:trHeight w:val="237" w:hRule="atLeast"/>
          <w:jc w:val="center"/>
        </w:trPr>
        <w:tc>
          <w:tcPr>
            <w:tcW w:w="10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2080802</w:t>
            </w:r>
          </w:p>
        </w:tc>
        <w:tc>
          <w:tcPr>
            <w:tcW w:w="4176" w:type="dxa"/>
            <w:gridSpan w:val="5"/>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伤残抚恤</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6.26</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6.26</w:t>
            </w:r>
          </w:p>
        </w:tc>
        <w:tc>
          <w:tcPr>
            <w:tcW w:w="1476" w:type="dxa"/>
            <w:gridSpan w:val="2"/>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r>
      <w:tr>
        <w:tblPrEx>
          <w:tblCellMar>
            <w:top w:w="0" w:type="dxa"/>
            <w:left w:w="108" w:type="dxa"/>
            <w:bottom w:w="0" w:type="dxa"/>
            <w:right w:w="108" w:type="dxa"/>
          </w:tblCellMar>
        </w:tblPrEx>
        <w:trPr>
          <w:trHeight w:val="237" w:hRule="atLeast"/>
          <w:jc w:val="center"/>
        </w:trPr>
        <w:tc>
          <w:tcPr>
            <w:tcW w:w="10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2101101</w:t>
            </w:r>
          </w:p>
        </w:tc>
        <w:tc>
          <w:tcPr>
            <w:tcW w:w="4176" w:type="dxa"/>
            <w:gridSpan w:val="5"/>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122.50</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122.50</w:t>
            </w:r>
          </w:p>
        </w:tc>
        <w:tc>
          <w:tcPr>
            <w:tcW w:w="1476" w:type="dxa"/>
            <w:gridSpan w:val="2"/>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r>
      <w:tr>
        <w:tblPrEx>
          <w:tblCellMar>
            <w:top w:w="0" w:type="dxa"/>
            <w:left w:w="108" w:type="dxa"/>
            <w:bottom w:w="0" w:type="dxa"/>
            <w:right w:w="108" w:type="dxa"/>
          </w:tblCellMar>
        </w:tblPrEx>
        <w:trPr>
          <w:trHeight w:val="237" w:hRule="atLeast"/>
          <w:jc w:val="center"/>
        </w:trPr>
        <w:tc>
          <w:tcPr>
            <w:tcW w:w="10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2210201</w:t>
            </w:r>
          </w:p>
        </w:tc>
        <w:tc>
          <w:tcPr>
            <w:tcW w:w="4176" w:type="dxa"/>
            <w:gridSpan w:val="5"/>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358.72</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358.72</w:t>
            </w:r>
          </w:p>
        </w:tc>
        <w:tc>
          <w:tcPr>
            <w:tcW w:w="1476" w:type="dxa"/>
            <w:gridSpan w:val="2"/>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r>
      <w:tr>
        <w:tblPrEx>
          <w:tblCellMar>
            <w:top w:w="0" w:type="dxa"/>
            <w:left w:w="108" w:type="dxa"/>
            <w:bottom w:w="0" w:type="dxa"/>
            <w:right w:w="108" w:type="dxa"/>
          </w:tblCellMar>
        </w:tblPrEx>
        <w:trPr>
          <w:trHeight w:val="237" w:hRule="atLeast"/>
          <w:jc w:val="center"/>
        </w:trPr>
        <w:tc>
          <w:tcPr>
            <w:tcW w:w="10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2210203</w:t>
            </w:r>
          </w:p>
        </w:tc>
        <w:tc>
          <w:tcPr>
            <w:tcW w:w="4176" w:type="dxa"/>
            <w:gridSpan w:val="5"/>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61.95</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61.95</w:t>
            </w:r>
          </w:p>
        </w:tc>
        <w:tc>
          <w:tcPr>
            <w:tcW w:w="1476" w:type="dxa"/>
            <w:gridSpan w:val="2"/>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r>
    </w:tbl>
    <w:p>
      <w:pPr>
        <w:widowControl/>
        <w:spacing w:line="560" w:lineRule="atLeast"/>
        <w:jc w:val="left"/>
        <w:rPr>
          <w:rFonts w:ascii="宋体" w:hAnsi="宋体" w:cs="宋体"/>
          <w:kern w:val="0"/>
          <w:szCs w:val="21"/>
        </w:rPr>
      </w:pPr>
      <w:r>
        <w:rPr>
          <w:rFonts w:ascii="宋体" w:hAnsi="宋体" w:cs="宋体"/>
          <w:kern w:val="0"/>
          <w:szCs w:val="21"/>
        </w:rPr>
        <w:t>注：1.本表反映部门本年度取得的各项收入情况。2.本套报表金额单位转换时可能存在尾数误差。3.如本表为空，则我部门本年度无此类资金收支余。</w:t>
      </w:r>
    </w:p>
    <w:p>
      <w:pPr>
        <w:widowControl/>
        <w:spacing w:line="560" w:lineRule="atLeast"/>
        <w:jc w:val="left"/>
        <w:rPr>
          <w:rFonts w:ascii="宋体" w:hAnsi="宋体" w:cs="宋体"/>
          <w:kern w:val="0"/>
          <w:szCs w:val="21"/>
        </w:rPr>
      </w:pPr>
    </w:p>
    <w:p>
      <w:pPr>
        <w:widowControl/>
        <w:spacing w:line="560" w:lineRule="atLeast"/>
        <w:jc w:val="left"/>
        <w:rPr>
          <w:rFonts w:hint="default" w:ascii="仿宋_GB2312" w:hAnsi="宋体" w:eastAsia="仿宋_GB2312"/>
          <w:kern w:val="0"/>
          <w:sz w:val="24"/>
        </w:rPr>
      </w:pPr>
      <w:r>
        <w:rPr>
          <w:rFonts w:ascii="仿宋_GB2312" w:hAnsi="宋体" w:eastAsia="仿宋_GB2312"/>
          <w:kern w:val="0"/>
          <w:sz w:val="24"/>
        </w:rPr>
        <w:t>附件1-3</w:t>
      </w:r>
      <w:r>
        <w:rPr>
          <w:rFonts w:hint="eastAsia" w:ascii="仿宋_GB2312" w:hAnsi="宋体" w:eastAsia="仿宋_GB2312"/>
          <w:kern w:val="0"/>
          <w:sz w:val="24"/>
          <w:lang w:val="en-US" w:eastAsia="zh-CN"/>
        </w:rPr>
        <w:t xml:space="preserve">                                              </w:t>
      </w:r>
      <w:r>
        <w:rPr>
          <w:rFonts w:ascii="宋体" w:hAnsi="宋体"/>
          <w:b/>
          <w:color w:val="000000"/>
          <w:kern w:val="0"/>
          <w:sz w:val="28"/>
          <w:shd w:val="clear" w:color="auto" w:fill="FFFFFF"/>
        </w:rPr>
        <w:t>支出决算表</w:t>
      </w:r>
    </w:p>
    <w:tbl>
      <w:tblPr>
        <w:tblStyle w:val="5"/>
        <w:tblW w:w="13897" w:type="dxa"/>
        <w:jc w:val="center"/>
        <w:tblLayout w:type="fixed"/>
        <w:tblCellMar>
          <w:top w:w="0" w:type="dxa"/>
          <w:left w:w="108" w:type="dxa"/>
          <w:bottom w:w="0" w:type="dxa"/>
          <w:right w:w="108" w:type="dxa"/>
        </w:tblCellMar>
      </w:tblPr>
      <w:tblGrid>
        <w:gridCol w:w="846"/>
        <w:gridCol w:w="222"/>
        <w:gridCol w:w="1393"/>
        <w:gridCol w:w="1390"/>
        <w:gridCol w:w="1393"/>
        <w:gridCol w:w="1476"/>
        <w:gridCol w:w="1103"/>
        <w:gridCol w:w="1214"/>
        <w:gridCol w:w="1476"/>
        <w:gridCol w:w="1056"/>
        <w:gridCol w:w="2106"/>
        <w:gridCol w:w="222"/>
      </w:tblGrid>
      <w:tr>
        <w:tblPrEx>
          <w:tblCellMar>
            <w:top w:w="0" w:type="dxa"/>
            <w:left w:w="108" w:type="dxa"/>
            <w:bottom w:w="0" w:type="dxa"/>
            <w:right w:w="108" w:type="dxa"/>
          </w:tblCellMar>
        </w:tblPrEx>
        <w:trPr>
          <w:trHeight w:val="267" w:hRule="atLeast"/>
          <w:jc w:val="center"/>
        </w:trPr>
        <w:tc>
          <w:tcPr>
            <w:tcW w:w="846"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222"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1393"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1390"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1393"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1476"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1103"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1214"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1476"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3384" w:type="dxa"/>
            <w:gridSpan w:val="3"/>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r>
              <w:rPr>
                <w:rFonts w:ascii="宋体" w:hAnsi="宋体"/>
                <w:color w:val="000000"/>
                <w:kern w:val="0"/>
                <w:shd w:val="clear" w:color="auto" w:fill="FFFFFF"/>
              </w:rPr>
              <w:t xml:space="preserve">                   公开03表</w:t>
            </w:r>
          </w:p>
        </w:tc>
      </w:tr>
      <w:tr>
        <w:tblPrEx>
          <w:tblCellMar>
            <w:top w:w="0" w:type="dxa"/>
            <w:left w:w="108" w:type="dxa"/>
            <w:bottom w:w="0" w:type="dxa"/>
            <w:right w:w="108" w:type="dxa"/>
          </w:tblCellMar>
        </w:tblPrEx>
        <w:trPr>
          <w:trHeight w:val="285" w:hRule="atLeast"/>
          <w:jc w:val="center"/>
        </w:trPr>
        <w:tc>
          <w:tcPr>
            <w:tcW w:w="846" w:type="dxa"/>
            <w:tcBorders>
              <w:top w:val="nil"/>
              <w:left w:val="nil"/>
              <w:bottom w:val="nil"/>
              <w:right w:val="nil"/>
            </w:tcBorders>
            <w:shd w:val="clear" w:color="auto" w:fill="FFFFFF"/>
            <w:vAlign w:val="bottom"/>
          </w:tcPr>
          <w:p>
            <w:pPr>
              <w:widowControl/>
              <w:shd w:val="clear" w:color="auto" w:fill="FFFFFF"/>
              <w:jc w:val="left"/>
              <w:rPr>
                <w:rFonts w:hint="default" w:ascii="宋体"/>
                <w:color w:val="000000"/>
                <w:kern w:val="0"/>
                <w:shd w:val="clear" w:color="auto" w:fill="FFFFFF"/>
              </w:rPr>
            </w:pPr>
            <w:r>
              <w:rPr>
                <w:rFonts w:ascii="宋体" w:hAnsi="宋体"/>
                <w:color w:val="000000"/>
                <w:kern w:val="0"/>
                <w:shd w:val="clear" w:color="auto" w:fill="FFFFFF"/>
              </w:rPr>
              <w:t>部门：</w:t>
            </w:r>
          </w:p>
        </w:tc>
        <w:tc>
          <w:tcPr>
            <w:tcW w:w="222"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1393"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1390"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1393"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1476"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1103" w:type="dxa"/>
            <w:tcBorders>
              <w:top w:val="nil"/>
              <w:left w:val="nil"/>
              <w:bottom w:val="nil"/>
              <w:right w:val="nil"/>
            </w:tcBorders>
            <w:shd w:val="clear" w:color="auto" w:fill="FFFFFF"/>
            <w:vAlign w:val="center"/>
          </w:tcPr>
          <w:p>
            <w:pPr>
              <w:widowControl/>
              <w:shd w:val="clear" w:color="auto" w:fill="FFFFFF"/>
              <w:jc w:val="center"/>
              <w:rPr>
                <w:rFonts w:hint="default" w:ascii="宋体"/>
                <w:color w:val="000000"/>
                <w:kern w:val="0"/>
                <w:shd w:val="clear" w:color="auto" w:fill="FFFFFF"/>
              </w:rPr>
            </w:pPr>
          </w:p>
        </w:tc>
        <w:tc>
          <w:tcPr>
            <w:tcW w:w="1214"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1476"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p>
        </w:tc>
        <w:tc>
          <w:tcPr>
            <w:tcW w:w="3384" w:type="dxa"/>
            <w:gridSpan w:val="3"/>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hd w:val="clear" w:color="auto" w:fill="FFFFFF"/>
              </w:rPr>
            </w:pPr>
            <w:r>
              <w:rPr>
                <w:rFonts w:ascii="宋体" w:hAnsi="宋体"/>
                <w:color w:val="000000"/>
                <w:kern w:val="0"/>
                <w:shd w:val="clear" w:color="auto" w:fill="FFFFFF"/>
              </w:rPr>
              <w:t xml:space="preserve">                单位：万元</w:t>
            </w:r>
          </w:p>
        </w:tc>
      </w:tr>
      <w:tr>
        <w:tblPrEx>
          <w:tblCellMar>
            <w:top w:w="0" w:type="dxa"/>
            <w:left w:w="108" w:type="dxa"/>
            <w:bottom w:w="0" w:type="dxa"/>
            <w:right w:w="108" w:type="dxa"/>
          </w:tblCellMar>
        </w:tblPrEx>
        <w:trPr>
          <w:trHeight w:val="255" w:hRule="atLeast"/>
          <w:jc w:val="center"/>
        </w:trPr>
        <w:tc>
          <w:tcPr>
            <w:tcW w:w="524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default" w:ascii="宋体"/>
                <w:color w:val="000000"/>
                <w:kern w:val="0"/>
                <w:shd w:val="clear" w:color="auto" w:fill="FFFFFF"/>
              </w:rPr>
            </w:pPr>
            <w:r>
              <w:rPr>
                <w:rFonts w:ascii="宋体" w:hAnsi="宋体"/>
                <w:color w:val="000000"/>
                <w:kern w:val="0"/>
                <w:shd w:val="clear" w:color="auto" w:fill="FFFFFF"/>
              </w:rPr>
              <w:t>项目</w:t>
            </w:r>
          </w:p>
        </w:tc>
        <w:tc>
          <w:tcPr>
            <w:tcW w:w="1476" w:type="dxa"/>
            <w:vMerge w:val="restart"/>
            <w:tcBorders>
              <w:top w:val="single" w:color="000000" w:sz="4" w:space="0"/>
              <w:left w:val="nil"/>
              <w:right w:val="single" w:color="000000" w:sz="4" w:space="0"/>
            </w:tcBorders>
            <w:shd w:val="clear" w:color="auto" w:fill="FFFFFF"/>
            <w:vAlign w:val="center"/>
          </w:tcPr>
          <w:p>
            <w:pPr>
              <w:widowControl/>
              <w:shd w:val="clear" w:color="auto" w:fill="FFFFFF"/>
              <w:jc w:val="center"/>
              <w:rPr>
                <w:rFonts w:hint="default" w:ascii="宋体"/>
                <w:color w:val="000000"/>
                <w:kern w:val="0"/>
                <w:shd w:val="clear" w:color="auto" w:fill="FFFFFF"/>
              </w:rPr>
            </w:pPr>
            <w:r>
              <w:rPr>
                <w:rFonts w:ascii="宋体" w:hAnsi="宋体"/>
                <w:color w:val="000000"/>
                <w:kern w:val="0"/>
                <w:shd w:val="clear" w:color="auto" w:fill="FFFFFF"/>
              </w:rPr>
              <w:t>本年支出合计</w:t>
            </w:r>
          </w:p>
        </w:tc>
        <w:tc>
          <w:tcPr>
            <w:tcW w:w="1103" w:type="dxa"/>
            <w:vMerge w:val="restart"/>
            <w:tcBorders>
              <w:top w:val="single" w:color="000000" w:sz="4" w:space="0"/>
              <w:left w:val="nil"/>
              <w:right w:val="single" w:color="000000" w:sz="4" w:space="0"/>
            </w:tcBorders>
            <w:shd w:val="clear" w:color="auto" w:fill="auto"/>
            <w:vAlign w:val="center"/>
          </w:tcPr>
          <w:p>
            <w:pPr>
              <w:widowControl/>
              <w:jc w:val="center"/>
              <w:rPr>
                <w:rFonts w:hint="default" w:ascii="宋体"/>
                <w:color w:val="000000"/>
                <w:kern w:val="0"/>
              </w:rPr>
            </w:pPr>
            <w:r>
              <w:rPr>
                <w:rFonts w:ascii="宋体" w:hAnsi="宋体"/>
                <w:color w:val="000000"/>
                <w:kern w:val="0"/>
              </w:rPr>
              <w:t>基本支出</w:t>
            </w:r>
          </w:p>
        </w:tc>
        <w:tc>
          <w:tcPr>
            <w:tcW w:w="1214" w:type="dxa"/>
            <w:vMerge w:val="restart"/>
            <w:tcBorders>
              <w:top w:val="single" w:color="000000" w:sz="4" w:space="0"/>
              <w:left w:val="nil"/>
              <w:right w:val="single" w:color="000000" w:sz="4" w:space="0"/>
            </w:tcBorders>
            <w:shd w:val="clear" w:color="auto" w:fill="auto"/>
            <w:vAlign w:val="center"/>
          </w:tcPr>
          <w:p>
            <w:pPr>
              <w:widowControl/>
              <w:jc w:val="center"/>
              <w:rPr>
                <w:rFonts w:hint="default" w:ascii="宋体"/>
                <w:color w:val="000000"/>
                <w:kern w:val="0"/>
              </w:rPr>
            </w:pPr>
            <w:r>
              <w:rPr>
                <w:rFonts w:ascii="宋体" w:hAnsi="宋体"/>
                <w:color w:val="000000"/>
                <w:kern w:val="0"/>
              </w:rPr>
              <w:t>项目支出</w:t>
            </w:r>
          </w:p>
        </w:tc>
        <w:tc>
          <w:tcPr>
            <w:tcW w:w="1476" w:type="dxa"/>
            <w:vMerge w:val="restart"/>
            <w:tcBorders>
              <w:top w:val="single" w:color="000000" w:sz="4" w:space="0"/>
              <w:left w:val="nil"/>
              <w:right w:val="single" w:color="000000" w:sz="4" w:space="0"/>
            </w:tcBorders>
            <w:shd w:val="clear" w:color="auto" w:fill="auto"/>
            <w:vAlign w:val="center"/>
          </w:tcPr>
          <w:p>
            <w:pPr>
              <w:widowControl/>
              <w:jc w:val="center"/>
              <w:rPr>
                <w:rFonts w:hint="default" w:ascii="宋体"/>
                <w:color w:val="000000"/>
                <w:kern w:val="0"/>
              </w:rPr>
            </w:pPr>
            <w:r>
              <w:rPr>
                <w:rFonts w:ascii="宋体" w:hAnsi="宋体"/>
                <w:color w:val="000000"/>
                <w:kern w:val="0"/>
              </w:rPr>
              <w:t>上缴上级支出</w:t>
            </w:r>
          </w:p>
        </w:tc>
        <w:tc>
          <w:tcPr>
            <w:tcW w:w="1056" w:type="dxa"/>
            <w:vMerge w:val="restart"/>
            <w:tcBorders>
              <w:top w:val="single" w:color="000000" w:sz="4" w:space="0"/>
              <w:left w:val="nil"/>
              <w:right w:val="single" w:color="000000" w:sz="4" w:space="0"/>
            </w:tcBorders>
            <w:shd w:val="clear" w:color="auto" w:fill="FFFFFF"/>
            <w:vAlign w:val="center"/>
          </w:tcPr>
          <w:p>
            <w:pPr>
              <w:widowControl/>
              <w:shd w:val="clear" w:color="auto" w:fill="FFFFFF"/>
              <w:jc w:val="center"/>
              <w:rPr>
                <w:rFonts w:hint="default" w:ascii="宋体"/>
                <w:color w:val="000000"/>
                <w:kern w:val="0"/>
                <w:shd w:val="clear" w:color="auto" w:fill="FFFFFF"/>
              </w:rPr>
            </w:pPr>
            <w:r>
              <w:rPr>
                <w:rFonts w:ascii="宋体" w:hAnsi="宋体"/>
                <w:color w:val="000000"/>
                <w:kern w:val="0"/>
                <w:shd w:val="clear" w:color="auto" w:fill="FFFFFF"/>
              </w:rPr>
              <w:t>经营支出</w:t>
            </w:r>
          </w:p>
        </w:tc>
        <w:tc>
          <w:tcPr>
            <w:tcW w:w="2106" w:type="dxa"/>
            <w:vMerge w:val="restart"/>
            <w:tcBorders>
              <w:top w:val="single" w:color="000000" w:sz="4" w:space="0"/>
              <w:left w:val="nil"/>
              <w:right w:val="single" w:color="000000" w:sz="4" w:space="0"/>
            </w:tcBorders>
            <w:shd w:val="clear" w:color="auto" w:fill="FFFFFF"/>
            <w:vAlign w:val="center"/>
          </w:tcPr>
          <w:p>
            <w:pPr>
              <w:widowControl/>
              <w:shd w:val="clear" w:color="auto" w:fill="FFFFFF"/>
              <w:jc w:val="center"/>
              <w:rPr>
                <w:rFonts w:hint="default" w:ascii="宋体"/>
                <w:color w:val="000000"/>
                <w:kern w:val="0"/>
                <w:shd w:val="clear" w:color="auto" w:fill="FFFFFF"/>
              </w:rPr>
            </w:pPr>
            <w:r>
              <w:rPr>
                <w:rFonts w:ascii="宋体" w:hAnsi="宋体"/>
                <w:color w:val="000000"/>
                <w:kern w:val="0"/>
                <w:shd w:val="clear" w:color="auto" w:fill="FFFFFF"/>
              </w:rPr>
              <w:t>对附属单位补助支出</w:t>
            </w:r>
          </w:p>
        </w:tc>
        <w:tc>
          <w:tcPr>
            <w:tcW w:w="222" w:type="dxa"/>
            <w:tcBorders>
              <w:top w:val="nil"/>
              <w:left w:val="nil"/>
              <w:bottom w:val="nil"/>
              <w:right w:val="nil"/>
            </w:tcBorders>
            <w:vAlign w:val="center"/>
          </w:tcPr>
          <w:p>
            <w:pPr>
              <w:widowControl/>
              <w:jc w:val="left"/>
              <w:rPr>
                <w:rFonts w:hint="default" w:eastAsia="Times New Roman"/>
                <w:kern w:val="0"/>
                <w:sz w:val="20"/>
              </w:rPr>
            </w:pPr>
          </w:p>
        </w:tc>
      </w:tr>
      <w:tr>
        <w:tblPrEx>
          <w:tblCellMar>
            <w:top w:w="0" w:type="dxa"/>
            <w:left w:w="108" w:type="dxa"/>
            <w:bottom w:w="0" w:type="dxa"/>
            <w:right w:w="108" w:type="dxa"/>
          </w:tblCellMar>
        </w:tblPrEx>
        <w:trPr>
          <w:trHeight w:val="529" w:hRule="atLeast"/>
          <w:jc w:val="center"/>
        </w:trPr>
        <w:tc>
          <w:tcPr>
            <w:tcW w:w="10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default" w:ascii="宋体" w:hAnsi="宋体"/>
                <w:color w:val="000000"/>
                <w:kern w:val="0"/>
                <w:shd w:val="clear" w:color="auto" w:fill="FFFFFF"/>
              </w:rPr>
            </w:pPr>
            <w:r>
              <w:rPr>
                <w:rFonts w:ascii="宋体" w:hAnsi="宋体"/>
                <w:color w:val="000000"/>
                <w:kern w:val="0"/>
                <w:shd w:val="clear" w:color="auto" w:fill="FFFFFF"/>
              </w:rPr>
              <w:t>功能分类</w:t>
            </w:r>
          </w:p>
          <w:p>
            <w:pPr>
              <w:widowControl/>
              <w:shd w:val="clear" w:color="auto" w:fill="FFFFFF"/>
              <w:jc w:val="center"/>
              <w:rPr>
                <w:rFonts w:hint="default" w:ascii="宋体" w:hAnsi="宋体"/>
                <w:color w:val="000000"/>
                <w:kern w:val="0"/>
                <w:shd w:val="clear" w:color="auto" w:fill="FFFFFF"/>
              </w:rPr>
            </w:pPr>
            <w:r>
              <w:rPr>
                <w:rFonts w:ascii="宋体" w:hAnsi="宋体"/>
                <w:color w:val="000000"/>
                <w:kern w:val="0"/>
                <w:shd w:val="clear" w:color="auto" w:fill="FFFFFF"/>
              </w:rPr>
              <w:t>科目编码</w:t>
            </w:r>
          </w:p>
        </w:tc>
        <w:tc>
          <w:tcPr>
            <w:tcW w:w="4176" w:type="dxa"/>
            <w:gridSpan w:val="3"/>
            <w:tcBorders>
              <w:top w:val="single" w:color="000000" w:sz="4" w:space="0"/>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hAnsi="宋体"/>
                <w:color w:val="000000"/>
                <w:kern w:val="0"/>
                <w:shd w:val="clear" w:color="auto" w:fill="FFFFFF"/>
              </w:rPr>
            </w:pPr>
            <w:r>
              <w:rPr>
                <w:rFonts w:ascii="宋体" w:hAnsi="宋体"/>
                <w:color w:val="000000"/>
                <w:kern w:val="0"/>
                <w:shd w:val="clear" w:color="auto" w:fill="FFFFFF"/>
              </w:rPr>
              <w:t>科目名称</w:t>
            </w:r>
          </w:p>
        </w:tc>
        <w:tc>
          <w:tcPr>
            <w:tcW w:w="1476" w:type="dxa"/>
            <w:vMerge w:val="continue"/>
            <w:tcBorders>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hAnsi="宋体"/>
                <w:color w:val="000000"/>
                <w:kern w:val="0"/>
                <w:shd w:val="clear" w:color="auto" w:fill="FFFFFF"/>
              </w:rPr>
            </w:pPr>
          </w:p>
        </w:tc>
        <w:tc>
          <w:tcPr>
            <w:tcW w:w="1103" w:type="dxa"/>
            <w:vMerge w:val="continue"/>
            <w:tcBorders>
              <w:left w:val="nil"/>
              <w:bottom w:val="single" w:color="000000" w:sz="4" w:space="0"/>
              <w:right w:val="single" w:color="000000" w:sz="4" w:space="0"/>
            </w:tcBorders>
            <w:shd w:val="clear" w:color="auto" w:fill="auto"/>
            <w:vAlign w:val="center"/>
          </w:tcPr>
          <w:p>
            <w:pPr>
              <w:widowControl/>
              <w:jc w:val="center"/>
              <w:rPr>
                <w:rFonts w:hint="default" w:ascii="宋体" w:hAnsi="宋体"/>
                <w:color w:val="000000"/>
                <w:kern w:val="0"/>
              </w:rPr>
            </w:pPr>
          </w:p>
        </w:tc>
        <w:tc>
          <w:tcPr>
            <w:tcW w:w="1214" w:type="dxa"/>
            <w:vMerge w:val="continue"/>
            <w:tcBorders>
              <w:left w:val="nil"/>
              <w:bottom w:val="single" w:color="000000" w:sz="4" w:space="0"/>
              <w:right w:val="single" w:color="000000" w:sz="4" w:space="0"/>
            </w:tcBorders>
            <w:shd w:val="clear" w:color="auto" w:fill="auto"/>
            <w:vAlign w:val="center"/>
          </w:tcPr>
          <w:p>
            <w:pPr>
              <w:widowControl/>
              <w:jc w:val="center"/>
              <w:rPr>
                <w:rFonts w:hint="default" w:ascii="宋体" w:hAnsi="宋体"/>
                <w:color w:val="000000"/>
                <w:kern w:val="0"/>
              </w:rPr>
            </w:pPr>
          </w:p>
        </w:tc>
        <w:tc>
          <w:tcPr>
            <w:tcW w:w="1476" w:type="dxa"/>
            <w:vMerge w:val="continue"/>
            <w:tcBorders>
              <w:left w:val="nil"/>
              <w:bottom w:val="single" w:color="000000" w:sz="4" w:space="0"/>
              <w:right w:val="single" w:color="000000" w:sz="4" w:space="0"/>
            </w:tcBorders>
            <w:shd w:val="clear" w:color="auto" w:fill="auto"/>
            <w:vAlign w:val="center"/>
          </w:tcPr>
          <w:p>
            <w:pPr>
              <w:widowControl/>
              <w:jc w:val="center"/>
              <w:rPr>
                <w:rFonts w:hint="default" w:ascii="宋体" w:hAnsi="宋体"/>
                <w:color w:val="000000"/>
                <w:kern w:val="0"/>
              </w:rPr>
            </w:pPr>
          </w:p>
        </w:tc>
        <w:tc>
          <w:tcPr>
            <w:tcW w:w="1056" w:type="dxa"/>
            <w:vMerge w:val="continue"/>
            <w:tcBorders>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hAnsi="宋体"/>
                <w:color w:val="000000"/>
                <w:kern w:val="0"/>
                <w:shd w:val="clear" w:color="auto" w:fill="FFFFFF"/>
              </w:rPr>
            </w:pPr>
          </w:p>
        </w:tc>
        <w:tc>
          <w:tcPr>
            <w:tcW w:w="2106" w:type="dxa"/>
            <w:vMerge w:val="continue"/>
            <w:tcBorders>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hAnsi="宋体"/>
                <w:color w:val="000000"/>
                <w:kern w:val="0"/>
                <w:shd w:val="clear" w:color="auto" w:fill="FFFFFF"/>
              </w:rPr>
            </w:pPr>
          </w:p>
        </w:tc>
        <w:tc>
          <w:tcPr>
            <w:tcW w:w="222" w:type="dxa"/>
            <w:tcBorders>
              <w:top w:val="nil"/>
              <w:left w:val="nil"/>
              <w:bottom w:val="nil"/>
              <w:right w:val="nil"/>
            </w:tcBorders>
            <w:vAlign w:val="center"/>
          </w:tcPr>
          <w:p>
            <w:pPr>
              <w:widowControl/>
              <w:jc w:val="left"/>
              <w:rPr>
                <w:rFonts w:hint="default" w:eastAsia="Times New Roman"/>
                <w:kern w:val="0"/>
                <w:sz w:val="20"/>
              </w:rPr>
            </w:pPr>
          </w:p>
        </w:tc>
      </w:tr>
      <w:tr>
        <w:tblPrEx>
          <w:tblCellMar>
            <w:top w:w="0" w:type="dxa"/>
            <w:left w:w="108" w:type="dxa"/>
            <w:bottom w:w="0" w:type="dxa"/>
            <w:right w:w="108" w:type="dxa"/>
          </w:tblCellMar>
        </w:tblPrEx>
        <w:trPr>
          <w:trHeight w:val="202" w:hRule="atLeast"/>
          <w:jc w:val="center"/>
        </w:trPr>
        <w:tc>
          <w:tcPr>
            <w:tcW w:w="5244" w:type="dxa"/>
            <w:gridSpan w:val="5"/>
            <w:tcBorders>
              <w:top w:val="nil"/>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default" w:ascii="宋体"/>
                <w:color w:val="000000"/>
                <w:kern w:val="0"/>
                <w:shd w:val="clear" w:color="auto" w:fill="FFFFFF"/>
              </w:rPr>
            </w:pPr>
            <w:r>
              <w:rPr>
                <w:rFonts w:ascii="宋体" w:hAnsi="宋体"/>
                <w:color w:val="000000"/>
                <w:kern w:val="0"/>
                <w:shd w:val="clear" w:color="auto" w:fill="FFFFFF"/>
              </w:rPr>
              <w:t>栏次</w:t>
            </w:r>
          </w:p>
        </w:tc>
        <w:tc>
          <w:tcPr>
            <w:tcW w:w="1476" w:type="dxa"/>
            <w:tcBorders>
              <w:top w:val="single" w:color="000000" w:sz="4" w:space="0"/>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color w:val="000000"/>
                <w:kern w:val="0"/>
                <w:shd w:val="clear" w:color="auto" w:fill="FFFFFF"/>
              </w:rPr>
            </w:pPr>
            <w:r>
              <w:rPr>
                <w:rFonts w:ascii="宋体" w:hAnsi="宋体"/>
                <w:color w:val="000000"/>
                <w:kern w:val="0"/>
                <w:shd w:val="clear" w:color="auto" w:fill="FFFFFF"/>
              </w:rPr>
              <w:t>1</w:t>
            </w:r>
          </w:p>
        </w:tc>
        <w:tc>
          <w:tcPr>
            <w:tcW w:w="1103" w:type="dxa"/>
            <w:tcBorders>
              <w:top w:val="single" w:color="000000" w:sz="4" w:space="0"/>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color w:val="000000"/>
                <w:kern w:val="0"/>
                <w:shd w:val="clear" w:color="auto" w:fill="FFFFFF"/>
              </w:rPr>
            </w:pPr>
            <w:r>
              <w:rPr>
                <w:rFonts w:ascii="宋体" w:hAnsi="宋体"/>
                <w:color w:val="000000"/>
                <w:kern w:val="0"/>
                <w:shd w:val="clear" w:color="auto" w:fill="FFFFFF"/>
              </w:rPr>
              <w:t>2</w:t>
            </w:r>
          </w:p>
        </w:tc>
        <w:tc>
          <w:tcPr>
            <w:tcW w:w="1214" w:type="dxa"/>
            <w:tcBorders>
              <w:top w:val="single" w:color="000000" w:sz="4" w:space="0"/>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color w:val="000000"/>
                <w:kern w:val="0"/>
                <w:shd w:val="clear" w:color="auto" w:fill="FFFFFF"/>
              </w:rPr>
            </w:pPr>
            <w:r>
              <w:rPr>
                <w:rFonts w:ascii="宋体" w:hAnsi="宋体"/>
                <w:color w:val="000000"/>
                <w:kern w:val="0"/>
                <w:shd w:val="clear" w:color="auto" w:fill="FFFFFF"/>
              </w:rPr>
              <w:t>3</w:t>
            </w:r>
          </w:p>
        </w:tc>
        <w:tc>
          <w:tcPr>
            <w:tcW w:w="1476" w:type="dxa"/>
            <w:tcBorders>
              <w:top w:val="single" w:color="000000" w:sz="4" w:space="0"/>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color w:val="000000"/>
                <w:kern w:val="0"/>
                <w:shd w:val="clear" w:color="auto" w:fill="FFFFFF"/>
              </w:rPr>
            </w:pPr>
            <w:r>
              <w:rPr>
                <w:rFonts w:ascii="宋体" w:hAnsi="宋体"/>
                <w:color w:val="000000"/>
                <w:kern w:val="0"/>
                <w:shd w:val="clear" w:color="auto" w:fill="FFFFFF"/>
              </w:rPr>
              <w:t>4</w:t>
            </w:r>
          </w:p>
        </w:tc>
        <w:tc>
          <w:tcPr>
            <w:tcW w:w="1056" w:type="dxa"/>
            <w:tcBorders>
              <w:top w:val="single" w:color="000000" w:sz="4" w:space="0"/>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color w:val="000000"/>
                <w:kern w:val="0"/>
                <w:shd w:val="clear" w:color="auto" w:fill="FFFFFF"/>
              </w:rPr>
            </w:pPr>
            <w:r>
              <w:rPr>
                <w:rFonts w:ascii="宋体" w:hAnsi="宋体"/>
                <w:color w:val="000000"/>
                <w:kern w:val="0"/>
                <w:shd w:val="clear" w:color="auto" w:fill="FFFFFF"/>
              </w:rPr>
              <w:t>5</w:t>
            </w:r>
          </w:p>
        </w:tc>
        <w:tc>
          <w:tcPr>
            <w:tcW w:w="2106" w:type="dxa"/>
            <w:tcBorders>
              <w:top w:val="single" w:color="000000" w:sz="4" w:space="0"/>
              <w:left w:val="nil"/>
              <w:bottom w:val="single" w:color="000000" w:sz="4" w:space="0"/>
              <w:right w:val="single" w:color="000000" w:sz="4" w:space="0"/>
            </w:tcBorders>
            <w:shd w:val="clear" w:color="auto" w:fill="FFFFFF"/>
            <w:vAlign w:val="center"/>
          </w:tcPr>
          <w:p>
            <w:pPr>
              <w:widowControl/>
              <w:shd w:val="clear" w:color="auto" w:fill="FFFFFF"/>
              <w:jc w:val="center"/>
              <w:rPr>
                <w:rFonts w:hint="default" w:ascii="宋体"/>
                <w:color w:val="000000"/>
                <w:kern w:val="0"/>
                <w:shd w:val="clear" w:color="auto" w:fill="FFFFFF"/>
              </w:rPr>
            </w:pPr>
            <w:r>
              <w:rPr>
                <w:rFonts w:ascii="宋体" w:hAnsi="宋体"/>
                <w:color w:val="000000"/>
                <w:kern w:val="0"/>
                <w:shd w:val="clear" w:color="auto" w:fill="FFFFFF"/>
              </w:rPr>
              <w:t>6</w:t>
            </w:r>
          </w:p>
        </w:tc>
        <w:tc>
          <w:tcPr>
            <w:tcW w:w="222" w:type="dxa"/>
            <w:tcBorders>
              <w:top w:val="nil"/>
              <w:left w:val="nil"/>
              <w:bottom w:val="nil"/>
              <w:right w:val="nil"/>
            </w:tcBorders>
            <w:vAlign w:val="center"/>
          </w:tcPr>
          <w:p>
            <w:pPr>
              <w:widowControl/>
              <w:jc w:val="left"/>
              <w:rPr>
                <w:rFonts w:hint="default" w:eastAsia="Times New Roman"/>
                <w:kern w:val="0"/>
                <w:sz w:val="20"/>
              </w:rPr>
            </w:pPr>
          </w:p>
        </w:tc>
      </w:tr>
      <w:tr>
        <w:tblPrEx>
          <w:tblCellMar>
            <w:top w:w="0" w:type="dxa"/>
            <w:left w:w="108" w:type="dxa"/>
            <w:bottom w:w="0" w:type="dxa"/>
            <w:right w:w="108" w:type="dxa"/>
          </w:tblCellMar>
        </w:tblPrEx>
        <w:trPr>
          <w:trHeight w:val="250" w:hRule="atLeast"/>
          <w:jc w:val="center"/>
        </w:trPr>
        <w:tc>
          <w:tcPr>
            <w:tcW w:w="5244" w:type="dxa"/>
            <w:gridSpan w:val="5"/>
            <w:tcBorders>
              <w:top w:val="nil"/>
              <w:left w:val="single" w:color="000000" w:sz="4" w:space="0"/>
              <w:bottom w:val="single" w:color="000000" w:sz="4" w:space="0"/>
              <w:right w:val="single" w:color="000000" w:sz="4" w:space="0"/>
            </w:tcBorders>
            <w:shd w:val="clear" w:color="auto" w:fill="auto"/>
            <w:vAlign w:val="center"/>
          </w:tcPr>
          <w:p>
            <w:pPr>
              <w:widowControl/>
              <w:shd w:val="clear" w:color="auto" w:fill="FFFFFF"/>
              <w:jc w:val="center"/>
              <w:rPr>
                <w:rFonts w:hint="default" w:ascii="宋体"/>
                <w:color w:val="000000"/>
                <w:kern w:val="0"/>
                <w:shd w:val="clear" w:color="auto" w:fill="FFFFFF"/>
              </w:rPr>
            </w:pPr>
            <w:r>
              <w:rPr>
                <w:rFonts w:ascii="宋体" w:hAnsi="宋体"/>
                <w:color w:val="000000"/>
                <w:kern w:val="0"/>
                <w:shd w:val="clear" w:color="auto" w:fill="FFFFFF"/>
              </w:rPr>
              <w:t>合计</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33,692.31</w:t>
            </w:r>
          </w:p>
        </w:tc>
        <w:tc>
          <w:tcPr>
            <w:tcW w:w="110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4,763.80</w:t>
            </w:r>
          </w:p>
        </w:tc>
        <w:tc>
          <w:tcPr>
            <w:tcW w:w="12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28,928.51</w:t>
            </w:r>
          </w:p>
        </w:tc>
        <w:tc>
          <w:tcPr>
            <w:tcW w:w="147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10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22" w:type="dxa"/>
            <w:tcBorders>
              <w:top w:val="nil"/>
              <w:left w:val="nil"/>
              <w:bottom w:val="nil"/>
              <w:right w:val="nil"/>
            </w:tcBorders>
            <w:vAlign w:val="center"/>
          </w:tcPr>
          <w:p>
            <w:pPr>
              <w:widowControl/>
              <w:jc w:val="left"/>
              <w:rPr>
                <w:rFonts w:hint="default" w:eastAsia="Times New Roman"/>
                <w:kern w:val="0"/>
                <w:sz w:val="20"/>
              </w:rPr>
            </w:pPr>
          </w:p>
        </w:tc>
      </w:tr>
      <w:tr>
        <w:tblPrEx>
          <w:tblCellMar>
            <w:top w:w="0" w:type="dxa"/>
            <w:left w:w="108" w:type="dxa"/>
            <w:bottom w:w="0" w:type="dxa"/>
            <w:right w:w="108" w:type="dxa"/>
          </w:tblCellMar>
        </w:tblPrEx>
        <w:trPr>
          <w:trHeight w:val="355" w:hRule="atLeast"/>
          <w:jc w:val="center"/>
        </w:trPr>
        <w:tc>
          <w:tcPr>
            <w:tcW w:w="10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2050303</w:t>
            </w:r>
          </w:p>
        </w:tc>
        <w:tc>
          <w:tcPr>
            <w:tcW w:w="4176" w:type="dxa"/>
            <w:gridSpan w:val="3"/>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技校教育</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1,152.50</w:t>
            </w:r>
          </w:p>
        </w:tc>
        <w:tc>
          <w:tcPr>
            <w:tcW w:w="1103"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sz w:val="22"/>
                <w:szCs w:val="22"/>
                <w:u w:val="none"/>
              </w:rPr>
            </w:pPr>
          </w:p>
        </w:tc>
        <w:tc>
          <w:tcPr>
            <w:tcW w:w="12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1,152.50</w:t>
            </w:r>
          </w:p>
        </w:tc>
        <w:tc>
          <w:tcPr>
            <w:tcW w:w="147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10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22" w:type="dxa"/>
            <w:tcBorders>
              <w:top w:val="nil"/>
              <w:left w:val="nil"/>
              <w:bottom w:val="nil"/>
              <w:right w:val="nil"/>
            </w:tcBorders>
            <w:vAlign w:val="center"/>
          </w:tcPr>
          <w:p>
            <w:pPr>
              <w:widowControl/>
              <w:jc w:val="left"/>
              <w:rPr>
                <w:rFonts w:hint="default" w:eastAsia="Times New Roman"/>
                <w:kern w:val="0"/>
                <w:sz w:val="20"/>
              </w:rPr>
            </w:pPr>
          </w:p>
        </w:tc>
      </w:tr>
      <w:tr>
        <w:tblPrEx>
          <w:tblCellMar>
            <w:top w:w="0" w:type="dxa"/>
            <w:left w:w="108" w:type="dxa"/>
            <w:bottom w:w="0" w:type="dxa"/>
            <w:right w:w="108" w:type="dxa"/>
          </w:tblCellMar>
        </w:tblPrEx>
        <w:trPr>
          <w:trHeight w:val="355" w:hRule="atLeast"/>
          <w:jc w:val="center"/>
        </w:trPr>
        <w:tc>
          <w:tcPr>
            <w:tcW w:w="10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2050999</w:t>
            </w:r>
          </w:p>
        </w:tc>
        <w:tc>
          <w:tcPr>
            <w:tcW w:w="4176" w:type="dxa"/>
            <w:gridSpan w:val="3"/>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其他教育费附加安排的支出</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6,317.27</w:t>
            </w:r>
          </w:p>
        </w:tc>
        <w:tc>
          <w:tcPr>
            <w:tcW w:w="1103"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sz w:val="22"/>
                <w:szCs w:val="22"/>
                <w:u w:val="none"/>
              </w:rPr>
            </w:pPr>
          </w:p>
        </w:tc>
        <w:tc>
          <w:tcPr>
            <w:tcW w:w="12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6,317.27</w:t>
            </w:r>
          </w:p>
        </w:tc>
        <w:tc>
          <w:tcPr>
            <w:tcW w:w="147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10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22" w:type="dxa"/>
            <w:tcBorders>
              <w:top w:val="nil"/>
              <w:left w:val="nil"/>
              <w:bottom w:val="nil"/>
              <w:right w:val="nil"/>
            </w:tcBorders>
            <w:vAlign w:val="center"/>
          </w:tcPr>
          <w:p>
            <w:pPr>
              <w:widowControl/>
              <w:jc w:val="left"/>
              <w:rPr>
                <w:rFonts w:hint="default" w:eastAsia="Times New Roman"/>
                <w:kern w:val="0"/>
                <w:sz w:val="20"/>
              </w:rPr>
            </w:pPr>
          </w:p>
        </w:tc>
      </w:tr>
      <w:tr>
        <w:tblPrEx>
          <w:tblCellMar>
            <w:top w:w="0" w:type="dxa"/>
            <w:left w:w="108" w:type="dxa"/>
            <w:bottom w:w="0" w:type="dxa"/>
            <w:right w:w="108" w:type="dxa"/>
          </w:tblCellMar>
        </w:tblPrEx>
        <w:trPr>
          <w:trHeight w:val="310" w:hRule="atLeast"/>
          <w:jc w:val="center"/>
        </w:trPr>
        <w:tc>
          <w:tcPr>
            <w:tcW w:w="10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2080101</w:t>
            </w:r>
          </w:p>
        </w:tc>
        <w:tc>
          <w:tcPr>
            <w:tcW w:w="4176" w:type="dxa"/>
            <w:gridSpan w:val="3"/>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3,823.00</w:t>
            </w:r>
          </w:p>
        </w:tc>
        <w:tc>
          <w:tcPr>
            <w:tcW w:w="110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3,823.00</w:t>
            </w:r>
          </w:p>
        </w:tc>
        <w:tc>
          <w:tcPr>
            <w:tcW w:w="1214"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sz w:val="22"/>
                <w:szCs w:val="22"/>
                <w:u w:val="none"/>
              </w:rPr>
            </w:pPr>
          </w:p>
        </w:tc>
        <w:tc>
          <w:tcPr>
            <w:tcW w:w="147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10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22" w:type="dxa"/>
            <w:tcBorders>
              <w:top w:val="nil"/>
              <w:left w:val="nil"/>
              <w:bottom w:val="nil"/>
              <w:right w:val="nil"/>
            </w:tcBorders>
            <w:vAlign w:val="center"/>
          </w:tcPr>
          <w:p>
            <w:pPr>
              <w:widowControl/>
              <w:jc w:val="left"/>
              <w:rPr>
                <w:rFonts w:hint="default" w:eastAsia="Times New Roman"/>
                <w:kern w:val="0"/>
                <w:sz w:val="20"/>
              </w:rPr>
            </w:pPr>
          </w:p>
        </w:tc>
      </w:tr>
      <w:tr>
        <w:tblPrEx>
          <w:tblCellMar>
            <w:top w:w="0" w:type="dxa"/>
            <w:left w:w="108" w:type="dxa"/>
            <w:bottom w:w="0" w:type="dxa"/>
            <w:right w:w="108" w:type="dxa"/>
          </w:tblCellMar>
        </w:tblPrEx>
        <w:trPr>
          <w:trHeight w:val="275" w:hRule="atLeast"/>
          <w:jc w:val="center"/>
        </w:trPr>
        <w:tc>
          <w:tcPr>
            <w:tcW w:w="10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2080102</w:t>
            </w:r>
          </w:p>
        </w:tc>
        <w:tc>
          <w:tcPr>
            <w:tcW w:w="4176" w:type="dxa"/>
            <w:gridSpan w:val="3"/>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337.12</w:t>
            </w:r>
          </w:p>
        </w:tc>
        <w:tc>
          <w:tcPr>
            <w:tcW w:w="1103"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sz w:val="22"/>
                <w:szCs w:val="22"/>
                <w:u w:val="none"/>
              </w:rPr>
            </w:pPr>
          </w:p>
        </w:tc>
        <w:tc>
          <w:tcPr>
            <w:tcW w:w="12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337.12</w:t>
            </w:r>
          </w:p>
        </w:tc>
        <w:tc>
          <w:tcPr>
            <w:tcW w:w="147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10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22" w:type="dxa"/>
            <w:tcBorders>
              <w:top w:val="nil"/>
              <w:left w:val="nil"/>
              <w:bottom w:val="nil"/>
              <w:right w:val="nil"/>
            </w:tcBorders>
            <w:vAlign w:val="center"/>
          </w:tcPr>
          <w:p>
            <w:pPr>
              <w:widowControl/>
              <w:jc w:val="left"/>
              <w:rPr>
                <w:rFonts w:hint="default" w:eastAsia="Times New Roman"/>
                <w:kern w:val="0"/>
                <w:sz w:val="20"/>
              </w:rPr>
            </w:pPr>
          </w:p>
        </w:tc>
      </w:tr>
      <w:tr>
        <w:tblPrEx>
          <w:tblCellMar>
            <w:top w:w="0" w:type="dxa"/>
            <w:left w:w="108" w:type="dxa"/>
            <w:bottom w:w="0" w:type="dxa"/>
            <w:right w:w="108" w:type="dxa"/>
          </w:tblCellMar>
        </w:tblPrEx>
        <w:trPr>
          <w:trHeight w:val="247" w:hRule="atLeast"/>
          <w:jc w:val="center"/>
        </w:trPr>
        <w:tc>
          <w:tcPr>
            <w:tcW w:w="10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2080103</w:t>
            </w:r>
          </w:p>
        </w:tc>
        <w:tc>
          <w:tcPr>
            <w:tcW w:w="4176" w:type="dxa"/>
            <w:gridSpan w:val="3"/>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59.16</w:t>
            </w:r>
          </w:p>
        </w:tc>
        <w:tc>
          <w:tcPr>
            <w:tcW w:w="1103"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sz w:val="22"/>
                <w:szCs w:val="22"/>
                <w:u w:val="none"/>
              </w:rPr>
            </w:pPr>
          </w:p>
        </w:tc>
        <w:tc>
          <w:tcPr>
            <w:tcW w:w="12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59.16</w:t>
            </w:r>
          </w:p>
        </w:tc>
        <w:tc>
          <w:tcPr>
            <w:tcW w:w="147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10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22" w:type="dxa"/>
            <w:tcBorders>
              <w:top w:val="nil"/>
              <w:left w:val="nil"/>
              <w:bottom w:val="nil"/>
              <w:right w:val="nil"/>
            </w:tcBorders>
            <w:vAlign w:val="center"/>
          </w:tcPr>
          <w:p>
            <w:pPr>
              <w:widowControl/>
              <w:jc w:val="left"/>
              <w:rPr>
                <w:rFonts w:hint="default" w:eastAsia="Times New Roman"/>
                <w:kern w:val="0"/>
                <w:sz w:val="20"/>
              </w:rPr>
            </w:pPr>
          </w:p>
        </w:tc>
      </w:tr>
      <w:tr>
        <w:tblPrEx>
          <w:tblCellMar>
            <w:top w:w="0" w:type="dxa"/>
            <w:left w:w="108" w:type="dxa"/>
            <w:bottom w:w="0" w:type="dxa"/>
            <w:right w:w="108" w:type="dxa"/>
          </w:tblCellMar>
        </w:tblPrEx>
        <w:trPr>
          <w:trHeight w:val="255" w:hRule="atLeast"/>
          <w:jc w:val="center"/>
        </w:trPr>
        <w:tc>
          <w:tcPr>
            <w:tcW w:w="10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2080116</w:t>
            </w:r>
          </w:p>
        </w:tc>
        <w:tc>
          <w:tcPr>
            <w:tcW w:w="4176" w:type="dxa"/>
            <w:gridSpan w:val="3"/>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引进人才费用</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3,372.04</w:t>
            </w:r>
          </w:p>
        </w:tc>
        <w:tc>
          <w:tcPr>
            <w:tcW w:w="1103"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sz w:val="22"/>
                <w:szCs w:val="22"/>
                <w:u w:val="none"/>
              </w:rPr>
            </w:pPr>
          </w:p>
        </w:tc>
        <w:tc>
          <w:tcPr>
            <w:tcW w:w="12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3,372.04</w:t>
            </w:r>
          </w:p>
        </w:tc>
        <w:tc>
          <w:tcPr>
            <w:tcW w:w="147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10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22" w:type="dxa"/>
            <w:tcBorders>
              <w:top w:val="nil"/>
              <w:left w:val="nil"/>
              <w:bottom w:val="nil"/>
              <w:right w:val="nil"/>
            </w:tcBorders>
            <w:vAlign w:val="center"/>
          </w:tcPr>
          <w:p>
            <w:pPr>
              <w:widowControl/>
              <w:jc w:val="left"/>
              <w:rPr>
                <w:rFonts w:hint="default" w:eastAsia="Times New Roman"/>
                <w:kern w:val="0"/>
                <w:sz w:val="20"/>
              </w:rPr>
            </w:pPr>
          </w:p>
        </w:tc>
      </w:tr>
      <w:tr>
        <w:tblPrEx>
          <w:tblCellMar>
            <w:top w:w="0" w:type="dxa"/>
            <w:left w:w="108" w:type="dxa"/>
            <w:bottom w:w="0" w:type="dxa"/>
            <w:right w:w="108" w:type="dxa"/>
          </w:tblCellMar>
        </w:tblPrEx>
        <w:trPr>
          <w:trHeight w:val="320" w:hRule="atLeast"/>
          <w:jc w:val="center"/>
        </w:trPr>
        <w:tc>
          <w:tcPr>
            <w:tcW w:w="10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2080199</w:t>
            </w:r>
          </w:p>
        </w:tc>
        <w:tc>
          <w:tcPr>
            <w:tcW w:w="4176" w:type="dxa"/>
            <w:gridSpan w:val="3"/>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12,699.38</w:t>
            </w:r>
          </w:p>
        </w:tc>
        <w:tc>
          <w:tcPr>
            <w:tcW w:w="1103"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sz w:val="22"/>
                <w:szCs w:val="22"/>
                <w:u w:val="none"/>
              </w:rPr>
            </w:pPr>
          </w:p>
        </w:tc>
        <w:tc>
          <w:tcPr>
            <w:tcW w:w="12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12,699.38</w:t>
            </w:r>
          </w:p>
        </w:tc>
        <w:tc>
          <w:tcPr>
            <w:tcW w:w="147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10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22" w:type="dxa"/>
            <w:tcBorders>
              <w:top w:val="nil"/>
              <w:left w:val="nil"/>
              <w:bottom w:val="nil"/>
              <w:right w:val="nil"/>
            </w:tcBorders>
            <w:vAlign w:val="center"/>
          </w:tcPr>
          <w:p>
            <w:pPr>
              <w:widowControl/>
              <w:jc w:val="left"/>
              <w:rPr>
                <w:rFonts w:hint="default" w:eastAsia="Times New Roman"/>
                <w:kern w:val="0"/>
                <w:sz w:val="20"/>
              </w:rPr>
            </w:pPr>
          </w:p>
        </w:tc>
      </w:tr>
      <w:tr>
        <w:tblPrEx>
          <w:tblCellMar>
            <w:top w:w="0" w:type="dxa"/>
            <w:left w:w="108" w:type="dxa"/>
            <w:bottom w:w="0" w:type="dxa"/>
            <w:right w:w="108" w:type="dxa"/>
          </w:tblCellMar>
        </w:tblPrEx>
        <w:trPr>
          <w:trHeight w:val="247" w:hRule="atLeast"/>
          <w:jc w:val="center"/>
        </w:trPr>
        <w:tc>
          <w:tcPr>
            <w:tcW w:w="10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2080501</w:t>
            </w:r>
          </w:p>
        </w:tc>
        <w:tc>
          <w:tcPr>
            <w:tcW w:w="4176" w:type="dxa"/>
            <w:gridSpan w:val="3"/>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100.01</w:t>
            </w:r>
          </w:p>
        </w:tc>
        <w:tc>
          <w:tcPr>
            <w:tcW w:w="110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100.01</w:t>
            </w:r>
          </w:p>
        </w:tc>
        <w:tc>
          <w:tcPr>
            <w:tcW w:w="1214"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47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10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22" w:type="dxa"/>
            <w:tcBorders>
              <w:top w:val="nil"/>
              <w:left w:val="nil"/>
              <w:bottom w:val="nil"/>
              <w:right w:val="nil"/>
            </w:tcBorders>
            <w:vAlign w:val="center"/>
          </w:tcPr>
          <w:p>
            <w:pPr>
              <w:widowControl/>
              <w:jc w:val="left"/>
              <w:rPr>
                <w:rFonts w:hint="default" w:eastAsia="Times New Roman"/>
                <w:kern w:val="0"/>
                <w:sz w:val="20"/>
              </w:rPr>
            </w:pPr>
          </w:p>
        </w:tc>
      </w:tr>
      <w:tr>
        <w:tblPrEx>
          <w:tblCellMar>
            <w:top w:w="0" w:type="dxa"/>
            <w:left w:w="108" w:type="dxa"/>
            <w:bottom w:w="0" w:type="dxa"/>
            <w:right w:w="108" w:type="dxa"/>
          </w:tblCellMar>
        </w:tblPrEx>
        <w:trPr>
          <w:trHeight w:val="320" w:hRule="atLeast"/>
          <w:jc w:val="center"/>
        </w:trPr>
        <w:tc>
          <w:tcPr>
            <w:tcW w:w="10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2080505</w:t>
            </w:r>
          </w:p>
        </w:tc>
        <w:tc>
          <w:tcPr>
            <w:tcW w:w="4176" w:type="dxa"/>
            <w:gridSpan w:val="3"/>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251.54</w:t>
            </w:r>
          </w:p>
        </w:tc>
        <w:tc>
          <w:tcPr>
            <w:tcW w:w="110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251.54</w:t>
            </w:r>
          </w:p>
        </w:tc>
        <w:tc>
          <w:tcPr>
            <w:tcW w:w="1214"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47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10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22" w:type="dxa"/>
            <w:tcBorders>
              <w:top w:val="nil"/>
              <w:left w:val="nil"/>
              <w:bottom w:val="nil"/>
              <w:right w:val="nil"/>
            </w:tcBorders>
            <w:vAlign w:val="center"/>
          </w:tcPr>
          <w:p>
            <w:pPr>
              <w:widowControl/>
              <w:jc w:val="left"/>
              <w:rPr>
                <w:rFonts w:hint="default" w:eastAsia="Times New Roman"/>
                <w:kern w:val="0"/>
                <w:sz w:val="20"/>
              </w:rPr>
            </w:pPr>
          </w:p>
        </w:tc>
      </w:tr>
      <w:tr>
        <w:tblPrEx>
          <w:tblCellMar>
            <w:top w:w="0" w:type="dxa"/>
            <w:left w:w="108" w:type="dxa"/>
            <w:bottom w:w="0" w:type="dxa"/>
            <w:right w:w="108" w:type="dxa"/>
          </w:tblCellMar>
        </w:tblPrEx>
        <w:trPr>
          <w:trHeight w:val="320" w:hRule="atLeast"/>
          <w:jc w:val="center"/>
        </w:trPr>
        <w:tc>
          <w:tcPr>
            <w:tcW w:w="10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2080506</w:t>
            </w:r>
          </w:p>
        </w:tc>
        <w:tc>
          <w:tcPr>
            <w:tcW w:w="4176" w:type="dxa"/>
            <w:gridSpan w:val="3"/>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29.92</w:t>
            </w:r>
          </w:p>
        </w:tc>
        <w:tc>
          <w:tcPr>
            <w:tcW w:w="110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29.92</w:t>
            </w:r>
          </w:p>
        </w:tc>
        <w:tc>
          <w:tcPr>
            <w:tcW w:w="1214"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47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10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22" w:type="dxa"/>
            <w:tcBorders>
              <w:top w:val="nil"/>
              <w:left w:val="nil"/>
              <w:bottom w:val="nil"/>
              <w:right w:val="nil"/>
            </w:tcBorders>
            <w:vAlign w:val="center"/>
          </w:tcPr>
          <w:p>
            <w:pPr>
              <w:widowControl/>
              <w:jc w:val="left"/>
              <w:rPr>
                <w:rFonts w:hint="default" w:eastAsia="Times New Roman"/>
                <w:kern w:val="0"/>
                <w:sz w:val="20"/>
              </w:rPr>
            </w:pPr>
          </w:p>
        </w:tc>
      </w:tr>
      <w:tr>
        <w:tblPrEx>
          <w:tblCellMar>
            <w:top w:w="0" w:type="dxa"/>
            <w:left w:w="108" w:type="dxa"/>
            <w:bottom w:w="0" w:type="dxa"/>
            <w:right w:w="108" w:type="dxa"/>
          </w:tblCellMar>
        </w:tblPrEx>
        <w:trPr>
          <w:trHeight w:val="320" w:hRule="atLeast"/>
          <w:jc w:val="center"/>
        </w:trPr>
        <w:tc>
          <w:tcPr>
            <w:tcW w:w="10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2080508</w:t>
            </w:r>
          </w:p>
        </w:tc>
        <w:tc>
          <w:tcPr>
            <w:tcW w:w="4176" w:type="dxa"/>
            <w:gridSpan w:val="3"/>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对机关事业单位职业年金的补助</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8.37</w:t>
            </w:r>
          </w:p>
        </w:tc>
        <w:tc>
          <w:tcPr>
            <w:tcW w:w="110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8.37</w:t>
            </w:r>
          </w:p>
        </w:tc>
        <w:tc>
          <w:tcPr>
            <w:tcW w:w="1214"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47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10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22" w:type="dxa"/>
            <w:tcBorders>
              <w:top w:val="nil"/>
              <w:left w:val="nil"/>
              <w:bottom w:val="nil"/>
              <w:right w:val="nil"/>
            </w:tcBorders>
            <w:vAlign w:val="center"/>
          </w:tcPr>
          <w:p>
            <w:pPr>
              <w:widowControl/>
              <w:jc w:val="left"/>
              <w:rPr>
                <w:rFonts w:hint="default" w:eastAsia="Times New Roman"/>
                <w:kern w:val="0"/>
                <w:sz w:val="20"/>
              </w:rPr>
            </w:pPr>
          </w:p>
        </w:tc>
      </w:tr>
      <w:tr>
        <w:tblPrEx>
          <w:tblCellMar>
            <w:top w:w="0" w:type="dxa"/>
            <w:left w:w="108" w:type="dxa"/>
            <w:bottom w:w="0" w:type="dxa"/>
            <w:right w:w="108" w:type="dxa"/>
          </w:tblCellMar>
        </w:tblPrEx>
        <w:trPr>
          <w:trHeight w:val="225" w:hRule="atLeast"/>
          <w:jc w:val="center"/>
        </w:trPr>
        <w:tc>
          <w:tcPr>
            <w:tcW w:w="10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2080712</w:t>
            </w:r>
          </w:p>
        </w:tc>
        <w:tc>
          <w:tcPr>
            <w:tcW w:w="4176" w:type="dxa"/>
            <w:gridSpan w:val="3"/>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高技能人才培养补助</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550.48</w:t>
            </w:r>
          </w:p>
        </w:tc>
        <w:tc>
          <w:tcPr>
            <w:tcW w:w="1103"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sz w:val="22"/>
                <w:szCs w:val="22"/>
                <w:u w:val="none"/>
              </w:rPr>
            </w:pPr>
          </w:p>
        </w:tc>
        <w:tc>
          <w:tcPr>
            <w:tcW w:w="12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550.48</w:t>
            </w:r>
          </w:p>
        </w:tc>
        <w:tc>
          <w:tcPr>
            <w:tcW w:w="147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10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22" w:type="dxa"/>
            <w:tcBorders>
              <w:top w:val="nil"/>
              <w:left w:val="nil"/>
              <w:bottom w:val="nil"/>
              <w:right w:val="nil"/>
            </w:tcBorders>
            <w:vAlign w:val="center"/>
          </w:tcPr>
          <w:p>
            <w:pPr>
              <w:widowControl/>
              <w:jc w:val="left"/>
              <w:rPr>
                <w:rFonts w:hint="default" w:eastAsia="Times New Roman"/>
                <w:kern w:val="0"/>
                <w:sz w:val="20"/>
              </w:rPr>
            </w:pPr>
          </w:p>
        </w:tc>
      </w:tr>
      <w:tr>
        <w:tblPrEx>
          <w:tblCellMar>
            <w:top w:w="0" w:type="dxa"/>
            <w:left w:w="108" w:type="dxa"/>
            <w:bottom w:w="0" w:type="dxa"/>
            <w:right w:w="108" w:type="dxa"/>
          </w:tblCellMar>
        </w:tblPrEx>
        <w:trPr>
          <w:trHeight w:val="277" w:hRule="atLeast"/>
          <w:jc w:val="center"/>
        </w:trPr>
        <w:tc>
          <w:tcPr>
            <w:tcW w:w="10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2080802</w:t>
            </w:r>
          </w:p>
        </w:tc>
        <w:tc>
          <w:tcPr>
            <w:tcW w:w="4176" w:type="dxa"/>
            <w:gridSpan w:val="3"/>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伤残抚恤</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6.26</w:t>
            </w:r>
          </w:p>
        </w:tc>
        <w:tc>
          <w:tcPr>
            <w:tcW w:w="110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6.26</w:t>
            </w:r>
          </w:p>
        </w:tc>
        <w:tc>
          <w:tcPr>
            <w:tcW w:w="1214"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sz w:val="22"/>
                <w:szCs w:val="22"/>
                <w:u w:val="none"/>
              </w:rPr>
            </w:pPr>
          </w:p>
        </w:tc>
        <w:tc>
          <w:tcPr>
            <w:tcW w:w="147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10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22" w:type="dxa"/>
            <w:tcBorders>
              <w:top w:val="nil"/>
              <w:left w:val="nil"/>
              <w:bottom w:val="nil"/>
              <w:right w:val="nil"/>
            </w:tcBorders>
            <w:vAlign w:val="center"/>
          </w:tcPr>
          <w:p>
            <w:pPr>
              <w:widowControl/>
              <w:jc w:val="left"/>
              <w:rPr>
                <w:rFonts w:hint="default" w:eastAsia="Times New Roman"/>
                <w:kern w:val="0"/>
                <w:sz w:val="20"/>
              </w:rPr>
            </w:pPr>
          </w:p>
        </w:tc>
      </w:tr>
      <w:tr>
        <w:tblPrEx>
          <w:tblCellMar>
            <w:top w:w="0" w:type="dxa"/>
            <w:left w:w="108" w:type="dxa"/>
            <w:bottom w:w="0" w:type="dxa"/>
            <w:right w:w="108" w:type="dxa"/>
          </w:tblCellMar>
        </w:tblPrEx>
        <w:trPr>
          <w:trHeight w:val="210" w:hRule="atLeast"/>
          <w:jc w:val="center"/>
        </w:trPr>
        <w:tc>
          <w:tcPr>
            <w:tcW w:w="10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2101101</w:t>
            </w:r>
          </w:p>
        </w:tc>
        <w:tc>
          <w:tcPr>
            <w:tcW w:w="4176" w:type="dxa"/>
            <w:gridSpan w:val="3"/>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122.50</w:t>
            </w:r>
          </w:p>
        </w:tc>
        <w:tc>
          <w:tcPr>
            <w:tcW w:w="110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122.50</w:t>
            </w:r>
          </w:p>
        </w:tc>
        <w:tc>
          <w:tcPr>
            <w:tcW w:w="1214"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47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10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22" w:type="dxa"/>
            <w:tcBorders>
              <w:top w:val="nil"/>
              <w:left w:val="nil"/>
              <w:bottom w:val="nil"/>
              <w:right w:val="nil"/>
            </w:tcBorders>
            <w:vAlign w:val="center"/>
          </w:tcPr>
          <w:p>
            <w:pPr>
              <w:widowControl/>
              <w:jc w:val="left"/>
              <w:rPr>
                <w:rFonts w:hint="default" w:eastAsia="Times New Roman"/>
                <w:kern w:val="0"/>
                <w:sz w:val="20"/>
              </w:rPr>
            </w:pPr>
          </w:p>
        </w:tc>
      </w:tr>
      <w:tr>
        <w:tblPrEx>
          <w:tblCellMar>
            <w:top w:w="0" w:type="dxa"/>
            <w:left w:w="108" w:type="dxa"/>
            <w:bottom w:w="0" w:type="dxa"/>
            <w:right w:w="108" w:type="dxa"/>
          </w:tblCellMar>
        </w:tblPrEx>
        <w:trPr>
          <w:trHeight w:val="255" w:hRule="atLeast"/>
          <w:jc w:val="center"/>
        </w:trPr>
        <w:tc>
          <w:tcPr>
            <w:tcW w:w="10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2119999</w:t>
            </w:r>
          </w:p>
        </w:tc>
        <w:tc>
          <w:tcPr>
            <w:tcW w:w="4176" w:type="dxa"/>
            <w:gridSpan w:val="3"/>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其他节能环保支出</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4,440.55</w:t>
            </w:r>
          </w:p>
        </w:tc>
        <w:tc>
          <w:tcPr>
            <w:tcW w:w="1103"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sz w:val="22"/>
                <w:szCs w:val="22"/>
                <w:u w:val="none"/>
              </w:rPr>
            </w:pPr>
          </w:p>
        </w:tc>
        <w:tc>
          <w:tcPr>
            <w:tcW w:w="12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4,440.55</w:t>
            </w:r>
          </w:p>
        </w:tc>
        <w:tc>
          <w:tcPr>
            <w:tcW w:w="147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10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22" w:type="dxa"/>
            <w:tcBorders>
              <w:top w:val="nil"/>
              <w:left w:val="nil"/>
              <w:bottom w:val="nil"/>
              <w:right w:val="nil"/>
            </w:tcBorders>
            <w:vAlign w:val="center"/>
          </w:tcPr>
          <w:p>
            <w:pPr>
              <w:widowControl/>
              <w:jc w:val="left"/>
              <w:rPr>
                <w:rFonts w:hint="default" w:eastAsia="Times New Roman"/>
                <w:kern w:val="0"/>
                <w:sz w:val="20"/>
              </w:rPr>
            </w:pPr>
          </w:p>
        </w:tc>
      </w:tr>
      <w:tr>
        <w:tblPrEx>
          <w:tblCellMar>
            <w:top w:w="0" w:type="dxa"/>
            <w:left w:w="108" w:type="dxa"/>
            <w:bottom w:w="0" w:type="dxa"/>
            <w:right w:w="108" w:type="dxa"/>
          </w:tblCellMar>
        </w:tblPrEx>
        <w:trPr>
          <w:trHeight w:val="300" w:hRule="atLeast"/>
          <w:jc w:val="center"/>
        </w:trPr>
        <w:tc>
          <w:tcPr>
            <w:tcW w:w="10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2210201</w:t>
            </w:r>
          </w:p>
        </w:tc>
        <w:tc>
          <w:tcPr>
            <w:tcW w:w="4176" w:type="dxa"/>
            <w:gridSpan w:val="3"/>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358.72</w:t>
            </w:r>
          </w:p>
        </w:tc>
        <w:tc>
          <w:tcPr>
            <w:tcW w:w="110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358.72</w:t>
            </w:r>
          </w:p>
        </w:tc>
        <w:tc>
          <w:tcPr>
            <w:tcW w:w="1214"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47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10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22" w:type="dxa"/>
            <w:tcBorders>
              <w:top w:val="nil"/>
              <w:left w:val="nil"/>
              <w:bottom w:val="nil"/>
              <w:right w:val="nil"/>
            </w:tcBorders>
            <w:vAlign w:val="center"/>
          </w:tcPr>
          <w:p>
            <w:pPr>
              <w:widowControl/>
              <w:jc w:val="left"/>
              <w:rPr>
                <w:rFonts w:hint="default" w:eastAsia="Times New Roman"/>
                <w:kern w:val="0"/>
                <w:sz w:val="20"/>
              </w:rPr>
            </w:pPr>
          </w:p>
        </w:tc>
      </w:tr>
      <w:tr>
        <w:tblPrEx>
          <w:tblCellMar>
            <w:top w:w="0" w:type="dxa"/>
            <w:left w:w="108" w:type="dxa"/>
            <w:bottom w:w="0" w:type="dxa"/>
            <w:right w:w="108" w:type="dxa"/>
          </w:tblCellMar>
        </w:tblPrEx>
        <w:trPr>
          <w:trHeight w:val="262" w:hRule="atLeast"/>
          <w:jc w:val="center"/>
        </w:trPr>
        <w:tc>
          <w:tcPr>
            <w:tcW w:w="10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2210202</w:t>
            </w:r>
          </w:p>
        </w:tc>
        <w:tc>
          <w:tcPr>
            <w:tcW w:w="4176" w:type="dxa"/>
            <w:gridSpan w:val="3"/>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提租补贴</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1.52</w:t>
            </w:r>
          </w:p>
        </w:tc>
        <w:tc>
          <w:tcPr>
            <w:tcW w:w="110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1.52</w:t>
            </w:r>
          </w:p>
        </w:tc>
        <w:tc>
          <w:tcPr>
            <w:tcW w:w="1214"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47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10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22" w:type="dxa"/>
            <w:tcBorders>
              <w:top w:val="nil"/>
              <w:left w:val="nil"/>
              <w:bottom w:val="nil"/>
              <w:right w:val="nil"/>
            </w:tcBorders>
            <w:vAlign w:val="center"/>
          </w:tcPr>
          <w:p>
            <w:pPr>
              <w:widowControl/>
              <w:jc w:val="left"/>
              <w:rPr>
                <w:rFonts w:hint="default" w:eastAsia="Times New Roman"/>
                <w:kern w:val="0"/>
                <w:sz w:val="20"/>
              </w:rPr>
            </w:pPr>
          </w:p>
        </w:tc>
      </w:tr>
      <w:tr>
        <w:tblPrEx>
          <w:tblCellMar>
            <w:top w:w="0" w:type="dxa"/>
            <w:left w:w="108" w:type="dxa"/>
            <w:bottom w:w="0" w:type="dxa"/>
            <w:right w:w="108" w:type="dxa"/>
          </w:tblCellMar>
        </w:tblPrEx>
        <w:trPr>
          <w:trHeight w:val="250" w:hRule="atLeast"/>
          <w:jc w:val="center"/>
        </w:trPr>
        <w:tc>
          <w:tcPr>
            <w:tcW w:w="10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2210203</w:t>
            </w:r>
          </w:p>
        </w:tc>
        <w:tc>
          <w:tcPr>
            <w:tcW w:w="4176" w:type="dxa"/>
            <w:gridSpan w:val="3"/>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147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61.95</w:t>
            </w:r>
          </w:p>
        </w:tc>
        <w:tc>
          <w:tcPr>
            <w:tcW w:w="110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61.95</w:t>
            </w:r>
          </w:p>
        </w:tc>
        <w:tc>
          <w:tcPr>
            <w:tcW w:w="1214"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47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105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10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rPr>
            </w:pPr>
          </w:p>
        </w:tc>
        <w:tc>
          <w:tcPr>
            <w:tcW w:w="222" w:type="dxa"/>
            <w:tcBorders>
              <w:top w:val="nil"/>
              <w:left w:val="nil"/>
              <w:bottom w:val="nil"/>
              <w:right w:val="nil"/>
            </w:tcBorders>
            <w:vAlign w:val="center"/>
          </w:tcPr>
          <w:p>
            <w:pPr>
              <w:widowControl/>
              <w:jc w:val="left"/>
              <w:rPr>
                <w:rFonts w:hint="default" w:eastAsia="Times New Roman"/>
                <w:kern w:val="0"/>
                <w:sz w:val="20"/>
              </w:rPr>
            </w:pPr>
          </w:p>
        </w:tc>
      </w:tr>
    </w:tbl>
    <w:p>
      <w:pPr>
        <w:widowControl/>
        <w:spacing w:line="560" w:lineRule="atLeast"/>
        <w:jc w:val="left"/>
        <w:rPr>
          <w:rFonts w:hint="default" w:ascii="仿宋_GB2312" w:hAnsi="宋体" w:eastAsia="仿宋_GB2312"/>
          <w:kern w:val="0"/>
          <w:sz w:val="24"/>
        </w:rPr>
      </w:pPr>
      <w:r>
        <w:rPr>
          <w:rFonts w:ascii="宋体" w:hAnsi="宋体" w:cs="宋体"/>
          <w:kern w:val="0"/>
          <w:szCs w:val="21"/>
        </w:rPr>
        <w:t>注：1.本表反映部门本年度各项支出情况。2.本套报表金额单位转换时可能存在尾数误差。3.如本表为空，则我部门本年度无此类资金收支余。</w:t>
      </w:r>
    </w:p>
    <w:p>
      <w:pPr>
        <w:widowControl/>
        <w:spacing w:line="560" w:lineRule="atLeast"/>
        <w:ind w:right="-1100"/>
        <w:jc w:val="left"/>
        <w:rPr>
          <w:rFonts w:hint="default" w:ascii="仿宋_GB2312" w:hAnsi="宋体" w:eastAsia="仿宋_GB2312"/>
          <w:kern w:val="0"/>
          <w:sz w:val="24"/>
        </w:rPr>
      </w:pPr>
      <w:r>
        <w:rPr>
          <w:rFonts w:ascii="仿宋_GB2312" w:hAnsi="宋体" w:eastAsia="仿宋_GB2312"/>
          <w:kern w:val="0"/>
          <w:sz w:val="24"/>
        </w:rPr>
        <w:t>附件1-4</w:t>
      </w:r>
    </w:p>
    <w:tbl>
      <w:tblPr>
        <w:tblStyle w:val="5"/>
        <w:tblW w:w="14560" w:type="dxa"/>
        <w:tblInd w:w="0" w:type="dxa"/>
        <w:tblLayout w:type="fixed"/>
        <w:tblCellMar>
          <w:top w:w="0" w:type="dxa"/>
          <w:left w:w="108" w:type="dxa"/>
          <w:bottom w:w="0" w:type="dxa"/>
          <w:right w:w="108" w:type="dxa"/>
        </w:tblCellMar>
      </w:tblPr>
      <w:tblGrid>
        <w:gridCol w:w="1727"/>
        <w:gridCol w:w="466"/>
        <w:gridCol w:w="466"/>
        <w:gridCol w:w="586"/>
        <w:gridCol w:w="528"/>
        <w:gridCol w:w="528"/>
        <w:gridCol w:w="2394"/>
        <w:gridCol w:w="586"/>
        <w:gridCol w:w="1056"/>
        <w:gridCol w:w="2015"/>
        <w:gridCol w:w="2024"/>
        <w:gridCol w:w="2184"/>
      </w:tblGrid>
      <w:tr>
        <w:tblPrEx>
          <w:tblCellMar>
            <w:top w:w="0" w:type="dxa"/>
            <w:left w:w="108" w:type="dxa"/>
            <w:bottom w:w="0" w:type="dxa"/>
            <w:right w:w="108" w:type="dxa"/>
          </w:tblCellMar>
        </w:tblPrEx>
        <w:trPr>
          <w:trHeight w:val="457" w:hRule="exact"/>
        </w:trPr>
        <w:tc>
          <w:tcPr>
            <w:tcW w:w="14560" w:type="dxa"/>
            <w:gridSpan w:val="12"/>
            <w:tcBorders>
              <w:top w:val="nil"/>
              <w:left w:val="nil"/>
              <w:bottom w:val="nil"/>
              <w:right w:val="nil"/>
            </w:tcBorders>
            <w:vAlign w:val="center"/>
          </w:tcPr>
          <w:p>
            <w:pPr>
              <w:widowControl/>
              <w:jc w:val="center"/>
              <w:textAlignment w:val="center"/>
              <w:rPr>
                <w:rFonts w:hint="default" w:ascii="宋体"/>
                <w:b/>
                <w:color w:val="000000"/>
                <w:kern w:val="0"/>
              </w:rPr>
            </w:pPr>
            <w:r>
              <w:rPr>
                <w:rFonts w:ascii="宋体" w:hAnsi="宋体" w:cs="宋体"/>
                <w:b/>
                <w:color w:val="000000"/>
                <w:kern w:val="0"/>
                <w:sz w:val="28"/>
                <w:szCs w:val="28"/>
              </w:rPr>
              <w:t>财政拨款收入支出决算表</w:t>
            </w:r>
          </w:p>
        </w:tc>
      </w:tr>
      <w:tr>
        <w:tblPrEx>
          <w:tblCellMar>
            <w:top w:w="0" w:type="dxa"/>
            <w:left w:w="108" w:type="dxa"/>
            <w:bottom w:w="0" w:type="dxa"/>
            <w:right w:w="108" w:type="dxa"/>
          </w:tblCellMar>
        </w:tblPrEx>
        <w:trPr>
          <w:trHeight w:val="267" w:hRule="exact"/>
        </w:trPr>
        <w:tc>
          <w:tcPr>
            <w:tcW w:w="14560" w:type="dxa"/>
            <w:gridSpan w:val="12"/>
            <w:tcBorders>
              <w:top w:val="nil"/>
              <w:left w:val="nil"/>
              <w:bottom w:val="nil"/>
              <w:right w:val="nil"/>
            </w:tcBorders>
            <w:vAlign w:val="center"/>
          </w:tcPr>
          <w:p>
            <w:pPr>
              <w:widowControl/>
              <w:jc w:val="right"/>
              <w:textAlignment w:val="center"/>
              <w:rPr>
                <w:rFonts w:hint="default" w:ascii="宋体" w:hAnsi="宋体" w:cs="宋体"/>
                <w:b/>
                <w:color w:val="000000"/>
                <w:kern w:val="0"/>
                <w:sz w:val="28"/>
                <w:szCs w:val="28"/>
              </w:rPr>
            </w:pPr>
            <w:r>
              <w:rPr>
                <w:rStyle w:val="11"/>
              </w:rPr>
              <w:t>公开04表</w:t>
            </w:r>
          </w:p>
        </w:tc>
      </w:tr>
      <w:tr>
        <w:tblPrEx>
          <w:tblCellMar>
            <w:top w:w="0" w:type="dxa"/>
            <w:left w:w="108" w:type="dxa"/>
            <w:bottom w:w="0" w:type="dxa"/>
            <w:right w:w="108" w:type="dxa"/>
          </w:tblCellMar>
        </w:tblPrEx>
        <w:trPr>
          <w:trHeight w:val="265" w:hRule="exact"/>
        </w:trPr>
        <w:tc>
          <w:tcPr>
            <w:tcW w:w="1727" w:type="dxa"/>
            <w:tcBorders>
              <w:top w:val="nil"/>
              <w:left w:val="nil"/>
              <w:bottom w:val="nil"/>
              <w:right w:val="nil"/>
            </w:tcBorders>
            <w:shd w:val="clear" w:color="auto" w:fill="FFFFFF"/>
            <w:vAlign w:val="center"/>
          </w:tcPr>
          <w:p>
            <w:pPr>
              <w:widowControl/>
              <w:jc w:val="left"/>
              <w:textAlignment w:val="center"/>
              <w:rPr>
                <w:rFonts w:hint="default" w:ascii="宋体"/>
                <w:color w:val="000000"/>
                <w:kern w:val="0"/>
                <w:shd w:val="clear" w:color="auto" w:fill="FFFFFF"/>
              </w:rPr>
            </w:pPr>
            <w:r>
              <w:rPr>
                <w:rFonts w:ascii="宋体" w:hAnsi="宋体" w:cs="宋体"/>
                <w:color w:val="000000"/>
                <w:kern w:val="0"/>
                <w:szCs w:val="21"/>
              </w:rPr>
              <w:t>部门：</w:t>
            </w:r>
          </w:p>
        </w:tc>
        <w:tc>
          <w:tcPr>
            <w:tcW w:w="466" w:type="dxa"/>
            <w:tcBorders>
              <w:top w:val="nil"/>
              <w:left w:val="nil"/>
              <w:bottom w:val="nil"/>
              <w:right w:val="nil"/>
            </w:tcBorders>
            <w:shd w:val="clear" w:color="auto" w:fill="FFFFFF"/>
            <w:vAlign w:val="center"/>
          </w:tcPr>
          <w:p>
            <w:pPr>
              <w:jc w:val="right"/>
              <w:rPr>
                <w:rFonts w:hint="default" w:ascii="宋体"/>
                <w:color w:val="000000"/>
                <w:kern w:val="0"/>
                <w:shd w:val="clear" w:color="auto" w:fill="FFFFFF"/>
              </w:rPr>
            </w:pPr>
          </w:p>
        </w:tc>
        <w:tc>
          <w:tcPr>
            <w:tcW w:w="466" w:type="dxa"/>
            <w:tcBorders>
              <w:top w:val="nil"/>
              <w:left w:val="nil"/>
              <w:bottom w:val="nil"/>
              <w:right w:val="nil"/>
            </w:tcBorders>
            <w:shd w:val="clear" w:color="auto" w:fill="FFFFFF"/>
            <w:vAlign w:val="center"/>
          </w:tcPr>
          <w:p>
            <w:pPr>
              <w:jc w:val="right"/>
              <w:rPr>
                <w:rFonts w:hint="default" w:ascii="宋体"/>
                <w:color w:val="000000"/>
                <w:kern w:val="0"/>
                <w:shd w:val="clear" w:color="auto" w:fill="FFFFFF"/>
              </w:rPr>
            </w:pPr>
          </w:p>
        </w:tc>
        <w:tc>
          <w:tcPr>
            <w:tcW w:w="586" w:type="dxa"/>
            <w:tcBorders>
              <w:top w:val="nil"/>
              <w:left w:val="nil"/>
              <w:bottom w:val="nil"/>
              <w:right w:val="nil"/>
            </w:tcBorders>
            <w:shd w:val="clear" w:color="auto" w:fill="FFFFFF"/>
            <w:vAlign w:val="center"/>
          </w:tcPr>
          <w:p>
            <w:pPr>
              <w:jc w:val="right"/>
              <w:rPr>
                <w:rFonts w:hint="default" w:ascii="宋体"/>
                <w:color w:val="000000"/>
                <w:kern w:val="0"/>
                <w:shd w:val="clear" w:color="auto" w:fill="FFFFFF"/>
              </w:rPr>
            </w:pPr>
          </w:p>
        </w:tc>
        <w:tc>
          <w:tcPr>
            <w:tcW w:w="528" w:type="dxa"/>
            <w:tcBorders>
              <w:top w:val="nil"/>
              <w:left w:val="nil"/>
              <w:bottom w:val="nil"/>
              <w:right w:val="nil"/>
            </w:tcBorders>
            <w:shd w:val="clear" w:color="auto" w:fill="FFFFFF"/>
            <w:vAlign w:val="center"/>
          </w:tcPr>
          <w:p>
            <w:pPr>
              <w:jc w:val="right"/>
              <w:rPr>
                <w:rFonts w:hint="default" w:ascii="宋体"/>
                <w:color w:val="000000"/>
                <w:kern w:val="0"/>
                <w:shd w:val="clear" w:color="auto" w:fill="FFFFFF"/>
              </w:rPr>
            </w:pPr>
          </w:p>
        </w:tc>
        <w:tc>
          <w:tcPr>
            <w:tcW w:w="528" w:type="dxa"/>
            <w:tcBorders>
              <w:top w:val="nil"/>
              <w:left w:val="nil"/>
              <w:bottom w:val="nil"/>
              <w:right w:val="nil"/>
            </w:tcBorders>
            <w:shd w:val="clear" w:color="auto" w:fill="FFFFFF"/>
            <w:vAlign w:val="center"/>
          </w:tcPr>
          <w:p>
            <w:pPr>
              <w:jc w:val="right"/>
              <w:rPr>
                <w:rFonts w:hint="default" w:ascii="宋体"/>
                <w:color w:val="000000"/>
                <w:kern w:val="0"/>
                <w:shd w:val="clear" w:color="auto" w:fill="FFFFFF"/>
              </w:rPr>
            </w:pPr>
          </w:p>
        </w:tc>
        <w:tc>
          <w:tcPr>
            <w:tcW w:w="2394" w:type="dxa"/>
            <w:tcBorders>
              <w:top w:val="nil"/>
              <w:left w:val="nil"/>
              <w:bottom w:val="nil"/>
              <w:right w:val="nil"/>
            </w:tcBorders>
            <w:shd w:val="clear" w:color="auto" w:fill="FFFFFF"/>
            <w:vAlign w:val="center"/>
          </w:tcPr>
          <w:p>
            <w:pPr>
              <w:jc w:val="right"/>
              <w:rPr>
                <w:rFonts w:hint="default" w:ascii="宋体"/>
                <w:color w:val="000000"/>
                <w:kern w:val="0"/>
                <w:shd w:val="clear" w:color="auto" w:fill="FFFFFF"/>
              </w:rPr>
            </w:pPr>
          </w:p>
        </w:tc>
        <w:tc>
          <w:tcPr>
            <w:tcW w:w="7865" w:type="dxa"/>
            <w:gridSpan w:val="5"/>
            <w:tcBorders>
              <w:top w:val="nil"/>
              <w:left w:val="nil"/>
              <w:bottom w:val="nil"/>
              <w:right w:val="nil"/>
            </w:tcBorders>
            <w:shd w:val="clear" w:color="auto" w:fill="FFFFFF"/>
            <w:vAlign w:val="center"/>
          </w:tcPr>
          <w:p>
            <w:pPr>
              <w:widowControl/>
              <w:jc w:val="right"/>
              <w:textAlignment w:val="center"/>
              <w:rPr>
                <w:rFonts w:hint="default"/>
              </w:rPr>
            </w:pPr>
            <w:r>
              <w:rPr>
                <w:rFonts w:ascii="宋体" w:hAnsi="宋体" w:cs="宋体"/>
                <w:color w:val="000000"/>
                <w:kern w:val="0"/>
                <w:szCs w:val="21"/>
              </w:rPr>
              <w:t>单位：万元</w:t>
            </w:r>
          </w:p>
        </w:tc>
      </w:tr>
      <w:tr>
        <w:tblPrEx>
          <w:tblCellMar>
            <w:top w:w="0" w:type="dxa"/>
            <w:left w:w="108" w:type="dxa"/>
            <w:bottom w:w="0" w:type="dxa"/>
            <w:right w:w="108" w:type="dxa"/>
          </w:tblCellMar>
        </w:tblPrEx>
        <w:trPr>
          <w:trHeight w:val="420" w:hRule="exact"/>
        </w:trPr>
        <w:tc>
          <w:tcPr>
            <w:tcW w:w="430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color w:val="000000"/>
                <w:kern w:val="0"/>
                <w:shd w:val="clear" w:color="auto" w:fill="FFFFFF"/>
              </w:rPr>
            </w:pPr>
            <w:r>
              <w:rPr>
                <w:rFonts w:ascii="宋体" w:hAnsi="宋体" w:cs="宋体"/>
                <w:color w:val="000000"/>
                <w:kern w:val="0"/>
                <w:szCs w:val="21"/>
              </w:rPr>
              <w:t>收  入</w:t>
            </w:r>
          </w:p>
        </w:tc>
        <w:tc>
          <w:tcPr>
            <w:tcW w:w="10259" w:type="dxa"/>
            <w:gridSpan w:val="6"/>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color w:val="000000"/>
                <w:kern w:val="0"/>
                <w:shd w:val="clear" w:color="auto" w:fill="FFFFFF"/>
              </w:rPr>
            </w:pPr>
            <w:r>
              <w:rPr>
                <w:rFonts w:ascii="宋体" w:hAnsi="宋体" w:cs="宋体"/>
                <w:color w:val="000000"/>
                <w:kern w:val="0"/>
                <w:szCs w:val="21"/>
              </w:rPr>
              <w:t>支出</w:t>
            </w:r>
          </w:p>
        </w:tc>
      </w:tr>
      <w:tr>
        <w:tblPrEx>
          <w:tblCellMar>
            <w:top w:w="0" w:type="dxa"/>
            <w:left w:w="108" w:type="dxa"/>
            <w:bottom w:w="0" w:type="dxa"/>
            <w:right w:w="108" w:type="dxa"/>
          </w:tblCellMar>
        </w:tblPrEx>
        <w:trPr>
          <w:trHeight w:val="610" w:hRule="exact"/>
        </w:trPr>
        <w:tc>
          <w:tcPr>
            <w:tcW w:w="26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color w:val="000000"/>
                <w:kern w:val="0"/>
                <w:shd w:val="clear" w:color="auto" w:fill="FFFFFF"/>
              </w:rPr>
            </w:pPr>
            <w:r>
              <w:rPr>
                <w:rFonts w:ascii="宋体" w:hAnsi="宋体" w:cs="宋体"/>
                <w:color w:val="000000"/>
                <w:kern w:val="0"/>
                <w:szCs w:val="21"/>
              </w:rPr>
              <w:t>项    目</w:t>
            </w: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color w:val="000000"/>
                <w:kern w:val="0"/>
                <w:shd w:val="clear" w:color="auto" w:fill="FFFFFF"/>
              </w:rPr>
            </w:pPr>
            <w:r>
              <w:rPr>
                <w:rFonts w:ascii="宋体" w:hAnsi="宋体" w:cs="宋体"/>
                <w:color w:val="000000"/>
                <w:kern w:val="0"/>
                <w:szCs w:val="21"/>
              </w:rPr>
              <w:t>行次</w:t>
            </w:r>
          </w:p>
        </w:tc>
        <w:tc>
          <w:tcPr>
            <w:tcW w:w="1056"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color w:val="000000"/>
                <w:kern w:val="0"/>
                <w:shd w:val="clear" w:color="auto" w:fill="FFFFFF"/>
              </w:rPr>
            </w:pPr>
            <w:r>
              <w:rPr>
                <w:rFonts w:ascii="宋体" w:hAnsi="宋体" w:cs="宋体"/>
                <w:color w:val="000000"/>
                <w:kern w:val="0"/>
                <w:szCs w:val="21"/>
              </w:rPr>
              <w:t>金额</w:t>
            </w:r>
          </w:p>
        </w:tc>
        <w:tc>
          <w:tcPr>
            <w:tcW w:w="2394"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color w:val="000000"/>
                <w:kern w:val="0"/>
                <w:shd w:val="clear" w:color="auto" w:fill="FFFFFF"/>
              </w:rPr>
            </w:pPr>
            <w:r>
              <w:rPr>
                <w:rFonts w:ascii="宋体" w:hAnsi="宋体" w:cs="宋体"/>
                <w:color w:val="000000"/>
                <w:kern w:val="0"/>
                <w:szCs w:val="21"/>
              </w:rPr>
              <w:t>项    目</w:t>
            </w: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color w:val="000000"/>
                <w:kern w:val="0"/>
                <w:shd w:val="clear" w:color="auto" w:fill="FFFFFF"/>
              </w:rPr>
            </w:pPr>
            <w:r>
              <w:rPr>
                <w:rFonts w:ascii="宋体" w:hAnsi="宋体" w:cs="宋体"/>
                <w:color w:val="000000"/>
                <w:kern w:val="0"/>
                <w:szCs w:val="21"/>
              </w:rPr>
              <w:t>行次</w:t>
            </w:r>
          </w:p>
        </w:tc>
        <w:tc>
          <w:tcPr>
            <w:tcW w:w="105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color w:val="000000"/>
                <w:kern w:val="0"/>
                <w:shd w:val="clear" w:color="auto" w:fill="FFFFFF"/>
              </w:rPr>
            </w:pPr>
            <w:r>
              <w:rPr>
                <w:rFonts w:ascii="宋体" w:hAnsi="宋体" w:cs="宋体"/>
                <w:color w:val="000000"/>
                <w:kern w:val="0"/>
                <w:szCs w:val="21"/>
              </w:rPr>
              <w:t>合计</w:t>
            </w:r>
          </w:p>
        </w:tc>
        <w:tc>
          <w:tcPr>
            <w:tcW w:w="2015"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color w:val="000000"/>
                <w:kern w:val="0"/>
                <w:shd w:val="clear" w:color="auto" w:fill="FFFFFF"/>
              </w:rPr>
            </w:pPr>
            <w:r>
              <w:rPr>
                <w:rFonts w:ascii="宋体" w:hAnsi="宋体" w:cs="宋体"/>
                <w:color w:val="000000"/>
                <w:kern w:val="0"/>
                <w:szCs w:val="21"/>
              </w:rPr>
              <w:t>一般公共预算财政拨款</w:t>
            </w:r>
          </w:p>
        </w:tc>
        <w:tc>
          <w:tcPr>
            <w:tcW w:w="2024"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color w:val="000000"/>
                <w:kern w:val="0"/>
                <w:shd w:val="clear" w:color="auto" w:fill="FFFFFF"/>
              </w:rPr>
            </w:pPr>
            <w:r>
              <w:rPr>
                <w:rFonts w:ascii="宋体" w:hAnsi="宋体" w:cs="宋体"/>
                <w:color w:val="000000"/>
                <w:kern w:val="0"/>
                <w:szCs w:val="21"/>
              </w:rPr>
              <w:t>政府性基金预算财政拨款</w:t>
            </w:r>
          </w:p>
        </w:tc>
        <w:tc>
          <w:tcPr>
            <w:tcW w:w="2184"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rPr>
            </w:pPr>
            <w:r>
              <w:rPr>
                <w:rFonts w:ascii="宋体" w:hAnsi="宋体" w:cs="宋体"/>
                <w:color w:val="000000"/>
                <w:kern w:val="0"/>
                <w:szCs w:val="21"/>
              </w:rPr>
              <w:t>国有资本经营预算财政拨款</w:t>
            </w:r>
          </w:p>
        </w:tc>
      </w:tr>
      <w:tr>
        <w:tblPrEx>
          <w:tblCellMar>
            <w:top w:w="0" w:type="dxa"/>
            <w:left w:w="108" w:type="dxa"/>
            <w:bottom w:w="0" w:type="dxa"/>
            <w:right w:w="108" w:type="dxa"/>
          </w:tblCellMar>
        </w:tblPrEx>
        <w:trPr>
          <w:trHeight w:val="340" w:hRule="exact"/>
        </w:trPr>
        <w:tc>
          <w:tcPr>
            <w:tcW w:w="26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color w:val="000000"/>
                <w:kern w:val="0"/>
                <w:shd w:val="clear" w:color="auto" w:fill="FFFFFF"/>
              </w:rPr>
            </w:pPr>
            <w:r>
              <w:rPr>
                <w:rFonts w:ascii="宋体" w:hAnsi="宋体" w:cs="宋体"/>
                <w:color w:val="000000"/>
                <w:kern w:val="0"/>
                <w:szCs w:val="21"/>
              </w:rPr>
              <w:t>栏    次</w:t>
            </w:r>
          </w:p>
        </w:tc>
        <w:tc>
          <w:tcPr>
            <w:tcW w:w="586" w:type="dxa"/>
            <w:tcBorders>
              <w:top w:val="single" w:color="000000" w:sz="4" w:space="0"/>
              <w:left w:val="nil"/>
              <w:bottom w:val="single" w:color="000000" w:sz="4" w:space="0"/>
              <w:right w:val="single" w:color="000000" w:sz="4" w:space="0"/>
            </w:tcBorders>
            <w:shd w:val="clear" w:color="auto" w:fill="FFFFFF"/>
            <w:vAlign w:val="center"/>
          </w:tcPr>
          <w:p>
            <w:pPr>
              <w:jc w:val="center"/>
              <w:rPr>
                <w:rFonts w:hint="default" w:ascii="宋体"/>
                <w:color w:val="000000"/>
                <w:kern w:val="0"/>
                <w:shd w:val="clear" w:color="auto" w:fill="FFFFFF"/>
              </w:rPr>
            </w:pPr>
          </w:p>
        </w:tc>
        <w:tc>
          <w:tcPr>
            <w:tcW w:w="1056"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color w:val="000000"/>
                <w:kern w:val="0"/>
                <w:shd w:val="clear" w:color="auto" w:fill="FFFFFF"/>
              </w:rPr>
            </w:pPr>
            <w:r>
              <w:rPr>
                <w:rFonts w:ascii="宋体" w:hAnsi="宋体" w:cs="宋体"/>
                <w:color w:val="000000"/>
                <w:kern w:val="0"/>
                <w:szCs w:val="21"/>
              </w:rPr>
              <w:t>1</w:t>
            </w:r>
          </w:p>
        </w:tc>
        <w:tc>
          <w:tcPr>
            <w:tcW w:w="2394"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color w:val="000000"/>
                <w:kern w:val="0"/>
                <w:shd w:val="clear" w:color="auto" w:fill="FFFFFF"/>
              </w:rPr>
            </w:pPr>
            <w:r>
              <w:rPr>
                <w:rFonts w:ascii="宋体" w:hAnsi="宋体" w:cs="宋体"/>
                <w:color w:val="000000"/>
                <w:kern w:val="0"/>
                <w:szCs w:val="21"/>
              </w:rPr>
              <w:t>栏    次</w:t>
            </w:r>
          </w:p>
        </w:tc>
        <w:tc>
          <w:tcPr>
            <w:tcW w:w="586" w:type="dxa"/>
            <w:tcBorders>
              <w:top w:val="single" w:color="000000" w:sz="4" w:space="0"/>
              <w:left w:val="nil"/>
              <w:bottom w:val="single" w:color="000000" w:sz="4" w:space="0"/>
              <w:right w:val="single" w:color="000000" w:sz="4" w:space="0"/>
            </w:tcBorders>
            <w:shd w:val="clear" w:color="auto" w:fill="FFFFFF"/>
            <w:vAlign w:val="center"/>
          </w:tcPr>
          <w:p>
            <w:pPr>
              <w:jc w:val="center"/>
              <w:rPr>
                <w:rFonts w:hint="default" w:ascii="宋体"/>
                <w:color w:val="000000"/>
                <w:kern w:val="0"/>
                <w:shd w:val="clear" w:color="auto" w:fill="FFFFFF"/>
              </w:rPr>
            </w:pPr>
          </w:p>
        </w:tc>
        <w:tc>
          <w:tcPr>
            <w:tcW w:w="105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color w:val="000000"/>
                <w:kern w:val="0"/>
                <w:shd w:val="clear" w:color="auto" w:fill="FFFFFF"/>
              </w:rPr>
            </w:pPr>
            <w:r>
              <w:rPr>
                <w:rFonts w:ascii="宋体" w:hAnsi="宋体" w:cs="宋体"/>
                <w:color w:val="000000"/>
                <w:kern w:val="0"/>
                <w:szCs w:val="21"/>
              </w:rPr>
              <w:t>2</w:t>
            </w:r>
          </w:p>
        </w:tc>
        <w:tc>
          <w:tcPr>
            <w:tcW w:w="2015"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color w:val="000000"/>
                <w:kern w:val="0"/>
                <w:shd w:val="clear" w:color="auto" w:fill="FFFFFF"/>
              </w:rPr>
            </w:pPr>
            <w:r>
              <w:rPr>
                <w:rFonts w:ascii="宋体" w:hAnsi="宋体" w:cs="宋体"/>
                <w:color w:val="000000"/>
                <w:kern w:val="0"/>
                <w:szCs w:val="21"/>
              </w:rPr>
              <w:t>3</w:t>
            </w:r>
          </w:p>
        </w:tc>
        <w:tc>
          <w:tcPr>
            <w:tcW w:w="2024"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color w:val="000000"/>
                <w:kern w:val="0"/>
                <w:shd w:val="clear" w:color="auto" w:fill="FFFFFF"/>
              </w:rPr>
            </w:pPr>
            <w:r>
              <w:rPr>
                <w:rFonts w:ascii="宋体" w:hAnsi="宋体" w:cs="宋体"/>
                <w:color w:val="000000"/>
                <w:kern w:val="0"/>
                <w:szCs w:val="21"/>
              </w:rPr>
              <w:t>4</w:t>
            </w:r>
          </w:p>
        </w:tc>
        <w:tc>
          <w:tcPr>
            <w:tcW w:w="2184"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rPr>
            </w:pPr>
            <w:r>
              <w:rPr>
                <w:rFonts w:ascii="宋体" w:hAnsi="宋体" w:cs="宋体"/>
                <w:color w:val="000000"/>
                <w:kern w:val="0"/>
                <w:szCs w:val="21"/>
              </w:rPr>
              <w:t>5</w:t>
            </w:r>
          </w:p>
        </w:tc>
      </w:tr>
      <w:tr>
        <w:tblPrEx>
          <w:tblCellMar>
            <w:top w:w="0" w:type="dxa"/>
            <w:left w:w="108" w:type="dxa"/>
            <w:bottom w:w="0" w:type="dxa"/>
            <w:right w:w="108" w:type="dxa"/>
          </w:tblCellMar>
        </w:tblPrEx>
        <w:trPr>
          <w:trHeight w:val="340" w:hRule="exact"/>
        </w:trPr>
        <w:tc>
          <w:tcPr>
            <w:tcW w:w="2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color w:val="000000"/>
                <w:kern w:val="0"/>
              </w:rPr>
            </w:pPr>
            <w:r>
              <w:rPr>
                <w:rFonts w:ascii="宋体" w:hAnsi="宋体" w:cs="宋体"/>
                <w:color w:val="000000"/>
                <w:kern w:val="0"/>
                <w:szCs w:val="21"/>
              </w:rPr>
              <w:t>一、一般公共预算财政拨款</w:t>
            </w: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color w:val="000000"/>
                <w:kern w:val="0"/>
                <w:shd w:val="clear" w:color="auto" w:fill="FFFFFF"/>
              </w:rPr>
            </w:pPr>
            <w:r>
              <w:rPr>
                <w:rFonts w:ascii="宋体" w:hAnsi="宋体" w:cs="宋体"/>
                <w:color w:val="000000"/>
                <w:kern w:val="0"/>
                <w:szCs w:val="21"/>
              </w:rPr>
              <w:t>1</w:t>
            </w:r>
          </w:p>
        </w:tc>
        <w:tc>
          <w:tcPr>
            <w:tcW w:w="1056" w:type="dxa"/>
            <w:gridSpan w:val="2"/>
            <w:tcBorders>
              <w:top w:val="single" w:color="000000" w:sz="4" w:space="0"/>
              <w:left w:val="nil"/>
              <w:bottom w:val="single" w:color="000000" w:sz="4" w:space="0"/>
              <w:right w:val="single" w:color="000000" w:sz="4" w:space="0"/>
            </w:tcBorders>
            <w:shd w:val="clear" w:color="auto" w:fill="auto"/>
            <w:vAlign w:val="center"/>
          </w:tcPr>
          <w:p>
            <w:pPr>
              <w:rPr>
                <w:rFonts w:hint="default" w:ascii="宋体"/>
                <w:color w:val="000000"/>
                <w:kern w:val="0"/>
              </w:rPr>
            </w:pPr>
            <w:r>
              <w:rPr>
                <w:rFonts w:hint="default" w:ascii="宋体"/>
                <w:color w:val="000000"/>
                <w:kern w:val="0"/>
              </w:rPr>
              <w:t>26720.89</w:t>
            </w:r>
          </w:p>
        </w:tc>
        <w:tc>
          <w:tcPr>
            <w:tcW w:w="2394" w:type="dxa"/>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hint="default" w:ascii="宋体"/>
                <w:color w:val="000000"/>
                <w:kern w:val="0"/>
                <w:shd w:val="clear" w:color="auto" w:fill="FFFFFF"/>
              </w:rPr>
            </w:pPr>
            <w:r>
              <w:rPr>
                <w:rFonts w:ascii="宋体" w:hAnsi="宋体" w:cs="宋体"/>
                <w:color w:val="000000"/>
                <w:kern w:val="0"/>
                <w:szCs w:val="21"/>
              </w:rPr>
              <w:t>一、一般公共服务支出</w:t>
            </w: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color w:val="000000"/>
                <w:kern w:val="0"/>
                <w:shd w:val="clear" w:color="auto" w:fill="FFFFFF"/>
              </w:rPr>
            </w:pPr>
            <w:r>
              <w:rPr>
                <w:rFonts w:ascii="宋体" w:hAnsi="宋体" w:cs="宋体"/>
                <w:color w:val="000000"/>
                <w:kern w:val="0"/>
                <w:szCs w:val="21"/>
              </w:rPr>
              <w:t>17</w:t>
            </w:r>
          </w:p>
        </w:tc>
        <w:tc>
          <w:tcPr>
            <w:tcW w:w="1056" w:type="dxa"/>
            <w:tcBorders>
              <w:top w:val="single" w:color="000000" w:sz="4" w:space="0"/>
              <w:left w:val="nil"/>
              <w:bottom w:val="single" w:color="000000" w:sz="4" w:space="0"/>
              <w:right w:val="single" w:color="000000" w:sz="4" w:space="0"/>
            </w:tcBorders>
            <w:shd w:val="clear" w:color="auto" w:fill="FFFFFF"/>
            <w:vAlign w:val="center"/>
          </w:tcPr>
          <w:p>
            <w:pPr>
              <w:jc w:val="center"/>
              <w:rPr>
                <w:rFonts w:hint="default" w:ascii="宋体"/>
                <w:color w:val="000000"/>
                <w:kern w:val="0"/>
                <w:shd w:val="clear" w:color="auto" w:fill="FFFFFF"/>
              </w:rPr>
            </w:pPr>
          </w:p>
        </w:tc>
        <w:tc>
          <w:tcPr>
            <w:tcW w:w="2015" w:type="dxa"/>
            <w:tcBorders>
              <w:top w:val="single" w:color="000000" w:sz="4" w:space="0"/>
              <w:left w:val="nil"/>
              <w:bottom w:val="single" w:color="000000" w:sz="4" w:space="0"/>
              <w:right w:val="single" w:color="000000" w:sz="4" w:space="0"/>
            </w:tcBorders>
            <w:shd w:val="clear" w:color="auto" w:fill="FFFFFF"/>
            <w:vAlign w:val="center"/>
          </w:tcPr>
          <w:p>
            <w:pPr>
              <w:jc w:val="center"/>
              <w:rPr>
                <w:rFonts w:hint="default" w:ascii="宋体"/>
                <w:color w:val="000000"/>
                <w:kern w:val="0"/>
                <w:shd w:val="clear" w:color="auto" w:fill="FFFFFF"/>
              </w:rPr>
            </w:pPr>
          </w:p>
        </w:tc>
        <w:tc>
          <w:tcPr>
            <w:tcW w:w="2024" w:type="dxa"/>
            <w:tcBorders>
              <w:top w:val="single" w:color="000000" w:sz="4" w:space="0"/>
              <w:left w:val="nil"/>
              <w:bottom w:val="single" w:color="000000" w:sz="4" w:space="0"/>
              <w:right w:val="single" w:color="000000" w:sz="4" w:space="0"/>
            </w:tcBorders>
            <w:vAlign w:val="center"/>
          </w:tcPr>
          <w:p>
            <w:pPr>
              <w:jc w:val="right"/>
              <w:rPr>
                <w:rFonts w:hint="default" w:ascii="宋体"/>
                <w:color w:val="000000"/>
                <w:kern w:val="0"/>
              </w:rPr>
            </w:pPr>
          </w:p>
        </w:tc>
        <w:tc>
          <w:tcPr>
            <w:tcW w:w="2184" w:type="dxa"/>
            <w:tcBorders>
              <w:top w:val="single" w:color="000000" w:sz="4" w:space="0"/>
              <w:left w:val="nil"/>
              <w:bottom w:val="single" w:color="000000" w:sz="4" w:space="0"/>
              <w:right w:val="single" w:color="000000" w:sz="4" w:space="0"/>
            </w:tcBorders>
            <w:vAlign w:val="center"/>
          </w:tcPr>
          <w:p>
            <w:pPr>
              <w:jc w:val="right"/>
              <w:rPr>
                <w:rFonts w:hint="default"/>
              </w:rPr>
            </w:pPr>
          </w:p>
        </w:tc>
      </w:tr>
      <w:tr>
        <w:tblPrEx>
          <w:tblCellMar>
            <w:top w:w="0" w:type="dxa"/>
            <w:left w:w="108" w:type="dxa"/>
            <w:bottom w:w="0" w:type="dxa"/>
            <w:right w:w="108" w:type="dxa"/>
          </w:tblCellMar>
        </w:tblPrEx>
        <w:trPr>
          <w:trHeight w:val="340" w:hRule="exact"/>
        </w:trPr>
        <w:tc>
          <w:tcPr>
            <w:tcW w:w="26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宋体"/>
                <w:color w:val="000000"/>
                <w:kern w:val="0"/>
                <w:shd w:val="clear" w:color="auto" w:fill="FFFFFF"/>
              </w:rPr>
            </w:pPr>
            <w:r>
              <w:rPr>
                <w:rFonts w:ascii="宋体" w:hAnsi="宋体" w:cs="宋体"/>
                <w:color w:val="000000"/>
                <w:kern w:val="0"/>
                <w:szCs w:val="21"/>
              </w:rPr>
              <w:t>二、政府性基金预算财政拨款</w:t>
            </w: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color w:val="000000"/>
                <w:kern w:val="0"/>
                <w:shd w:val="clear" w:color="auto" w:fill="FFFFFF"/>
              </w:rPr>
            </w:pPr>
            <w:r>
              <w:rPr>
                <w:rFonts w:ascii="宋体" w:hAnsi="宋体" w:cs="宋体"/>
                <w:color w:val="000000"/>
                <w:kern w:val="0"/>
                <w:szCs w:val="21"/>
              </w:rPr>
              <w:t>2</w:t>
            </w:r>
          </w:p>
        </w:tc>
        <w:tc>
          <w:tcPr>
            <w:tcW w:w="1056" w:type="dxa"/>
            <w:gridSpan w:val="2"/>
            <w:tcBorders>
              <w:top w:val="single" w:color="000000" w:sz="4" w:space="0"/>
              <w:left w:val="nil"/>
              <w:bottom w:val="single" w:color="000000" w:sz="4" w:space="0"/>
              <w:right w:val="single" w:color="000000" w:sz="4" w:space="0"/>
            </w:tcBorders>
            <w:shd w:val="clear" w:color="auto" w:fill="auto"/>
            <w:vAlign w:val="center"/>
          </w:tcPr>
          <w:p>
            <w:pPr>
              <w:rPr>
                <w:rFonts w:hint="default" w:ascii="宋体"/>
                <w:color w:val="000000"/>
                <w:kern w:val="0"/>
              </w:rPr>
            </w:pPr>
          </w:p>
        </w:tc>
        <w:tc>
          <w:tcPr>
            <w:tcW w:w="2394" w:type="dxa"/>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hint="default" w:ascii="宋体"/>
                <w:color w:val="000000"/>
                <w:kern w:val="0"/>
                <w:shd w:val="clear" w:color="auto" w:fill="FFFFFF"/>
              </w:rPr>
            </w:pPr>
            <w:r>
              <w:rPr>
                <w:rFonts w:ascii="宋体" w:hAnsi="宋体" w:cs="宋体"/>
                <w:color w:val="000000"/>
                <w:kern w:val="0"/>
                <w:szCs w:val="21"/>
              </w:rPr>
              <w:t>二、外交支出</w:t>
            </w: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color w:val="000000"/>
                <w:kern w:val="0"/>
                <w:shd w:val="clear" w:color="auto" w:fill="FFFFFF"/>
              </w:rPr>
            </w:pPr>
            <w:r>
              <w:rPr>
                <w:rFonts w:ascii="宋体" w:hAnsi="宋体" w:cs="宋体"/>
                <w:color w:val="000000"/>
                <w:kern w:val="0"/>
                <w:szCs w:val="21"/>
              </w:rPr>
              <w:t>18</w:t>
            </w:r>
          </w:p>
        </w:tc>
        <w:tc>
          <w:tcPr>
            <w:tcW w:w="1056" w:type="dxa"/>
            <w:tcBorders>
              <w:top w:val="single" w:color="000000" w:sz="4" w:space="0"/>
              <w:left w:val="nil"/>
              <w:bottom w:val="single" w:color="000000" w:sz="4" w:space="0"/>
              <w:right w:val="single" w:color="000000" w:sz="4" w:space="0"/>
            </w:tcBorders>
            <w:shd w:val="clear" w:color="auto" w:fill="FFFFFF"/>
            <w:vAlign w:val="center"/>
          </w:tcPr>
          <w:p>
            <w:pPr>
              <w:jc w:val="center"/>
              <w:rPr>
                <w:rFonts w:hint="default" w:ascii="宋体"/>
                <w:color w:val="000000"/>
                <w:kern w:val="0"/>
                <w:shd w:val="clear" w:color="auto" w:fill="FFFFFF"/>
              </w:rPr>
            </w:pPr>
          </w:p>
        </w:tc>
        <w:tc>
          <w:tcPr>
            <w:tcW w:w="2015" w:type="dxa"/>
            <w:tcBorders>
              <w:top w:val="single" w:color="000000" w:sz="4" w:space="0"/>
              <w:left w:val="nil"/>
              <w:bottom w:val="single" w:color="000000" w:sz="4" w:space="0"/>
              <w:right w:val="single" w:color="000000" w:sz="4" w:space="0"/>
            </w:tcBorders>
            <w:shd w:val="clear" w:color="auto" w:fill="FFFFFF"/>
            <w:vAlign w:val="center"/>
          </w:tcPr>
          <w:p>
            <w:pPr>
              <w:jc w:val="center"/>
              <w:rPr>
                <w:rFonts w:hint="default" w:ascii="宋体"/>
                <w:color w:val="000000"/>
                <w:kern w:val="0"/>
                <w:shd w:val="clear" w:color="auto" w:fill="FFFFFF"/>
              </w:rPr>
            </w:pPr>
          </w:p>
        </w:tc>
        <w:tc>
          <w:tcPr>
            <w:tcW w:w="2024" w:type="dxa"/>
            <w:tcBorders>
              <w:top w:val="single" w:color="000000" w:sz="4" w:space="0"/>
              <w:left w:val="nil"/>
              <w:bottom w:val="single" w:color="000000" w:sz="4" w:space="0"/>
              <w:right w:val="single" w:color="000000" w:sz="4" w:space="0"/>
            </w:tcBorders>
            <w:vAlign w:val="center"/>
          </w:tcPr>
          <w:p>
            <w:pPr>
              <w:jc w:val="right"/>
              <w:rPr>
                <w:rFonts w:hint="default" w:ascii="宋体"/>
                <w:color w:val="000000"/>
                <w:kern w:val="0"/>
              </w:rPr>
            </w:pPr>
          </w:p>
        </w:tc>
        <w:tc>
          <w:tcPr>
            <w:tcW w:w="2184" w:type="dxa"/>
            <w:tcBorders>
              <w:top w:val="single" w:color="000000" w:sz="4" w:space="0"/>
              <w:left w:val="nil"/>
              <w:bottom w:val="single" w:color="000000" w:sz="4" w:space="0"/>
              <w:right w:val="single" w:color="000000" w:sz="4" w:space="0"/>
            </w:tcBorders>
            <w:vAlign w:val="center"/>
          </w:tcPr>
          <w:p>
            <w:pPr>
              <w:jc w:val="right"/>
              <w:rPr>
                <w:rFonts w:hint="default"/>
              </w:rPr>
            </w:pPr>
          </w:p>
        </w:tc>
      </w:tr>
      <w:tr>
        <w:tblPrEx>
          <w:tblCellMar>
            <w:top w:w="0" w:type="dxa"/>
            <w:left w:w="108" w:type="dxa"/>
            <w:bottom w:w="0" w:type="dxa"/>
            <w:right w:w="108" w:type="dxa"/>
          </w:tblCellMar>
        </w:tblPrEx>
        <w:trPr>
          <w:trHeight w:val="340" w:hRule="exact"/>
        </w:trPr>
        <w:tc>
          <w:tcPr>
            <w:tcW w:w="26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宋体"/>
                <w:color w:val="000000"/>
                <w:kern w:val="0"/>
                <w:shd w:val="clear" w:color="auto" w:fill="FFFFFF"/>
              </w:rPr>
            </w:pPr>
            <w:r>
              <w:rPr>
                <w:rFonts w:ascii="宋体" w:hAnsi="宋体" w:cs="宋体"/>
                <w:color w:val="000000"/>
                <w:kern w:val="0"/>
                <w:szCs w:val="21"/>
              </w:rPr>
              <w:t>三、国有资本经营预算财政拨款</w:t>
            </w: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color w:val="000000"/>
                <w:kern w:val="0"/>
                <w:shd w:val="clear" w:color="auto" w:fill="FFFFFF"/>
              </w:rPr>
            </w:pPr>
            <w:r>
              <w:rPr>
                <w:rFonts w:ascii="宋体" w:hAnsi="宋体" w:cs="宋体"/>
                <w:color w:val="000000"/>
                <w:kern w:val="0"/>
                <w:szCs w:val="21"/>
              </w:rPr>
              <w:t>3</w:t>
            </w:r>
          </w:p>
        </w:tc>
        <w:tc>
          <w:tcPr>
            <w:tcW w:w="1056" w:type="dxa"/>
            <w:gridSpan w:val="2"/>
            <w:tcBorders>
              <w:top w:val="single" w:color="000000" w:sz="4" w:space="0"/>
              <w:left w:val="nil"/>
              <w:bottom w:val="single" w:color="000000" w:sz="4" w:space="0"/>
              <w:right w:val="single" w:color="000000" w:sz="4" w:space="0"/>
            </w:tcBorders>
            <w:shd w:val="clear" w:color="auto" w:fill="auto"/>
            <w:vAlign w:val="center"/>
          </w:tcPr>
          <w:p>
            <w:pPr>
              <w:rPr>
                <w:rFonts w:hint="default" w:ascii="宋体"/>
                <w:color w:val="000000"/>
                <w:kern w:val="0"/>
              </w:rPr>
            </w:pPr>
          </w:p>
        </w:tc>
        <w:tc>
          <w:tcPr>
            <w:tcW w:w="2394" w:type="dxa"/>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hint="default" w:ascii="宋体"/>
                <w:color w:val="000000"/>
                <w:kern w:val="0"/>
                <w:shd w:val="clear" w:color="auto" w:fill="FFFFFF"/>
              </w:rPr>
            </w:pPr>
            <w:r>
              <w:rPr>
                <w:rFonts w:ascii="宋体" w:hAnsi="宋体" w:cs="宋体"/>
                <w:color w:val="000000"/>
                <w:kern w:val="0"/>
                <w:szCs w:val="21"/>
              </w:rPr>
              <w:t>三、国防支出</w:t>
            </w: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eastAsia="宋体"/>
                <w:color w:val="000000"/>
                <w:kern w:val="0"/>
                <w:shd w:val="clear" w:color="auto" w:fill="FFFFFF"/>
                <w:lang w:eastAsia="zh-CN"/>
              </w:rPr>
            </w:pPr>
            <w:r>
              <w:rPr>
                <w:rFonts w:ascii="宋体" w:hAnsi="宋体" w:cs="宋体"/>
                <w:color w:val="000000"/>
                <w:kern w:val="0"/>
                <w:szCs w:val="21"/>
              </w:rPr>
              <w:t>1</w:t>
            </w:r>
            <w:r>
              <w:rPr>
                <w:rFonts w:hint="eastAsia" w:ascii="宋体" w:hAnsi="宋体" w:cs="宋体"/>
                <w:color w:val="000000"/>
                <w:kern w:val="0"/>
                <w:szCs w:val="21"/>
                <w:lang w:val="en-US" w:eastAsia="zh-CN"/>
              </w:rPr>
              <w:t>9</w:t>
            </w:r>
          </w:p>
        </w:tc>
        <w:tc>
          <w:tcPr>
            <w:tcW w:w="1056" w:type="dxa"/>
            <w:tcBorders>
              <w:top w:val="single" w:color="000000" w:sz="4" w:space="0"/>
              <w:left w:val="nil"/>
              <w:bottom w:val="single" w:color="000000" w:sz="4" w:space="0"/>
              <w:right w:val="single" w:color="000000" w:sz="4" w:space="0"/>
            </w:tcBorders>
            <w:shd w:val="clear" w:color="auto" w:fill="FFFFFF"/>
            <w:vAlign w:val="center"/>
          </w:tcPr>
          <w:p>
            <w:pPr>
              <w:jc w:val="center"/>
              <w:rPr>
                <w:rFonts w:hint="default" w:ascii="宋体"/>
                <w:color w:val="000000"/>
                <w:kern w:val="0"/>
                <w:shd w:val="clear" w:color="auto" w:fill="FFFFFF"/>
              </w:rPr>
            </w:pPr>
          </w:p>
        </w:tc>
        <w:tc>
          <w:tcPr>
            <w:tcW w:w="2015" w:type="dxa"/>
            <w:tcBorders>
              <w:top w:val="single" w:color="000000" w:sz="4" w:space="0"/>
              <w:left w:val="nil"/>
              <w:bottom w:val="single" w:color="000000" w:sz="4" w:space="0"/>
              <w:right w:val="single" w:color="000000" w:sz="4" w:space="0"/>
            </w:tcBorders>
            <w:shd w:val="clear" w:color="auto" w:fill="FFFFFF"/>
            <w:vAlign w:val="center"/>
          </w:tcPr>
          <w:p>
            <w:pPr>
              <w:jc w:val="center"/>
              <w:rPr>
                <w:rFonts w:hint="default" w:ascii="宋体"/>
                <w:color w:val="000000"/>
                <w:kern w:val="0"/>
                <w:shd w:val="clear" w:color="auto" w:fill="FFFFFF"/>
              </w:rPr>
            </w:pPr>
          </w:p>
        </w:tc>
        <w:tc>
          <w:tcPr>
            <w:tcW w:w="2024" w:type="dxa"/>
            <w:tcBorders>
              <w:top w:val="single" w:color="000000" w:sz="4" w:space="0"/>
              <w:left w:val="nil"/>
              <w:bottom w:val="single" w:color="000000" w:sz="4" w:space="0"/>
              <w:right w:val="single" w:color="000000" w:sz="4" w:space="0"/>
            </w:tcBorders>
            <w:vAlign w:val="center"/>
          </w:tcPr>
          <w:p>
            <w:pPr>
              <w:jc w:val="right"/>
              <w:rPr>
                <w:rFonts w:hint="default" w:ascii="宋体"/>
                <w:color w:val="000000"/>
                <w:kern w:val="0"/>
              </w:rPr>
            </w:pPr>
          </w:p>
        </w:tc>
        <w:tc>
          <w:tcPr>
            <w:tcW w:w="2184" w:type="dxa"/>
            <w:tcBorders>
              <w:top w:val="single" w:color="000000" w:sz="4" w:space="0"/>
              <w:left w:val="nil"/>
              <w:bottom w:val="single" w:color="000000" w:sz="4" w:space="0"/>
              <w:right w:val="single" w:color="000000" w:sz="4" w:space="0"/>
            </w:tcBorders>
            <w:vAlign w:val="center"/>
          </w:tcPr>
          <w:p>
            <w:pPr>
              <w:jc w:val="right"/>
              <w:rPr>
                <w:rFonts w:hint="default"/>
              </w:rPr>
            </w:pPr>
          </w:p>
        </w:tc>
      </w:tr>
      <w:tr>
        <w:tblPrEx>
          <w:tblCellMar>
            <w:top w:w="0" w:type="dxa"/>
            <w:left w:w="108" w:type="dxa"/>
            <w:bottom w:w="0" w:type="dxa"/>
            <w:right w:w="108" w:type="dxa"/>
          </w:tblCellMar>
        </w:tblPrEx>
        <w:trPr>
          <w:trHeight w:val="340" w:hRule="exact"/>
        </w:trPr>
        <w:tc>
          <w:tcPr>
            <w:tcW w:w="26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color w:val="000000"/>
                <w:kern w:val="0"/>
                <w:shd w:val="clear" w:color="auto" w:fill="FFFFFF"/>
              </w:rPr>
            </w:pP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color w:val="000000"/>
                <w:kern w:val="0"/>
                <w:shd w:val="clear" w:color="auto" w:fill="FFFFFF"/>
              </w:rPr>
            </w:pPr>
            <w:r>
              <w:rPr>
                <w:rFonts w:ascii="宋体" w:hAnsi="宋体" w:cs="宋体"/>
                <w:color w:val="000000"/>
                <w:kern w:val="0"/>
                <w:szCs w:val="21"/>
              </w:rPr>
              <w:t>4</w:t>
            </w:r>
          </w:p>
        </w:tc>
        <w:tc>
          <w:tcPr>
            <w:tcW w:w="1056" w:type="dxa"/>
            <w:gridSpan w:val="2"/>
            <w:tcBorders>
              <w:top w:val="single" w:color="000000" w:sz="4" w:space="0"/>
              <w:left w:val="nil"/>
              <w:bottom w:val="single" w:color="000000" w:sz="4" w:space="0"/>
              <w:right w:val="single" w:color="000000" w:sz="4" w:space="0"/>
            </w:tcBorders>
            <w:shd w:val="clear" w:color="auto" w:fill="auto"/>
            <w:vAlign w:val="center"/>
          </w:tcPr>
          <w:p>
            <w:pPr>
              <w:rPr>
                <w:rFonts w:hint="default" w:ascii="宋体"/>
                <w:color w:val="000000"/>
                <w:kern w:val="0"/>
              </w:rPr>
            </w:pPr>
          </w:p>
        </w:tc>
        <w:tc>
          <w:tcPr>
            <w:tcW w:w="2394" w:type="dxa"/>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hint="default" w:ascii="宋体"/>
                <w:color w:val="000000"/>
                <w:kern w:val="0"/>
                <w:shd w:val="clear" w:color="auto" w:fill="FFFFFF"/>
              </w:rPr>
            </w:pPr>
            <w:r>
              <w:rPr>
                <w:rFonts w:ascii="宋体" w:hAnsi="宋体" w:cs="宋体"/>
                <w:color w:val="000000"/>
                <w:kern w:val="0"/>
                <w:szCs w:val="21"/>
              </w:rPr>
              <w:t>四、公共安全支出</w:t>
            </w: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eastAsia="宋体"/>
                <w:color w:val="000000"/>
                <w:kern w:val="0"/>
                <w:shd w:val="clear" w:color="auto" w:fill="FFFFFF"/>
                <w:lang w:val="en-US" w:eastAsia="zh-CN"/>
              </w:rPr>
            </w:pPr>
            <w:r>
              <w:rPr>
                <w:rFonts w:hint="eastAsia" w:ascii="宋体" w:hAnsi="宋体" w:cs="宋体"/>
                <w:color w:val="000000"/>
                <w:kern w:val="0"/>
                <w:szCs w:val="21"/>
                <w:lang w:val="en-US" w:eastAsia="zh-CN"/>
              </w:rPr>
              <w:t>20</w:t>
            </w:r>
          </w:p>
        </w:tc>
        <w:tc>
          <w:tcPr>
            <w:tcW w:w="1056" w:type="dxa"/>
            <w:tcBorders>
              <w:top w:val="single" w:color="000000" w:sz="4" w:space="0"/>
              <w:left w:val="nil"/>
              <w:bottom w:val="single" w:color="000000" w:sz="4" w:space="0"/>
              <w:right w:val="single" w:color="000000" w:sz="4" w:space="0"/>
            </w:tcBorders>
            <w:shd w:val="clear" w:color="auto" w:fill="FFFFFF"/>
            <w:vAlign w:val="center"/>
          </w:tcPr>
          <w:p>
            <w:pPr>
              <w:jc w:val="center"/>
              <w:rPr>
                <w:rFonts w:hint="default" w:ascii="宋体"/>
                <w:color w:val="000000"/>
                <w:kern w:val="0"/>
                <w:shd w:val="clear" w:color="auto" w:fill="FFFFFF"/>
              </w:rPr>
            </w:pPr>
          </w:p>
        </w:tc>
        <w:tc>
          <w:tcPr>
            <w:tcW w:w="2015" w:type="dxa"/>
            <w:tcBorders>
              <w:top w:val="single" w:color="000000" w:sz="4" w:space="0"/>
              <w:left w:val="nil"/>
              <w:bottom w:val="single" w:color="000000" w:sz="4" w:space="0"/>
              <w:right w:val="single" w:color="000000" w:sz="4" w:space="0"/>
            </w:tcBorders>
            <w:shd w:val="clear" w:color="auto" w:fill="FFFFFF"/>
            <w:vAlign w:val="center"/>
          </w:tcPr>
          <w:p>
            <w:pPr>
              <w:jc w:val="center"/>
              <w:rPr>
                <w:rFonts w:hint="default" w:ascii="宋体"/>
                <w:color w:val="000000"/>
                <w:kern w:val="0"/>
                <w:shd w:val="clear" w:color="auto" w:fill="FFFFFF"/>
              </w:rPr>
            </w:pPr>
          </w:p>
        </w:tc>
        <w:tc>
          <w:tcPr>
            <w:tcW w:w="2024" w:type="dxa"/>
            <w:tcBorders>
              <w:top w:val="single" w:color="000000" w:sz="4" w:space="0"/>
              <w:left w:val="nil"/>
              <w:bottom w:val="single" w:color="000000" w:sz="4" w:space="0"/>
              <w:right w:val="single" w:color="000000" w:sz="4" w:space="0"/>
            </w:tcBorders>
            <w:vAlign w:val="center"/>
          </w:tcPr>
          <w:p>
            <w:pPr>
              <w:jc w:val="right"/>
              <w:rPr>
                <w:rFonts w:hint="default" w:ascii="宋体"/>
                <w:color w:val="000000"/>
                <w:kern w:val="0"/>
              </w:rPr>
            </w:pPr>
          </w:p>
        </w:tc>
        <w:tc>
          <w:tcPr>
            <w:tcW w:w="2184" w:type="dxa"/>
            <w:tcBorders>
              <w:top w:val="single" w:color="000000" w:sz="4" w:space="0"/>
              <w:left w:val="nil"/>
              <w:bottom w:val="single" w:color="000000" w:sz="4" w:space="0"/>
              <w:right w:val="single" w:color="000000" w:sz="4" w:space="0"/>
            </w:tcBorders>
            <w:vAlign w:val="center"/>
          </w:tcPr>
          <w:p>
            <w:pPr>
              <w:jc w:val="right"/>
              <w:rPr>
                <w:rFonts w:hint="default"/>
              </w:rPr>
            </w:pPr>
          </w:p>
        </w:tc>
      </w:tr>
      <w:tr>
        <w:tblPrEx>
          <w:tblCellMar>
            <w:top w:w="0" w:type="dxa"/>
            <w:left w:w="108" w:type="dxa"/>
            <w:bottom w:w="0" w:type="dxa"/>
            <w:right w:w="108" w:type="dxa"/>
          </w:tblCellMar>
        </w:tblPrEx>
        <w:trPr>
          <w:trHeight w:val="340" w:hRule="exact"/>
        </w:trPr>
        <w:tc>
          <w:tcPr>
            <w:tcW w:w="26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color w:val="000000"/>
                <w:kern w:val="0"/>
                <w:shd w:val="clear" w:color="auto" w:fill="FFFFFF"/>
              </w:rPr>
            </w:pP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color w:val="000000"/>
                <w:kern w:val="0"/>
                <w:shd w:val="clear" w:color="auto" w:fill="FFFFFF"/>
              </w:rPr>
            </w:pPr>
            <w:r>
              <w:rPr>
                <w:rFonts w:ascii="宋体" w:hAnsi="宋体" w:cs="宋体"/>
                <w:color w:val="000000"/>
                <w:kern w:val="0"/>
                <w:szCs w:val="21"/>
              </w:rPr>
              <w:t>5</w:t>
            </w:r>
          </w:p>
        </w:tc>
        <w:tc>
          <w:tcPr>
            <w:tcW w:w="1056" w:type="dxa"/>
            <w:gridSpan w:val="2"/>
            <w:tcBorders>
              <w:top w:val="single" w:color="000000" w:sz="4" w:space="0"/>
              <w:left w:val="nil"/>
              <w:bottom w:val="single" w:color="000000" w:sz="4" w:space="0"/>
              <w:right w:val="single" w:color="000000" w:sz="4" w:space="0"/>
            </w:tcBorders>
            <w:shd w:val="clear" w:color="auto" w:fill="auto"/>
            <w:vAlign w:val="center"/>
          </w:tcPr>
          <w:p>
            <w:pPr>
              <w:rPr>
                <w:rFonts w:hint="default" w:ascii="宋体"/>
                <w:color w:val="000000"/>
                <w:kern w:val="0"/>
              </w:rPr>
            </w:pPr>
          </w:p>
        </w:tc>
        <w:tc>
          <w:tcPr>
            <w:tcW w:w="2394"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default" w:ascii="宋体" w:hAnsi="Times New Roman" w:eastAsia="宋体" w:cstheme="minorBidi"/>
                <w:color w:val="000000"/>
                <w:kern w:val="0"/>
                <w:sz w:val="21"/>
                <w:szCs w:val="22"/>
                <w:lang w:val="en-US" w:eastAsia="zh-CN" w:bidi="ar-SA"/>
              </w:rPr>
            </w:pPr>
            <w:r>
              <w:rPr>
                <w:rFonts w:ascii="宋体" w:hAnsi="宋体"/>
                <w:color w:val="000000"/>
                <w:kern w:val="0"/>
              </w:rPr>
              <w:t>五、教育支出</w:t>
            </w: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default" w:ascii="宋体" w:hAnsi="Times New Roman" w:eastAsia="宋体" w:cstheme="minorBidi"/>
                <w:color w:val="000000"/>
                <w:kern w:val="0"/>
                <w:sz w:val="21"/>
                <w:szCs w:val="22"/>
                <w:lang w:val="en-US" w:eastAsia="zh-CN" w:bidi="ar-SA"/>
              </w:rPr>
            </w:pPr>
            <w:r>
              <w:rPr>
                <w:rFonts w:hint="eastAsia" w:ascii="宋体" w:hAnsi="宋体"/>
                <w:color w:val="000000"/>
                <w:kern w:val="0"/>
                <w:lang w:val="en-US" w:eastAsia="zh-CN"/>
              </w:rPr>
              <w:t>21</w:t>
            </w:r>
          </w:p>
        </w:tc>
        <w:tc>
          <w:tcPr>
            <w:tcW w:w="1056"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default" w:ascii="宋体" w:hAnsi="Times New Roman" w:eastAsia="宋体" w:cstheme="minorBidi"/>
                <w:color w:val="000000"/>
                <w:kern w:val="0"/>
                <w:sz w:val="21"/>
                <w:szCs w:val="22"/>
                <w:lang w:val="en-US" w:eastAsia="zh-CN" w:bidi="ar-SA"/>
              </w:rPr>
            </w:pPr>
            <w:r>
              <w:rPr>
                <w:rFonts w:hint="default" w:ascii="宋体"/>
                <w:color w:val="000000"/>
                <w:kern w:val="0"/>
              </w:rPr>
              <w:t>7469.77</w:t>
            </w:r>
          </w:p>
        </w:tc>
        <w:tc>
          <w:tcPr>
            <w:tcW w:w="2015"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default" w:ascii="宋体" w:hAnsi="Times New Roman" w:eastAsia="宋体" w:cstheme="minorBidi"/>
                <w:color w:val="000000"/>
                <w:kern w:val="0"/>
                <w:sz w:val="21"/>
                <w:szCs w:val="22"/>
                <w:lang w:val="en-US" w:eastAsia="zh-CN" w:bidi="ar-SA"/>
              </w:rPr>
            </w:pPr>
            <w:r>
              <w:rPr>
                <w:rFonts w:hint="default" w:ascii="宋体"/>
                <w:color w:val="000000"/>
                <w:kern w:val="0"/>
              </w:rPr>
              <w:t>7469.77</w:t>
            </w:r>
          </w:p>
        </w:tc>
        <w:tc>
          <w:tcPr>
            <w:tcW w:w="2024" w:type="dxa"/>
            <w:tcBorders>
              <w:top w:val="single" w:color="000000" w:sz="4" w:space="0"/>
              <w:left w:val="nil"/>
              <w:bottom w:val="single" w:color="000000" w:sz="4" w:space="0"/>
              <w:right w:val="single" w:color="000000" w:sz="4" w:space="0"/>
            </w:tcBorders>
            <w:vAlign w:val="center"/>
          </w:tcPr>
          <w:p>
            <w:pPr>
              <w:jc w:val="right"/>
              <w:rPr>
                <w:rFonts w:hint="default" w:ascii="宋体"/>
                <w:color w:val="000000"/>
                <w:kern w:val="0"/>
              </w:rPr>
            </w:pPr>
          </w:p>
        </w:tc>
        <w:tc>
          <w:tcPr>
            <w:tcW w:w="2184" w:type="dxa"/>
            <w:tcBorders>
              <w:top w:val="single" w:color="000000" w:sz="4" w:space="0"/>
              <w:left w:val="nil"/>
              <w:bottom w:val="single" w:color="000000" w:sz="4" w:space="0"/>
              <w:right w:val="single" w:color="000000" w:sz="4" w:space="0"/>
            </w:tcBorders>
            <w:vAlign w:val="center"/>
          </w:tcPr>
          <w:p>
            <w:pPr>
              <w:jc w:val="right"/>
              <w:rPr>
                <w:rFonts w:hint="default"/>
              </w:rPr>
            </w:pPr>
          </w:p>
        </w:tc>
      </w:tr>
      <w:tr>
        <w:tblPrEx>
          <w:tblCellMar>
            <w:top w:w="0" w:type="dxa"/>
            <w:left w:w="108" w:type="dxa"/>
            <w:bottom w:w="0" w:type="dxa"/>
            <w:right w:w="108" w:type="dxa"/>
          </w:tblCellMar>
        </w:tblPrEx>
        <w:trPr>
          <w:trHeight w:val="340" w:hRule="exact"/>
        </w:trPr>
        <w:tc>
          <w:tcPr>
            <w:tcW w:w="2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color w:val="000000"/>
                <w:kern w:val="0"/>
              </w:rPr>
            </w:pP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eastAsia="宋体"/>
                <w:color w:val="000000"/>
                <w:kern w:val="0"/>
                <w:shd w:val="clear" w:color="auto" w:fill="FFFFFF"/>
                <w:lang w:eastAsia="zh-CN"/>
              </w:rPr>
            </w:pPr>
            <w:r>
              <w:rPr>
                <w:rFonts w:hint="eastAsia" w:ascii="宋体" w:hAnsi="宋体" w:cs="宋体"/>
                <w:color w:val="000000"/>
                <w:kern w:val="0"/>
                <w:szCs w:val="21"/>
                <w:lang w:val="en-US" w:eastAsia="zh-CN"/>
              </w:rPr>
              <w:t>6</w:t>
            </w:r>
          </w:p>
        </w:tc>
        <w:tc>
          <w:tcPr>
            <w:tcW w:w="1056" w:type="dxa"/>
            <w:gridSpan w:val="2"/>
            <w:tcBorders>
              <w:top w:val="single" w:color="000000" w:sz="4" w:space="0"/>
              <w:left w:val="nil"/>
              <w:bottom w:val="single" w:color="000000" w:sz="4" w:space="0"/>
              <w:right w:val="single" w:color="000000" w:sz="4" w:space="0"/>
            </w:tcBorders>
            <w:shd w:val="clear" w:color="auto" w:fill="auto"/>
            <w:vAlign w:val="center"/>
          </w:tcPr>
          <w:p>
            <w:pPr>
              <w:jc w:val="left"/>
              <w:rPr>
                <w:rFonts w:hint="default" w:ascii="宋体"/>
                <w:color w:val="000000"/>
                <w:kern w:val="0"/>
              </w:rPr>
            </w:pPr>
          </w:p>
        </w:tc>
        <w:tc>
          <w:tcPr>
            <w:tcW w:w="239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宋体" w:hAnsi="Times New Roman" w:eastAsia="宋体" w:cstheme="minorBidi"/>
                <w:color w:val="000000"/>
                <w:kern w:val="0"/>
                <w:sz w:val="21"/>
                <w:szCs w:val="22"/>
                <w:lang w:val="en-US" w:eastAsia="zh-CN" w:bidi="ar-SA"/>
              </w:rPr>
            </w:pPr>
            <w:r>
              <w:rPr>
                <w:rFonts w:hint="eastAsia" w:ascii="宋体" w:hAnsi="宋体"/>
                <w:color w:val="000000"/>
                <w:kern w:val="0"/>
              </w:rPr>
              <w:t>七、文化旅游体育与传媒支出</w:t>
            </w: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default" w:ascii="宋体" w:hAnsi="Times New Roman" w:eastAsia="宋体" w:cstheme="minorBidi"/>
                <w:color w:val="000000"/>
                <w:kern w:val="0"/>
                <w:sz w:val="21"/>
                <w:szCs w:val="22"/>
                <w:lang w:val="en-US" w:eastAsia="zh-CN" w:bidi="ar-SA"/>
              </w:rPr>
            </w:pPr>
            <w:r>
              <w:rPr>
                <w:rFonts w:hint="eastAsia" w:ascii="宋体" w:hAnsi="宋体"/>
                <w:color w:val="000000"/>
                <w:kern w:val="0"/>
                <w:lang w:val="en-US" w:eastAsia="zh-CN"/>
              </w:rPr>
              <w:t>22</w:t>
            </w:r>
          </w:p>
        </w:tc>
        <w:tc>
          <w:tcPr>
            <w:tcW w:w="1056"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default" w:ascii="宋体" w:hAnsi="Times New Roman" w:eastAsia="宋体" w:cstheme="minorBidi"/>
                <w:color w:val="000000"/>
                <w:kern w:val="0"/>
                <w:sz w:val="21"/>
                <w:szCs w:val="22"/>
                <w:lang w:val="en-US" w:eastAsia="zh-CN" w:bidi="ar-SA"/>
              </w:rPr>
            </w:pPr>
          </w:p>
        </w:tc>
        <w:tc>
          <w:tcPr>
            <w:tcW w:w="2015"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default" w:ascii="宋体" w:hAnsi="Times New Roman" w:eastAsia="宋体" w:cstheme="minorBidi"/>
                <w:color w:val="000000"/>
                <w:kern w:val="0"/>
                <w:sz w:val="21"/>
                <w:szCs w:val="22"/>
                <w:lang w:val="en-US" w:eastAsia="zh-CN" w:bidi="ar-SA"/>
              </w:rPr>
            </w:pPr>
          </w:p>
        </w:tc>
        <w:tc>
          <w:tcPr>
            <w:tcW w:w="2024"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2184" w:type="dxa"/>
            <w:tcBorders>
              <w:top w:val="single" w:color="000000" w:sz="4" w:space="0"/>
              <w:left w:val="nil"/>
              <w:bottom w:val="single" w:color="000000" w:sz="4" w:space="0"/>
              <w:right w:val="single" w:color="000000" w:sz="4" w:space="0"/>
            </w:tcBorders>
            <w:vAlign w:val="center"/>
          </w:tcPr>
          <w:p>
            <w:pPr>
              <w:jc w:val="center"/>
              <w:rPr>
                <w:rFonts w:hint="default"/>
              </w:rPr>
            </w:pPr>
          </w:p>
        </w:tc>
      </w:tr>
      <w:tr>
        <w:tblPrEx>
          <w:tblCellMar>
            <w:top w:w="0" w:type="dxa"/>
            <w:left w:w="108" w:type="dxa"/>
            <w:bottom w:w="0" w:type="dxa"/>
            <w:right w:w="108" w:type="dxa"/>
          </w:tblCellMar>
        </w:tblPrEx>
        <w:trPr>
          <w:trHeight w:val="340" w:hRule="exact"/>
        </w:trPr>
        <w:tc>
          <w:tcPr>
            <w:tcW w:w="2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color w:val="000000"/>
                <w:kern w:val="0"/>
              </w:rPr>
            </w:pP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7</w:t>
            </w:r>
          </w:p>
        </w:tc>
        <w:tc>
          <w:tcPr>
            <w:tcW w:w="1056" w:type="dxa"/>
            <w:gridSpan w:val="2"/>
            <w:tcBorders>
              <w:top w:val="single" w:color="000000" w:sz="4" w:space="0"/>
              <w:left w:val="nil"/>
              <w:bottom w:val="single" w:color="000000" w:sz="4" w:space="0"/>
              <w:right w:val="single" w:color="000000" w:sz="4" w:space="0"/>
            </w:tcBorders>
            <w:shd w:val="clear" w:color="auto" w:fill="auto"/>
            <w:vAlign w:val="center"/>
          </w:tcPr>
          <w:p>
            <w:pPr>
              <w:jc w:val="left"/>
              <w:rPr>
                <w:rFonts w:hint="default" w:ascii="宋体"/>
                <w:color w:val="000000"/>
                <w:kern w:val="0"/>
              </w:rPr>
            </w:pPr>
          </w:p>
        </w:tc>
        <w:tc>
          <w:tcPr>
            <w:tcW w:w="239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宋体" w:hAnsi="Times New Roman" w:eastAsia="宋体" w:cstheme="minorBidi"/>
                <w:color w:val="000000"/>
                <w:kern w:val="0"/>
                <w:sz w:val="21"/>
                <w:szCs w:val="22"/>
                <w:lang w:val="en-US" w:eastAsia="zh-CN" w:bidi="ar-SA"/>
              </w:rPr>
            </w:pPr>
            <w:r>
              <w:rPr>
                <w:rFonts w:hint="default" w:ascii="宋体"/>
                <w:color w:val="000000"/>
                <w:kern w:val="0"/>
              </w:rPr>
              <w:t>八、社会保障和就业支出</w:t>
            </w: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default" w:ascii="宋体" w:hAnsi="Times New Roman" w:eastAsia="宋体" w:cstheme="minorBidi"/>
                <w:color w:val="000000"/>
                <w:kern w:val="0"/>
                <w:sz w:val="21"/>
                <w:szCs w:val="22"/>
                <w:lang w:val="en-US" w:eastAsia="zh-CN" w:bidi="ar-SA"/>
              </w:rPr>
            </w:pPr>
            <w:r>
              <w:rPr>
                <w:rFonts w:ascii="宋体" w:hAnsi="宋体"/>
                <w:color w:val="000000"/>
                <w:kern w:val="0"/>
              </w:rPr>
              <w:t>2</w:t>
            </w:r>
            <w:r>
              <w:rPr>
                <w:rFonts w:hint="eastAsia" w:ascii="宋体" w:hAnsi="宋体"/>
                <w:color w:val="000000"/>
                <w:kern w:val="0"/>
                <w:lang w:val="en-US" w:eastAsia="zh-CN"/>
              </w:rPr>
              <w:t>3</w:t>
            </w:r>
          </w:p>
        </w:tc>
        <w:tc>
          <w:tcPr>
            <w:tcW w:w="1056"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default" w:ascii="宋体" w:hAnsi="Times New Roman" w:eastAsia="宋体" w:cstheme="minorBidi"/>
                <w:color w:val="000000"/>
                <w:kern w:val="0"/>
                <w:sz w:val="21"/>
                <w:szCs w:val="22"/>
                <w:lang w:val="en-US" w:eastAsia="zh-CN" w:bidi="ar-SA"/>
              </w:rPr>
            </w:pPr>
            <w:r>
              <w:rPr>
                <w:rFonts w:hint="default" w:ascii="宋体"/>
                <w:color w:val="000000"/>
                <w:kern w:val="0"/>
              </w:rPr>
              <w:t>21237.3</w:t>
            </w:r>
          </w:p>
        </w:tc>
        <w:tc>
          <w:tcPr>
            <w:tcW w:w="2015"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default" w:ascii="宋体" w:hAnsi="Times New Roman" w:eastAsia="宋体" w:cstheme="minorBidi"/>
                <w:color w:val="000000"/>
                <w:kern w:val="0"/>
                <w:sz w:val="21"/>
                <w:szCs w:val="22"/>
                <w:lang w:val="en-US" w:eastAsia="zh-CN" w:bidi="ar-SA"/>
              </w:rPr>
            </w:pPr>
            <w:r>
              <w:rPr>
                <w:rFonts w:hint="default" w:ascii="宋体"/>
                <w:color w:val="000000"/>
                <w:kern w:val="0"/>
              </w:rPr>
              <w:t>21237.3</w:t>
            </w:r>
          </w:p>
        </w:tc>
        <w:tc>
          <w:tcPr>
            <w:tcW w:w="2024"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2184" w:type="dxa"/>
            <w:tcBorders>
              <w:top w:val="single" w:color="000000" w:sz="4" w:space="0"/>
              <w:left w:val="nil"/>
              <w:bottom w:val="single" w:color="000000" w:sz="4" w:space="0"/>
              <w:right w:val="single" w:color="000000" w:sz="4" w:space="0"/>
            </w:tcBorders>
            <w:vAlign w:val="center"/>
          </w:tcPr>
          <w:p>
            <w:pPr>
              <w:jc w:val="center"/>
              <w:rPr>
                <w:rFonts w:hint="default"/>
              </w:rPr>
            </w:pPr>
          </w:p>
        </w:tc>
      </w:tr>
      <w:tr>
        <w:tblPrEx>
          <w:tblCellMar>
            <w:top w:w="0" w:type="dxa"/>
            <w:left w:w="108" w:type="dxa"/>
            <w:bottom w:w="0" w:type="dxa"/>
            <w:right w:w="108" w:type="dxa"/>
          </w:tblCellMar>
        </w:tblPrEx>
        <w:trPr>
          <w:trHeight w:val="340" w:hRule="exact"/>
        </w:trPr>
        <w:tc>
          <w:tcPr>
            <w:tcW w:w="2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color w:val="000000"/>
                <w:kern w:val="0"/>
              </w:rPr>
            </w:pPr>
          </w:p>
          <w:p>
            <w:pPr>
              <w:jc w:val="left"/>
              <w:rPr>
                <w:rFonts w:hint="default" w:ascii="宋体"/>
                <w:color w:val="000000"/>
                <w:kern w:val="0"/>
              </w:rPr>
            </w:pP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8</w:t>
            </w:r>
          </w:p>
        </w:tc>
        <w:tc>
          <w:tcPr>
            <w:tcW w:w="1056" w:type="dxa"/>
            <w:gridSpan w:val="2"/>
            <w:tcBorders>
              <w:top w:val="single" w:color="000000" w:sz="4" w:space="0"/>
              <w:left w:val="nil"/>
              <w:bottom w:val="single" w:color="000000" w:sz="4" w:space="0"/>
              <w:right w:val="single" w:color="000000" w:sz="4" w:space="0"/>
            </w:tcBorders>
            <w:shd w:val="clear" w:color="auto" w:fill="auto"/>
            <w:vAlign w:val="center"/>
          </w:tcPr>
          <w:p>
            <w:pPr>
              <w:jc w:val="left"/>
              <w:rPr>
                <w:rFonts w:hint="default" w:ascii="宋体"/>
                <w:color w:val="000000"/>
                <w:kern w:val="0"/>
              </w:rPr>
            </w:pPr>
          </w:p>
        </w:tc>
        <w:tc>
          <w:tcPr>
            <w:tcW w:w="239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宋体" w:hAnsi="Times New Roman" w:eastAsia="宋体" w:cstheme="minorBidi"/>
                <w:color w:val="000000"/>
                <w:kern w:val="0"/>
                <w:sz w:val="21"/>
                <w:szCs w:val="22"/>
                <w:lang w:val="en-US" w:eastAsia="zh-CN" w:bidi="ar-SA"/>
              </w:rPr>
            </w:pPr>
            <w:r>
              <w:rPr>
                <w:rFonts w:hint="default" w:ascii="宋体"/>
                <w:color w:val="000000"/>
                <w:kern w:val="0"/>
              </w:rPr>
              <w:t>九、卫生健康支出</w:t>
            </w: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eastAsia" w:ascii="宋体" w:hAnsi="宋体" w:eastAsia="宋体" w:cstheme="minorBidi"/>
                <w:color w:val="000000"/>
                <w:kern w:val="0"/>
                <w:sz w:val="21"/>
                <w:szCs w:val="22"/>
                <w:lang w:val="en-US" w:eastAsia="zh-CN" w:bidi="ar-SA"/>
              </w:rPr>
            </w:pPr>
            <w:r>
              <w:rPr>
                <w:rFonts w:ascii="宋体" w:hAnsi="宋体"/>
                <w:color w:val="000000"/>
                <w:kern w:val="0"/>
              </w:rPr>
              <w:t>2</w:t>
            </w:r>
            <w:r>
              <w:rPr>
                <w:rFonts w:hint="eastAsia" w:ascii="宋体" w:hAnsi="宋体"/>
                <w:color w:val="000000"/>
                <w:kern w:val="0"/>
                <w:lang w:val="en-US" w:eastAsia="zh-CN"/>
              </w:rPr>
              <w:t>4</w:t>
            </w:r>
          </w:p>
        </w:tc>
        <w:tc>
          <w:tcPr>
            <w:tcW w:w="1056"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default" w:ascii="宋体" w:hAnsi="Times New Roman" w:eastAsia="宋体" w:cstheme="minorBidi"/>
                <w:color w:val="000000"/>
                <w:kern w:val="0"/>
                <w:sz w:val="21"/>
                <w:szCs w:val="22"/>
                <w:lang w:val="en-US" w:eastAsia="zh-CN" w:bidi="ar-SA"/>
              </w:rPr>
            </w:pPr>
            <w:r>
              <w:rPr>
                <w:rFonts w:hint="default" w:ascii="宋体"/>
                <w:color w:val="000000"/>
                <w:kern w:val="0"/>
              </w:rPr>
              <w:t>122.5</w:t>
            </w:r>
          </w:p>
        </w:tc>
        <w:tc>
          <w:tcPr>
            <w:tcW w:w="2015"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default" w:ascii="宋体" w:hAnsi="Times New Roman" w:eastAsia="宋体" w:cstheme="minorBidi"/>
                <w:color w:val="000000"/>
                <w:kern w:val="0"/>
                <w:sz w:val="21"/>
                <w:szCs w:val="22"/>
                <w:lang w:val="en-US" w:eastAsia="zh-CN" w:bidi="ar-SA"/>
              </w:rPr>
            </w:pPr>
            <w:r>
              <w:rPr>
                <w:rFonts w:hint="default" w:ascii="宋体"/>
                <w:color w:val="000000"/>
                <w:kern w:val="0"/>
              </w:rPr>
              <w:t>122.5</w:t>
            </w:r>
          </w:p>
        </w:tc>
        <w:tc>
          <w:tcPr>
            <w:tcW w:w="2024"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2184" w:type="dxa"/>
            <w:tcBorders>
              <w:top w:val="single" w:color="000000" w:sz="4" w:space="0"/>
              <w:left w:val="nil"/>
              <w:bottom w:val="single" w:color="000000" w:sz="4" w:space="0"/>
              <w:right w:val="single" w:color="000000" w:sz="4" w:space="0"/>
            </w:tcBorders>
            <w:vAlign w:val="center"/>
          </w:tcPr>
          <w:p>
            <w:pPr>
              <w:jc w:val="center"/>
              <w:rPr>
                <w:rFonts w:hint="default"/>
              </w:rPr>
            </w:pPr>
          </w:p>
        </w:tc>
      </w:tr>
      <w:tr>
        <w:tblPrEx>
          <w:tblCellMar>
            <w:top w:w="0" w:type="dxa"/>
            <w:left w:w="108" w:type="dxa"/>
            <w:bottom w:w="0" w:type="dxa"/>
            <w:right w:w="108" w:type="dxa"/>
          </w:tblCellMar>
        </w:tblPrEx>
        <w:trPr>
          <w:trHeight w:val="340" w:hRule="exact"/>
        </w:trPr>
        <w:tc>
          <w:tcPr>
            <w:tcW w:w="2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color w:val="000000"/>
                <w:kern w:val="0"/>
              </w:rPr>
            </w:pP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9</w:t>
            </w:r>
          </w:p>
        </w:tc>
        <w:tc>
          <w:tcPr>
            <w:tcW w:w="1056" w:type="dxa"/>
            <w:gridSpan w:val="2"/>
            <w:tcBorders>
              <w:top w:val="single" w:color="000000" w:sz="4" w:space="0"/>
              <w:left w:val="nil"/>
              <w:bottom w:val="single" w:color="000000" w:sz="4" w:space="0"/>
              <w:right w:val="single" w:color="000000" w:sz="4" w:space="0"/>
            </w:tcBorders>
            <w:shd w:val="clear" w:color="auto" w:fill="auto"/>
            <w:vAlign w:val="center"/>
          </w:tcPr>
          <w:p>
            <w:pPr>
              <w:jc w:val="left"/>
              <w:rPr>
                <w:rFonts w:hint="default" w:ascii="宋体"/>
                <w:color w:val="000000"/>
                <w:kern w:val="0"/>
              </w:rPr>
            </w:pPr>
          </w:p>
        </w:tc>
        <w:tc>
          <w:tcPr>
            <w:tcW w:w="239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宋体" w:hAnsi="Times New Roman" w:eastAsia="宋体" w:cstheme="minorBidi"/>
                <w:color w:val="000000"/>
                <w:kern w:val="0"/>
                <w:sz w:val="21"/>
                <w:szCs w:val="22"/>
                <w:lang w:val="en-US" w:eastAsia="zh-CN" w:bidi="ar-SA"/>
              </w:rPr>
            </w:pPr>
            <w:r>
              <w:rPr>
                <w:rFonts w:hint="default" w:ascii="宋体"/>
                <w:color w:val="000000"/>
                <w:kern w:val="0"/>
              </w:rPr>
              <w:t>十、节能环保支出</w:t>
            </w: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default" w:ascii="宋体" w:hAnsi="宋体" w:eastAsia="宋体" w:cstheme="minorBidi"/>
                <w:color w:val="000000"/>
                <w:kern w:val="0"/>
                <w:sz w:val="21"/>
                <w:szCs w:val="22"/>
                <w:lang w:val="en-US" w:eastAsia="zh-CN" w:bidi="ar-SA"/>
              </w:rPr>
            </w:pPr>
            <w:r>
              <w:rPr>
                <w:rFonts w:hint="eastAsia" w:ascii="宋体" w:hAnsi="宋体"/>
                <w:color w:val="000000"/>
                <w:kern w:val="0"/>
                <w:lang w:val="en-US" w:eastAsia="zh-CN"/>
              </w:rPr>
              <w:t>25</w:t>
            </w:r>
          </w:p>
        </w:tc>
        <w:tc>
          <w:tcPr>
            <w:tcW w:w="1056"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default" w:ascii="宋体" w:hAnsi="Times New Roman" w:eastAsia="宋体" w:cstheme="minorBidi"/>
                <w:color w:val="000000"/>
                <w:kern w:val="0"/>
                <w:sz w:val="21"/>
                <w:szCs w:val="22"/>
                <w:lang w:val="en-US" w:eastAsia="zh-CN" w:bidi="ar-SA"/>
              </w:rPr>
            </w:pPr>
            <w:r>
              <w:rPr>
                <w:rFonts w:hint="default" w:ascii="宋体"/>
                <w:color w:val="000000"/>
                <w:kern w:val="0"/>
              </w:rPr>
              <w:t>4440.55</w:t>
            </w:r>
          </w:p>
        </w:tc>
        <w:tc>
          <w:tcPr>
            <w:tcW w:w="2015"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default" w:ascii="宋体" w:hAnsi="Times New Roman" w:eastAsia="宋体" w:cstheme="minorBidi"/>
                <w:color w:val="000000"/>
                <w:kern w:val="0"/>
                <w:sz w:val="21"/>
                <w:szCs w:val="22"/>
                <w:lang w:val="en-US" w:eastAsia="zh-CN" w:bidi="ar-SA"/>
              </w:rPr>
            </w:pPr>
            <w:r>
              <w:rPr>
                <w:rFonts w:hint="default" w:ascii="宋体"/>
                <w:color w:val="000000"/>
                <w:kern w:val="0"/>
              </w:rPr>
              <w:t>4440.55</w:t>
            </w:r>
          </w:p>
        </w:tc>
        <w:tc>
          <w:tcPr>
            <w:tcW w:w="2024"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2184" w:type="dxa"/>
            <w:tcBorders>
              <w:top w:val="single" w:color="000000" w:sz="4" w:space="0"/>
              <w:left w:val="nil"/>
              <w:bottom w:val="single" w:color="000000" w:sz="4" w:space="0"/>
              <w:right w:val="single" w:color="000000" w:sz="4" w:space="0"/>
            </w:tcBorders>
            <w:vAlign w:val="center"/>
          </w:tcPr>
          <w:p>
            <w:pPr>
              <w:jc w:val="center"/>
              <w:rPr>
                <w:rFonts w:hint="default"/>
              </w:rPr>
            </w:pPr>
          </w:p>
        </w:tc>
      </w:tr>
      <w:tr>
        <w:tblPrEx>
          <w:tblCellMar>
            <w:top w:w="0" w:type="dxa"/>
            <w:left w:w="108" w:type="dxa"/>
            <w:bottom w:w="0" w:type="dxa"/>
            <w:right w:w="108" w:type="dxa"/>
          </w:tblCellMar>
        </w:tblPrEx>
        <w:trPr>
          <w:trHeight w:val="340" w:hRule="exact"/>
        </w:trPr>
        <w:tc>
          <w:tcPr>
            <w:tcW w:w="2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color w:val="000000"/>
                <w:kern w:val="0"/>
              </w:rPr>
            </w:pP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w:t>
            </w:r>
          </w:p>
        </w:tc>
        <w:tc>
          <w:tcPr>
            <w:tcW w:w="1056" w:type="dxa"/>
            <w:gridSpan w:val="2"/>
            <w:tcBorders>
              <w:top w:val="single" w:color="000000" w:sz="4" w:space="0"/>
              <w:left w:val="nil"/>
              <w:bottom w:val="single" w:color="000000" w:sz="4" w:space="0"/>
              <w:right w:val="single" w:color="000000" w:sz="4" w:space="0"/>
            </w:tcBorders>
            <w:shd w:val="clear" w:color="auto" w:fill="auto"/>
            <w:vAlign w:val="center"/>
          </w:tcPr>
          <w:p>
            <w:pPr>
              <w:jc w:val="left"/>
              <w:rPr>
                <w:rFonts w:hint="default" w:ascii="宋体"/>
                <w:color w:val="000000"/>
                <w:kern w:val="0"/>
              </w:rPr>
            </w:pPr>
          </w:p>
        </w:tc>
        <w:tc>
          <w:tcPr>
            <w:tcW w:w="239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宋体" w:hAnsi="Times New Roman" w:eastAsia="宋体" w:cstheme="minorBidi"/>
                <w:color w:val="000000"/>
                <w:kern w:val="0"/>
                <w:sz w:val="21"/>
                <w:szCs w:val="22"/>
                <w:lang w:val="en-US" w:eastAsia="zh-CN" w:bidi="ar-SA"/>
              </w:rPr>
            </w:pPr>
            <w:r>
              <w:rPr>
                <w:rFonts w:hint="default" w:ascii="宋体"/>
                <w:color w:val="000000"/>
                <w:kern w:val="0"/>
              </w:rPr>
              <w:t>十九、住房保障支出</w:t>
            </w: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hint="default" w:ascii="宋体" w:hAnsi="宋体" w:eastAsia="宋体" w:cstheme="minorBidi"/>
                <w:color w:val="000000"/>
                <w:kern w:val="0"/>
                <w:sz w:val="21"/>
                <w:szCs w:val="22"/>
                <w:lang w:val="en-US" w:eastAsia="zh-CN" w:bidi="ar-SA"/>
              </w:rPr>
            </w:pPr>
            <w:r>
              <w:rPr>
                <w:rFonts w:hint="eastAsia" w:ascii="宋体" w:hAnsi="宋体"/>
                <w:color w:val="000000"/>
                <w:kern w:val="0"/>
                <w:lang w:val="en-US" w:eastAsia="zh-CN"/>
              </w:rPr>
              <w:t>26</w:t>
            </w:r>
          </w:p>
        </w:tc>
        <w:tc>
          <w:tcPr>
            <w:tcW w:w="1056"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default" w:ascii="宋体" w:hAnsi="Times New Roman" w:eastAsia="宋体" w:cstheme="minorBidi"/>
                <w:color w:val="000000"/>
                <w:kern w:val="0"/>
                <w:sz w:val="21"/>
                <w:szCs w:val="22"/>
                <w:lang w:val="en-US" w:eastAsia="zh-CN" w:bidi="ar-SA"/>
              </w:rPr>
            </w:pPr>
            <w:r>
              <w:rPr>
                <w:rFonts w:hint="default" w:ascii="宋体"/>
                <w:color w:val="000000"/>
                <w:kern w:val="0"/>
              </w:rPr>
              <w:t>422.19</w:t>
            </w:r>
          </w:p>
        </w:tc>
        <w:tc>
          <w:tcPr>
            <w:tcW w:w="2015"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hint="default" w:ascii="宋体" w:hAnsi="Times New Roman" w:eastAsia="宋体" w:cstheme="minorBidi"/>
                <w:color w:val="000000"/>
                <w:kern w:val="0"/>
                <w:sz w:val="21"/>
                <w:szCs w:val="22"/>
                <w:lang w:val="en-US" w:eastAsia="zh-CN" w:bidi="ar-SA"/>
              </w:rPr>
            </w:pPr>
            <w:r>
              <w:rPr>
                <w:rFonts w:hint="default" w:ascii="宋体"/>
                <w:color w:val="000000"/>
                <w:kern w:val="0"/>
              </w:rPr>
              <w:t>422.19</w:t>
            </w:r>
          </w:p>
        </w:tc>
        <w:tc>
          <w:tcPr>
            <w:tcW w:w="2024"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2184" w:type="dxa"/>
            <w:tcBorders>
              <w:top w:val="single" w:color="000000" w:sz="4" w:space="0"/>
              <w:left w:val="nil"/>
              <w:bottom w:val="single" w:color="000000" w:sz="4" w:space="0"/>
              <w:right w:val="single" w:color="000000" w:sz="4" w:space="0"/>
            </w:tcBorders>
            <w:vAlign w:val="center"/>
          </w:tcPr>
          <w:p>
            <w:pPr>
              <w:jc w:val="center"/>
              <w:rPr>
                <w:rFonts w:hint="default"/>
              </w:rPr>
            </w:pPr>
          </w:p>
        </w:tc>
      </w:tr>
      <w:tr>
        <w:tblPrEx>
          <w:tblCellMar>
            <w:top w:w="0" w:type="dxa"/>
            <w:left w:w="108" w:type="dxa"/>
            <w:bottom w:w="0" w:type="dxa"/>
            <w:right w:w="108" w:type="dxa"/>
          </w:tblCellMar>
        </w:tblPrEx>
        <w:trPr>
          <w:trHeight w:val="340" w:hRule="exact"/>
        </w:trPr>
        <w:tc>
          <w:tcPr>
            <w:tcW w:w="2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b/>
                <w:color w:val="000000"/>
                <w:kern w:val="0"/>
              </w:rPr>
            </w:pPr>
            <w:r>
              <w:rPr>
                <w:rFonts w:ascii="宋体" w:hAnsi="宋体" w:cs="宋体"/>
                <w:b/>
                <w:color w:val="000000"/>
                <w:kern w:val="0"/>
                <w:szCs w:val="21"/>
              </w:rPr>
              <w:t>本年收入合计</w:t>
            </w: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eastAsia="宋体"/>
                <w:color w:val="000000"/>
                <w:kern w:val="0"/>
                <w:shd w:val="clear" w:color="auto" w:fill="FFFFFF"/>
                <w:lang w:val="en-US" w:eastAsia="zh-CN"/>
              </w:rPr>
            </w:pPr>
            <w:r>
              <w:rPr>
                <w:rFonts w:hint="eastAsia" w:ascii="宋体" w:hAnsi="宋体" w:cs="宋体"/>
                <w:color w:val="000000"/>
                <w:kern w:val="0"/>
                <w:szCs w:val="21"/>
                <w:lang w:val="en-US" w:eastAsia="zh-CN"/>
              </w:rPr>
              <w:t>11</w:t>
            </w:r>
          </w:p>
        </w:tc>
        <w:tc>
          <w:tcPr>
            <w:tcW w:w="1056" w:type="dxa"/>
            <w:gridSpan w:val="2"/>
            <w:tcBorders>
              <w:top w:val="single" w:color="000000" w:sz="4" w:space="0"/>
              <w:left w:val="nil"/>
              <w:bottom w:val="single" w:color="000000" w:sz="4" w:space="0"/>
              <w:right w:val="single" w:color="000000" w:sz="4" w:space="0"/>
            </w:tcBorders>
            <w:shd w:val="clear" w:color="auto" w:fill="auto"/>
            <w:vAlign w:val="center"/>
          </w:tcPr>
          <w:p>
            <w:pPr>
              <w:rPr>
                <w:rFonts w:hint="default" w:ascii="宋体"/>
                <w:color w:val="000000"/>
                <w:kern w:val="0"/>
              </w:rPr>
            </w:pPr>
            <w:r>
              <w:rPr>
                <w:rFonts w:hint="default" w:ascii="宋体"/>
                <w:color w:val="000000"/>
                <w:kern w:val="0"/>
              </w:rPr>
              <w:t>26720.89</w:t>
            </w:r>
          </w:p>
        </w:tc>
        <w:tc>
          <w:tcPr>
            <w:tcW w:w="2394"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default" w:ascii="宋体"/>
                <w:b/>
                <w:color w:val="000000"/>
                <w:kern w:val="0"/>
              </w:rPr>
            </w:pPr>
            <w:r>
              <w:rPr>
                <w:rFonts w:ascii="宋体" w:hAnsi="宋体" w:cs="宋体"/>
                <w:b/>
                <w:color w:val="000000"/>
                <w:kern w:val="0"/>
                <w:szCs w:val="21"/>
              </w:rPr>
              <w:t>本年支出合计</w:t>
            </w: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eastAsia="宋体"/>
                <w:color w:val="000000"/>
                <w:kern w:val="0"/>
                <w:shd w:val="clear" w:color="auto" w:fill="FFFFFF"/>
                <w:lang w:eastAsia="zh-CN"/>
              </w:rPr>
            </w:pPr>
            <w:r>
              <w:rPr>
                <w:rFonts w:ascii="宋体" w:hAnsi="宋体" w:cs="宋体"/>
                <w:color w:val="000000"/>
                <w:kern w:val="0"/>
                <w:szCs w:val="21"/>
              </w:rPr>
              <w:t>2</w:t>
            </w:r>
            <w:r>
              <w:rPr>
                <w:rFonts w:hint="eastAsia" w:ascii="宋体" w:hAnsi="宋体" w:cs="宋体"/>
                <w:color w:val="000000"/>
                <w:kern w:val="0"/>
                <w:szCs w:val="21"/>
                <w:lang w:val="en-US" w:eastAsia="zh-CN"/>
              </w:rPr>
              <w:t>7</w:t>
            </w:r>
          </w:p>
        </w:tc>
        <w:tc>
          <w:tcPr>
            <w:tcW w:w="1056" w:type="dxa"/>
            <w:tcBorders>
              <w:top w:val="single" w:color="000000" w:sz="4" w:space="0"/>
              <w:left w:val="nil"/>
              <w:bottom w:val="single" w:color="000000" w:sz="4" w:space="0"/>
              <w:right w:val="single" w:color="000000" w:sz="4" w:space="0"/>
            </w:tcBorders>
            <w:shd w:val="clear" w:color="auto" w:fill="FFFFFF"/>
            <w:vAlign w:val="center"/>
          </w:tcPr>
          <w:p>
            <w:pPr>
              <w:jc w:val="center"/>
              <w:rPr>
                <w:rFonts w:hint="default" w:ascii="宋体"/>
                <w:color w:val="000000"/>
                <w:kern w:val="0"/>
                <w:shd w:val="clear" w:color="auto" w:fill="FFFFFF"/>
              </w:rPr>
            </w:pPr>
            <w:r>
              <w:rPr>
                <w:rFonts w:hint="default" w:ascii="宋体"/>
                <w:color w:val="000000"/>
                <w:kern w:val="0"/>
                <w:shd w:val="clear" w:color="auto" w:fill="FFFFFF"/>
              </w:rPr>
              <w:t>33692.31</w:t>
            </w:r>
          </w:p>
        </w:tc>
        <w:tc>
          <w:tcPr>
            <w:tcW w:w="2015" w:type="dxa"/>
            <w:tcBorders>
              <w:top w:val="single" w:color="000000" w:sz="4" w:space="0"/>
              <w:left w:val="nil"/>
              <w:bottom w:val="single" w:color="000000" w:sz="4" w:space="0"/>
              <w:right w:val="single" w:color="000000" w:sz="4" w:space="0"/>
            </w:tcBorders>
            <w:shd w:val="clear" w:color="auto" w:fill="FFFFFF"/>
            <w:vAlign w:val="center"/>
          </w:tcPr>
          <w:p>
            <w:pPr>
              <w:jc w:val="center"/>
              <w:rPr>
                <w:rFonts w:hint="default" w:ascii="宋体"/>
                <w:color w:val="000000"/>
                <w:kern w:val="0"/>
                <w:shd w:val="clear" w:color="auto" w:fill="FFFFFF"/>
              </w:rPr>
            </w:pPr>
            <w:r>
              <w:rPr>
                <w:rFonts w:hint="default" w:ascii="宋体"/>
                <w:color w:val="000000"/>
                <w:kern w:val="0"/>
                <w:shd w:val="clear" w:color="auto" w:fill="FFFFFF"/>
              </w:rPr>
              <w:t>33692.31</w:t>
            </w:r>
          </w:p>
        </w:tc>
        <w:tc>
          <w:tcPr>
            <w:tcW w:w="2024" w:type="dxa"/>
            <w:tcBorders>
              <w:top w:val="single" w:color="000000" w:sz="4" w:space="0"/>
              <w:left w:val="nil"/>
              <w:bottom w:val="single" w:color="000000" w:sz="4" w:space="0"/>
              <w:right w:val="single" w:color="000000" w:sz="4" w:space="0"/>
            </w:tcBorders>
            <w:vAlign w:val="center"/>
          </w:tcPr>
          <w:p>
            <w:pPr>
              <w:jc w:val="left"/>
              <w:rPr>
                <w:rFonts w:hint="default" w:ascii="宋体"/>
                <w:b/>
                <w:color w:val="000000"/>
                <w:kern w:val="0"/>
              </w:rPr>
            </w:pPr>
          </w:p>
        </w:tc>
        <w:tc>
          <w:tcPr>
            <w:tcW w:w="2184" w:type="dxa"/>
            <w:tcBorders>
              <w:top w:val="single" w:color="000000" w:sz="4" w:space="0"/>
              <w:left w:val="nil"/>
              <w:bottom w:val="single" w:color="000000" w:sz="4" w:space="0"/>
              <w:right w:val="single" w:color="000000" w:sz="4" w:space="0"/>
            </w:tcBorders>
            <w:vAlign w:val="center"/>
          </w:tcPr>
          <w:p>
            <w:pPr>
              <w:jc w:val="left"/>
              <w:rPr>
                <w:rFonts w:hint="default"/>
              </w:rPr>
            </w:pPr>
          </w:p>
        </w:tc>
      </w:tr>
      <w:tr>
        <w:tblPrEx>
          <w:tblCellMar>
            <w:top w:w="0" w:type="dxa"/>
            <w:left w:w="108" w:type="dxa"/>
            <w:bottom w:w="0" w:type="dxa"/>
            <w:right w:w="108" w:type="dxa"/>
          </w:tblCellMar>
        </w:tblPrEx>
        <w:trPr>
          <w:trHeight w:val="340" w:hRule="exact"/>
        </w:trPr>
        <w:tc>
          <w:tcPr>
            <w:tcW w:w="2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color w:val="000000"/>
                <w:kern w:val="0"/>
              </w:rPr>
            </w:pPr>
            <w:r>
              <w:rPr>
                <w:rFonts w:ascii="宋体" w:hAnsi="宋体" w:cs="宋体"/>
                <w:color w:val="000000"/>
                <w:kern w:val="0"/>
                <w:szCs w:val="21"/>
              </w:rPr>
              <w:t>年初财政拨款结转和结余</w:t>
            </w: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eastAsia="宋体"/>
                <w:color w:val="000000"/>
                <w:kern w:val="0"/>
                <w:shd w:val="clear" w:color="auto" w:fill="FFFFFF"/>
                <w:lang w:val="en-US" w:eastAsia="zh-CN"/>
              </w:rPr>
            </w:pPr>
            <w:r>
              <w:rPr>
                <w:rFonts w:hint="eastAsia" w:ascii="宋体" w:hAnsi="宋体" w:cs="宋体"/>
                <w:color w:val="000000"/>
                <w:kern w:val="0"/>
                <w:szCs w:val="21"/>
                <w:lang w:val="en-US" w:eastAsia="zh-CN"/>
              </w:rPr>
              <w:t>12</w:t>
            </w:r>
          </w:p>
        </w:tc>
        <w:tc>
          <w:tcPr>
            <w:tcW w:w="1056" w:type="dxa"/>
            <w:gridSpan w:val="2"/>
            <w:tcBorders>
              <w:top w:val="single" w:color="000000" w:sz="4" w:space="0"/>
              <w:left w:val="nil"/>
              <w:bottom w:val="single" w:color="000000" w:sz="4" w:space="0"/>
              <w:right w:val="single" w:color="000000" w:sz="4" w:space="0"/>
            </w:tcBorders>
            <w:shd w:val="clear" w:color="auto" w:fill="auto"/>
            <w:vAlign w:val="center"/>
          </w:tcPr>
          <w:p>
            <w:pPr>
              <w:rPr>
                <w:rFonts w:hint="default" w:ascii="宋体"/>
                <w:color w:val="000000"/>
                <w:kern w:val="0"/>
              </w:rPr>
            </w:pPr>
            <w:r>
              <w:rPr>
                <w:rFonts w:hint="default" w:ascii="宋体"/>
                <w:color w:val="000000"/>
                <w:kern w:val="0"/>
              </w:rPr>
              <w:t>7203.78</w:t>
            </w:r>
          </w:p>
        </w:tc>
        <w:tc>
          <w:tcPr>
            <w:tcW w:w="2394" w:type="dxa"/>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hint="default" w:ascii="宋体"/>
                <w:color w:val="000000"/>
                <w:kern w:val="0"/>
              </w:rPr>
            </w:pPr>
            <w:r>
              <w:rPr>
                <w:rFonts w:ascii="宋体" w:hAnsi="宋体" w:cs="宋体"/>
                <w:color w:val="000000"/>
                <w:kern w:val="0"/>
                <w:szCs w:val="21"/>
              </w:rPr>
              <w:t>年末财政拨款结转和结余</w:t>
            </w: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eastAsia="宋体"/>
                <w:color w:val="000000"/>
                <w:kern w:val="0"/>
                <w:shd w:val="clear" w:color="auto" w:fill="FFFFFF"/>
                <w:lang w:eastAsia="zh-CN"/>
              </w:rPr>
            </w:pPr>
            <w:r>
              <w:rPr>
                <w:rFonts w:ascii="宋体" w:hAnsi="宋体" w:cs="宋体"/>
                <w:color w:val="000000"/>
                <w:kern w:val="0"/>
                <w:szCs w:val="21"/>
              </w:rPr>
              <w:t>2</w:t>
            </w:r>
            <w:r>
              <w:rPr>
                <w:rFonts w:hint="eastAsia" w:ascii="宋体" w:hAnsi="宋体" w:cs="宋体"/>
                <w:color w:val="000000"/>
                <w:kern w:val="0"/>
                <w:szCs w:val="21"/>
                <w:lang w:val="en-US" w:eastAsia="zh-CN"/>
              </w:rPr>
              <w:t>8</w:t>
            </w:r>
          </w:p>
        </w:tc>
        <w:tc>
          <w:tcPr>
            <w:tcW w:w="1056" w:type="dxa"/>
            <w:tcBorders>
              <w:top w:val="single" w:color="000000" w:sz="4" w:space="0"/>
              <w:left w:val="nil"/>
              <w:bottom w:val="single" w:color="000000" w:sz="4" w:space="0"/>
              <w:right w:val="single" w:color="000000" w:sz="4" w:space="0"/>
            </w:tcBorders>
            <w:shd w:val="clear" w:color="auto" w:fill="FFFFFF"/>
            <w:vAlign w:val="center"/>
          </w:tcPr>
          <w:p>
            <w:pPr>
              <w:jc w:val="center"/>
              <w:rPr>
                <w:rFonts w:hint="default" w:ascii="宋体"/>
                <w:color w:val="000000"/>
                <w:kern w:val="0"/>
                <w:shd w:val="clear" w:color="auto" w:fill="FFFFFF"/>
              </w:rPr>
            </w:pPr>
            <w:r>
              <w:rPr>
                <w:rFonts w:hint="default" w:ascii="宋体"/>
                <w:color w:val="000000"/>
                <w:kern w:val="0"/>
                <w:shd w:val="clear" w:color="auto" w:fill="FFFFFF"/>
              </w:rPr>
              <w:t>232.36</w:t>
            </w:r>
          </w:p>
        </w:tc>
        <w:tc>
          <w:tcPr>
            <w:tcW w:w="2015" w:type="dxa"/>
            <w:tcBorders>
              <w:top w:val="single" w:color="000000" w:sz="4" w:space="0"/>
              <w:left w:val="nil"/>
              <w:bottom w:val="single" w:color="000000" w:sz="4" w:space="0"/>
              <w:right w:val="single" w:color="000000" w:sz="4" w:space="0"/>
            </w:tcBorders>
            <w:shd w:val="clear" w:color="auto" w:fill="FFFFFF"/>
            <w:vAlign w:val="center"/>
          </w:tcPr>
          <w:p>
            <w:pPr>
              <w:jc w:val="center"/>
              <w:rPr>
                <w:rFonts w:hint="default" w:ascii="宋体"/>
                <w:color w:val="000000"/>
                <w:kern w:val="0"/>
                <w:shd w:val="clear" w:color="auto" w:fill="FFFFFF"/>
              </w:rPr>
            </w:pPr>
            <w:r>
              <w:rPr>
                <w:rFonts w:hint="default" w:ascii="宋体"/>
                <w:color w:val="000000"/>
                <w:kern w:val="0"/>
                <w:shd w:val="clear" w:color="auto" w:fill="FFFFFF"/>
              </w:rPr>
              <w:t>232.36</w:t>
            </w:r>
          </w:p>
        </w:tc>
        <w:tc>
          <w:tcPr>
            <w:tcW w:w="2024" w:type="dxa"/>
            <w:tcBorders>
              <w:top w:val="single" w:color="000000" w:sz="4" w:space="0"/>
              <w:left w:val="nil"/>
              <w:bottom w:val="single" w:color="000000" w:sz="4" w:space="0"/>
              <w:right w:val="single" w:color="000000" w:sz="4" w:space="0"/>
            </w:tcBorders>
            <w:vAlign w:val="center"/>
          </w:tcPr>
          <w:p>
            <w:pPr>
              <w:jc w:val="left"/>
              <w:rPr>
                <w:rFonts w:hint="default" w:ascii="宋体"/>
                <w:color w:val="000000"/>
                <w:kern w:val="0"/>
              </w:rPr>
            </w:pPr>
          </w:p>
        </w:tc>
        <w:tc>
          <w:tcPr>
            <w:tcW w:w="2184" w:type="dxa"/>
            <w:tcBorders>
              <w:top w:val="single" w:color="000000" w:sz="4" w:space="0"/>
              <w:left w:val="nil"/>
              <w:bottom w:val="single" w:color="000000" w:sz="4" w:space="0"/>
              <w:right w:val="single" w:color="000000" w:sz="4" w:space="0"/>
            </w:tcBorders>
            <w:vAlign w:val="center"/>
          </w:tcPr>
          <w:p>
            <w:pPr>
              <w:jc w:val="left"/>
              <w:rPr>
                <w:rFonts w:hint="default"/>
              </w:rPr>
            </w:pPr>
          </w:p>
        </w:tc>
      </w:tr>
      <w:tr>
        <w:tblPrEx>
          <w:tblCellMar>
            <w:top w:w="0" w:type="dxa"/>
            <w:left w:w="108" w:type="dxa"/>
            <w:bottom w:w="0" w:type="dxa"/>
            <w:right w:w="108" w:type="dxa"/>
          </w:tblCellMar>
        </w:tblPrEx>
        <w:trPr>
          <w:trHeight w:val="340" w:hRule="exact"/>
        </w:trPr>
        <w:tc>
          <w:tcPr>
            <w:tcW w:w="2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color w:val="000000"/>
                <w:kern w:val="0"/>
              </w:rPr>
            </w:pPr>
            <w:r>
              <w:rPr>
                <w:rFonts w:ascii="宋体" w:hAnsi="宋体" w:cs="宋体"/>
                <w:color w:val="000000"/>
                <w:kern w:val="0"/>
                <w:szCs w:val="21"/>
              </w:rPr>
              <w:t xml:space="preserve">  一般公共预算财政拨款</w:t>
            </w: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eastAsia="宋体"/>
                <w:color w:val="000000"/>
                <w:kern w:val="0"/>
                <w:shd w:val="clear" w:color="auto" w:fill="FFFFFF"/>
                <w:lang w:val="en-US" w:eastAsia="zh-CN"/>
              </w:rPr>
            </w:pPr>
            <w:r>
              <w:rPr>
                <w:rFonts w:hint="eastAsia" w:ascii="宋体" w:hAnsi="宋体" w:cs="宋体"/>
                <w:color w:val="000000"/>
                <w:kern w:val="0"/>
                <w:szCs w:val="21"/>
                <w:lang w:val="en-US" w:eastAsia="zh-CN"/>
              </w:rPr>
              <w:t>13</w:t>
            </w:r>
          </w:p>
        </w:tc>
        <w:tc>
          <w:tcPr>
            <w:tcW w:w="1056" w:type="dxa"/>
            <w:gridSpan w:val="2"/>
            <w:tcBorders>
              <w:top w:val="single" w:color="000000" w:sz="4" w:space="0"/>
              <w:left w:val="nil"/>
              <w:bottom w:val="single" w:color="000000" w:sz="4" w:space="0"/>
              <w:right w:val="single" w:color="000000" w:sz="4" w:space="0"/>
            </w:tcBorders>
            <w:shd w:val="clear" w:color="auto" w:fill="auto"/>
            <w:vAlign w:val="center"/>
          </w:tcPr>
          <w:p>
            <w:pPr>
              <w:rPr>
                <w:rFonts w:hint="default" w:ascii="宋体"/>
                <w:color w:val="000000"/>
                <w:kern w:val="0"/>
              </w:rPr>
            </w:pPr>
            <w:r>
              <w:rPr>
                <w:rFonts w:hint="default" w:ascii="宋体"/>
                <w:color w:val="000000"/>
                <w:kern w:val="0"/>
              </w:rPr>
              <w:t>7203.78</w:t>
            </w:r>
          </w:p>
        </w:tc>
        <w:tc>
          <w:tcPr>
            <w:tcW w:w="2394" w:type="dxa"/>
            <w:tcBorders>
              <w:top w:val="single" w:color="000000" w:sz="4" w:space="0"/>
              <w:left w:val="nil"/>
              <w:bottom w:val="single" w:color="000000" w:sz="4" w:space="0"/>
              <w:right w:val="single" w:color="000000" w:sz="4" w:space="0"/>
            </w:tcBorders>
            <w:shd w:val="clear" w:color="auto" w:fill="auto"/>
            <w:vAlign w:val="center"/>
          </w:tcPr>
          <w:p>
            <w:pPr>
              <w:jc w:val="left"/>
              <w:rPr>
                <w:rFonts w:hint="default" w:ascii="宋体"/>
                <w:color w:val="000000"/>
                <w:kern w:val="0"/>
              </w:rPr>
            </w:pP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eastAsia="宋体"/>
                <w:color w:val="000000"/>
                <w:kern w:val="0"/>
                <w:shd w:val="clear" w:color="auto" w:fill="FFFFFF"/>
                <w:lang w:eastAsia="zh-CN"/>
              </w:rPr>
            </w:pPr>
            <w:r>
              <w:rPr>
                <w:rFonts w:ascii="宋体" w:hAnsi="宋体" w:cs="宋体"/>
                <w:color w:val="000000"/>
                <w:kern w:val="0"/>
                <w:szCs w:val="21"/>
              </w:rPr>
              <w:t>2</w:t>
            </w:r>
            <w:r>
              <w:rPr>
                <w:rFonts w:hint="eastAsia" w:ascii="宋体" w:hAnsi="宋体" w:cs="宋体"/>
                <w:color w:val="000000"/>
                <w:kern w:val="0"/>
                <w:szCs w:val="21"/>
                <w:lang w:val="en-US" w:eastAsia="zh-CN"/>
              </w:rPr>
              <w:t>9</w:t>
            </w:r>
          </w:p>
        </w:tc>
        <w:tc>
          <w:tcPr>
            <w:tcW w:w="1056" w:type="dxa"/>
            <w:tcBorders>
              <w:top w:val="single" w:color="000000" w:sz="4" w:space="0"/>
              <w:left w:val="nil"/>
              <w:bottom w:val="single" w:color="000000" w:sz="4" w:space="0"/>
              <w:right w:val="single" w:color="000000" w:sz="4" w:space="0"/>
            </w:tcBorders>
            <w:shd w:val="clear" w:color="auto" w:fill="FFFFFF"/>
            <w:vAlign w:val="center"/>
          </w:tcPr>
          <w:p>
            <w:pPr>
              <w:jc w:val="center"/>
              <w:rPr>
                <w:rFonts w:hint="default" w:ascii="宋体"/>
                <w:color w:val="000000"/>
                <w:kern w:val="0"/>
                <w:shd w:val="clear" w:color="auto" w:fill="FFFFFF"/>
              </w:rPr>
            </w:pPr>
          </w:p>
        </w:tc>
        <w:tc>
          <w:tcPr>
            <w:tcW w:w="2015" w:type="dxa"/>
            <w:tcBorders>
              <w:top w:val="single" w:color="000000" w:sz="4" w:space="0"/>
              <w:left w:val="nil"/>
              <w:bottom w:val="single" w:color="000000" w:sz="4" w:space="0"/>
              <w:right w:val="single" w:color="000000" w:sz="4" w:space="0"/>
            </w:tcBorders>
            <w:shd w:val="clear" w:color="auto" w:fill="FFFFFF"/>
            <w:vAlign w:val="center"/>
          </w:tcPr>
          <w:p>
            <w:pPr>
              <w:jc w:val="center"/>
              <w:rPr>
                <w:rFonts w:hint="default" w:ascii="宋体"/>
                <w:color w:val="000000"/>
                <w:kern w:val="0"/>
                <w:shd w:val="clear" w:color="auto" w:fill="FFFFFF"/>
              </w:rPr>
            </w:pPr>
          </w:p>
        </w:tc>
        <w:tc>
          <w:tcPr>
            <w:tcW w:w="2024" w:type="dxa"/>
            <w:tcBorders>
              <w:top w:val="single" w:color="000000" w:sz="4" w:space="0"/>
              <w:left w:val="nil"/>
              <w:bottom w:val="single" w:color="000000" w:sz="4" w:space="0"/>
              <w:right w:val="single" w:color="000000" w:sz="4" w:space="0"/>
            </w:tcBorders>
            <w:vAlign w:val="center"/>
          </w:tcPr>
          <w:p>
            <w:pPr>
              <w:jc w:val="left"/>
              <w:rPr>
                <w:rFonts w:hint="default" w:ascii="宋体"/>
                <w:color w:val="000000"/>
                <w:kern w:val="0"/>
              </w:rPr>
            </w:pPr>
          </w:p>
        </w:tc>
        <w:tc>
          <w:tcPr>
            <w:tcW w:w="2184" w:type="dxa"/>
            <w:tcBorders>
              <w:top w:val="single" w:color="000000" w:sz="4" w:space="0"/>
              <w:left w:val="nil"/>
              <w:bottom w:val="single" w:color="000000" w:sz="4" w:space="0"/>
              <w:right w:val="single" w:color="000000" w:sz="4" w:space="0"/>
            </w:tcBorders>
            <w:vAlign w:val="center"/>
          </w:tcPr>
          <w:p>
            <w:pPr>
              <w:jc w:val="left"/>
              <w:rPr>
                <w:rFonts w:hint="default"/>
              </w:rPr>
            </w:pPr>
          </w:p>
        </w:tc>
      </w:tr>
      <w:tr>
        <w:tblPrEx>
          <w:tblCellMar>
            <w:top w:w="0" w:type="dxa"/>
            <w:left w:w="108" w:type="dxa"/>
            <w:bottom w:w="0" w:type="dxa"/>
            <w:right w:w="108" w:type="dxa"/>
          </w:tblCellMar>
        </w:tblPrEx>
        <w:trPr>
          <w:trHeight w:val="340" w:hRule="exact"/>
        </w:trPr>
        <w:tc>
          <w:tcPr>
            <w:tcW w:w="2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color w:val="000000"/>
                <w:kern w:val="0"/>
              </w:rPr>
            </w:pPr>
            <w:r>
              <w:rPr>
                <w:rFonts w:ascii="宋体" w:hAnsi="宋体" w:cs="宋体"/>
                <w:color w:val="000000"/>
                <w:kern w:val="0"/>
                <w:szCs w:val="21"/>
              </w:rPr>
              <w:t xml:space="preserve">  政府性基金预算财政拨款</w:t>
            </w: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eastAsia="宋体"/>
                <w:color w:val="000000"/>
                <w:kern w:val="0"/>
                <w:shd w:val="clear" w:color="auto" w:fill="FFFFFF"/>
                <w:lang w:val="en-US" w:eastAsia="zh-CN"/>
              </w:rPr>
            </w:pPr>
            <w:r>
              <w:rPr>
                <w:rFonts w:hint="eastAsia" w:ascii="宋体" w:hAnsi="宋体" w:cs="宋体"/>
                <w:color w:val="000000"/>
                <w:kern w:val="0"/>
                <w:szCs w:val="21"/>
                <w:lang w:val="en-US" w:eastAsia="zh-CN"/>
              </w:rPr>
              <w:t>14</w:t>
            </w:r>
          </w:p>
        </w:tc>
        <w:tc>
          <w:tcPr>
            <w:tcW w:w="1056" w:type="dxa"/>
            <w:gridSpan w:val="2"/>
            <w:tcBorders>
              <w:top w:val="single" w:color="000000" w:sz="4" w:space="0"/>
              <w:left w:val="nil"/>
              <w:bottom w:val="single" w:color="000000" w:sz="4" w:space="0"/>
              <w:right w:val="single" w:color="000000" w:sz="4" w:space="0"/>
            </w:tcBorders>
            <w:shd w:val="clear" w:color="auto" w:fill="auto"/>
            <w:vAlign w:val="center"/>
          </w:tcPr>
          <w:p>
            <w:pPr>
              <w:rPr>
                <w:rFonts w:hint="default" w:ascii="宋体"/>
                <w:color w:val="000000"/>
                <w:kern w:val="0"/>
              </w:rPr>
            </w:pPr>
          </w:p>
        </w:tc>
        <w:tc>
          <w:tcPr>
            <w:tcW w:w="2394" w:type="dxa"/>
            <w:tcBorders>
              <w:top w:val="single" w:color="000000" w:sz="4" w:space="0"/>
              <w:left w:val="nil"/>
              <w:bottom w:val="single" w:color="000000" w:sz="4" w:space="0"/>
              <w:right w:val="single" w:color="000000" w:sz="4" w:space="0"/>
            </w:tcBorders>
            <w:shd w:val="clear" w:color="auto" w:fill="auto"/>
            <w:vAlign w:val="center"/>
          </w:tcPr>
          <w:p>
            <w:pPr>
              <w:jc w:val="left"/>
              <w:rPr>
                <w:rFonts w:hint="default" w:ascii="宋体"/>
                <w:color w:val="000000"/>
                <w:kern w:val="0"/>
              </w:rPr>
            </w:pP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eastAsia="宋体"/>
                <w:color w:val="000000"/>
                <w:kern w:val="0"/>
                <w:shd w:val="clear" w:color="auto" w:fill="FFFFFF"/>
                <w:lang w:val="en-US" w:eastAsia="zh-CN"/>
              </w:rPr>
            </w:pPr>
            <w:r>
              <w:rPr>
                <w:rFonts w:hint="eastAsia" w:ascii="宋体" w:hAnsi="宋体" w:cs="宋体"/>
                <w:color w:val="000000"/>
                <w:kern w:val="0"/>
                <w:szCs w:val="21"/>
                <w:lang w:val="en-US" w:eastAsia="zh-CN"/>
              </w:rPr>
              <w:t>30</w:t>
            </w:r>
          </w:p>
        </w:tc>
        <w:tc>
          <w:tcPr>
            <w:tcW w:w="1056" w:type="dxa"/>
            <w:tcBorders>
              <w:top w:val="single" w:color="000000" w:sz="4" w:space="0"/>
              <w:left w:val="nil"/>
              <w:bottom w:val="single" w:color="000000" w:sz="4" w:space="0"/>
              <w:right w:val="single" w:color="000000" w:sz="4" w:space="0"/>
            </w:tcBorders>
            <w:shd w:val="clear" w:color="auto" w:fill="FFFFFF"/>
            <w:vAlign w:val="center"/>
          </w:tcPr>
          <w:p>
            <w:pPr>
              <w:jc w:val="center"/>
              <w:rPr>
                <w:rFonts w:hint="default" w:ascii="宋体"/>
                <w:color w:val="000000"/>
                <w:kern w:val="0"/>
                <w:shd w:val="clear" w:color="auto" w:fill="FFFFFF"/>
              </w:rPr>
            </w:pPr>
          </w:p>
        </w:tc>
        <w:tc>
          <w:tcPr>
            <w:tcW w:w="2015" w:type="dxa"/>
            <w:tcBorders>
              <w:top w:val="single" w:color="000000" w:sz="4" w:space="0"/>
              <w:left w:val="nil"/>
              <w:bottom w:val="single" w:color="000000" w:sz="4" w:space="0"/>
              <w:right w:val="single" w:color="000000" w:sz="4" w:space="0"/>
            </w:tcBorders>
            <w:shd w:val="clear" w:color="auto" w:fill="FFFFFF"/>
            <w:vAlign w:val="center"/>
          </w:tcPr>
          <w:p>
            <w:pPr>
              <w:jc w:val="center"/>
              <w:rPr>
                <w:rFonts w:hint="default" w:ascii="宋体"/>
                <w:color w:val="000000"/>
                <w:kern w:val="0"/>
                <w:shd w:val="clear" w:color="auto" w:fill="FFFFFF"/>
              </w:rPr>
            </w:pPr>
          </w:p>
        </w:tc>
        <w:tc>
          <w:tcPr>
            <w:tcW w:w="2024" w:type="dxa"/>
            <w:tcBorders>
              <w:top w:val="single" w:color="000000" w:sz="4" w:space="0"/>
              <w:left w:val="nil"/>
              <w:bottom w:val="single" w:color="000000" w:sz="4" w:space="0"/>
              <w:right w:val="single" w:color="000000" w:sz="4" w:space="0"/>
            </w:tcBorders>
            <w:vAlign w:val="center"/>
          </w:tcPr>
          <w:p>
            <w:pPr>
              <w:jc w:val="left"/>
              <w:rPr>
                <w:rFonts w:hint="default" w:ascii="宋体"/>
                <w:color w:val="000000"/>
                <w:kern w:val="0"/>
              </w:rPr>
            </w:pPr>
          </w:p>
        </w:tc>
        <w:tc>
          <w:tcPr>
            <w:tcW w:w="2184" w:type="dxa"/>
            <w:tcBorders>
              <w:top w:val="single" w:color="000000" w:sz="4" w:space="0"/>
              <w:left w:val="nil"/>
              <w:bottom w:val="single" w:color="000000" w:sz="4" w:space="0"/>
              <w:right w:val="single" w:color="000000" w:sz="4" w:space="0"/>
            </w:tcBorders>
            <w:vAlign w:val="center"/>
          </w:tcPr>
          <w:p>
            <w:pPr>
              <w:jc w:val="left"/>
              <w:rPr>
                <w:rFonts w:hint="default"/>
              </w:rPr>
            </w:pPr>
          </w:p>
        </w:tc>
      </w:tr>
      <w:tr>
        <w:tblPrEx>
          <w:tblCellMar>
            <w:top w:w="0" w:type="dxa"/>
            <w:left w:w="108" w:type="dxa"/>
            <w:bottom w:w="0" w:type="dxa"/>
            <w:right w:w="108" w:type="dxa"/>
          </w:tblCellMar>
        </w:tblPrEx>
        <w:trPr>
          <w:trHeight w:val="340" w:hRule="exact"/>
        </w:trPr>
        <w:tc>
          <w:tcPr>
            <w:tcW w:w="2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default" w:ascii="宋体"/>
                <w:color w:val="000000"/>
                <w:kern w:val="0"/>
              </w:rPr>
            </w:pPr>
            <w:r>
              <w:rPr>
                <w:rFonts w:ascii="宋体" w:hAnsi="宋体" w:cs="宋体"/>
                <w:color w:val="000000"/>
                <w:kern w:val="0"/>
                <w:szCs w:val="21"/>
              </w:rPr>
              <w:t xml:space="preserve">  国有资本经营预算财政拨款</w:t>
            </w: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eastAsia="宋体"/>
                <w:color w:val="000000"/>
                <w:kern w:val="0"/>
                <w:shd w:val="clear" w:color="auto" w:fill="FFFFFF"/>
                <w:lang w:val="en-US" w:eastAsia="zh-CN"/>
              </w:rPr>
            </w:pPr>
            <w:r>
              <w:rPr>
                <w:rFonts w:hint="eastAsia" w:ascii="宋体" w:hAnsi="宋体" w:cs="宋体"/>
                <w:color w:val="000000"/>
                <w:kern w:val="0"/>
                <w:szCs w:val="21"/>
                <w:lang w:val="en-US" w:eastAsia="zh-CN"/>
              </w:rPr>
              <w:t>15</w:t>
            </w:r>
          </w:p>
        </w:tc>
        <w:tc>
          <w:tcPr>
            <w:tcW w:w="1056" w:type="dxa"/>
            <w:gridSpan w:val="2"/>
            <w:tcBorders>
              <w:top w:val="single" w:color="000000" w:sz="4" w:space="0"/>
              <w:left w:val="nil"/>
              <w:bottom w:val="single" w:color="000000" w:sz="4" w:space="0"/>
              <w:right w:val="single" w:color="000000" w:sz="4" w:space="0"/>
            </w:tcBorders>
            <w:shd w:val="clear" w:color="auto" w:fill="auto"/>
            <w:vAlign w:val="center"/>
          </w:tcPr>
          <w:p>
            <w:pPr>
              <w:rPr>
                <w:rFonts w:hint="default" w:ascii="宋体"/>
                <w:color w:val="000000"/>
                <w:kern w:val="0"/>
              </w:rPr>
            </w:pPr>
          </w:p>
        </w:tc>
        <w:tc>
          <w:tcPr>
            <w:tcW w:w="2394" w:type="dxa"/>
            <w:tcBorders>
              <w:top w:val="single" w:color="000000" w:sz="4" w:space="0"/>
              <w:left w:val="nil"/>
              <w:bottom w:val="single" w:color="000000" w:sz="4" w:space="0"/>
              <w:right w:val="single" w:color="000000" w:sz="4" w:space="0"/>
            </w:tcBorders>
            <w:shd w:val="clear" w:color="auto" w:fill="auto"/>
            <w:vAlign w:val="center"/>
          </w:tcPr>
          <w:p>
            <w:pPr>
              <w:jc w:val="left"/>
              <w:rPr>
                <w:rFonts w:hint="default" w:ascii="宋体"/>
                <w:color w:val="000000"/>
                <w:kern w:val="0"/>
              </w:rPr>
            </w:pP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eastAsia="宋体"/>
                <w:color w:val="000000"/>
                <w:kern w:val="0"/>
                <w:shd w:val="clear" w:color="auto" w:fill="FFFFFF"/>
                <w:lang w:val="en-US" w:eastAsia="zh-CN"/>
              </w:rPr>
            </w:pPr>
            <w:r>
              <w:rPr>
                <w:rFonts w:hint="eastAsia" w:ascii="宋体" w:hAnsi="宋体" w:cs="宋体"/>
                <w:color w:val="000000"/>
                <w:kern w:val="0"/>
                <w:szCs w:val="21"/>
                <w:lang w:val="en-US" w:eastAsia="zh-CN"/>
              </w:rPr>
              <w:t>31</w:t>
            </w:r>
          </w:p>
        </w:tc>
        <w:tc>
          <w:tcPr>
            <w:tcW w:w="1056" w:type="dxa"/>
            <w:tcBorders>
              <w:top w:val="single" w:color="000000" w:sz="4" w:space="0"/>
              <w:left w:val="nil"/>
              <w:bottom w:val="single" w:color="000000" w:sz="4" w:space="0"/>
              <w:right w:val="single" w:color="000000" w:sz="4" w:space="0"/>
            </w:tcBorders>
            <w:shd w:val="clear" w:color="auto" w:fill="FFFFFF"/>
            <w:vAlign w:val="center"/>
          </w:tcPr>
          <w:p>
            <w:pPr>
              <w:jc w:val="center"/>
              <w:rPr>
                <w:rFonts w:hint="default" w:ascii="宋体"/>
                <w:color w:val="000000"/>
                <w:kern w:val="0"/>
                <w:shd w:val="clear" w:color="auto" w:fill="FFFFFF"/>
              </w:rPr>
            </w:pPr>
          </w:p>
        </w:tc>
        <w:tc>
          <w:tcPr>
            <w:tcW w:w="2015" w:type="dxa"/>
            <w:tcBorders>
              <w:top w:val="single" w:color="000000" w:sz="4" w:space="0"/>
              <w:left w:val="nil"/>
              <w:bottom w:val="single" w:color="000000" w:sz="4" w:space="0"/>
              <w:right w:val="single" w:color="000000" w:sz="4" w:space="0"/>
            </w:tcBorders>
            <w:shd w:val="clear" w:color="auto" w:fill="FFFFFF"/>
            <w:vAlign w:val="center"/>
          </w:tcPr>
          <w:p>
            <w:pPr>
              <w:jc w:val="center"/>
              <w:rPr>
                <w:rFonts w:hint="default" w:ascii="宋体"/>
                <w:color w:val="000000"/>
                <w:kern w:val="0"/>
                <w:shd w:val="clear" w:color="auto" w:fill="FFFFFF"/>
              </w:rPr>
            </w:pPr>
          </w:p>
        </w:tc>
        <w:tc>
          <w:tcPr>
            <w:tcW w:w="2024" w:type="dxa"/>
            <w:tcBorders>
              <w:top w:val="single" w:color="000000" w:sz="4" w:space="0"/>
              <w:left w:val="nil"/>
              <w:bottom w:val="single" w:color="000000" w:sz="4" w:space="0"/>
              <w:right w:val="single" w:color="000000" w:sz="4" w:space="0"/>
            </w:tcBorders>
            <w:vAlign w:val="center"/>
          </w:tcPr>
          <w:p>
            <w:pPr>
              <w:jc w:val="left"/>
              <w:rPr>
                <w:rFonts w:hint="default" w:ascii="宋体"/>
                <w:color w:val="000000"/>
                <w:kern w:val="0"/>
              </w:rPr>
            </w:pPr>
          </w:p>
        </w:tc>
        <w:tc>
          <w:tcPr>
            <w:tcW w:w="2184" w:type="dxa"/>
            <w:tcBorders>
              <w:top w:val="single" w:color="000000" w:sz="4" w:space="0"/>
              <w:left w:val="nil"/>
              <w:bottom w:val="single" w:color="000000" w:sz="4" w:space="0"/>
              <w:right w:val="single" w:color="000000" w:sz="4" w:space="0"/>
            </w:tcBorders>
            <w:vAlign w:val="center"/>
          </w:tcPr>
          <w:p>
            <w:pPr>
              <w:jc w:val="left"/>
              <w:rPr>
                <w:rFonts w:hint="default"/>
              </w:rPr>
            </w:pPr>
          </w:p>
        </w:tc>
      </w:tr>
      <w:tr>
        <w:tblPrEx>
          <w:tblCellMar>
            <w:top w:w="0" w:type="dxa"/>
            <w:left w:w="108" w:type="dxa"/>
            <w:bottom w:w="0" w:type="dxa"/>
            <w:right w:w="108" w:type="dxa"/>
          </w:tblCellMar>
        </w:tblPrEx>
        <w:trPr>
          <w:trHeight w:val="340" w:hRule="exact"/>
        </w:trPr>
        <w:tc>
          <w:tcPr>
            <w:tcW w:w="26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b/>
                <w:color w:val="000000"/>
                <w:kern w:val="0"/>
                <w:shd w:val="clear" w:color="auto" w:fill="FFFFFF"/>
              </w:rPr>
            </w:pPr>
            <w:r>
              <w:rPr>
                <w:rFonts w:ascii="宋体" w:hAnsi="宋体" w:cs="宋体"/>
                <w:b/>
                <w:color w:val="000000"/>
                <w:kern w:val="0"/>
                <w:szCs w:val="21"/>
              </w:rPr>
              <w:t>总计</w:t>
            </w: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eastAsia="宋体"/>
                <w:color w:val="000000"/>
                <w:kern w:val="0"/>
                <w:shd w:val="clear" w:color="auto" w:fill="FFFFFF"/>
                <w:lang w:val="en-US" w:eastAsia="zh-CN"/>
              </w:rPr>
            </w:pPr>
            <w:r>
              <w:rPr>
                <w:rFonts w:hint="eastAsia" w:ascii="宋体" w:hAnsi="宋体" w:cs="宋体"/>
                <w:color w:val="000000"/>
                <w:kern w:val="0"/>
                <w:szCs w:val="21"/>
                <w:lang w:val="en-US" w:eastAsia="zh-CN"/>
              </w:rPr>
              <w:t>16</w:t>
            </w:r>
          </w:p>
        </w:tc>
        <w:tc>
          <w:tcPr>
            <w:tcW w:w="1056" w:type="dxa"/>
            <w:gridSpan w:val="2"/>
            <w:tcBorders>
              <w:top w:val="single" w:color="000000" w:sz="4" w:space="0"/>
              <w:left w:val="nil"/>
              <w:bottom w:val="single" w:color="000000" w:sz="4" w:space="0"/>
              <w:right w:val="single" w:color="000000" w:sz="4" w:space="0"/>
            </w:tcBorders>
            <w:shd w:val="clear" w:color="auto" w:fill="auto"/>
            <w:vAlign w:val="center"/>
          </w:tcPr>
          <w:p>
            <w:pPr>
              <w:rPr>
                <w:rFonts w:hint="default" w:ascii="宋体"/>
                <w:color w:val="000000"/>
                <w:kern w:val="0"/>
              </w:rPr>
            </w:pPr>
            <w:r>
              <w:rPr>
                <w:rFonts w:hint="default" w:ascii="宋体"/>
                <w:color w:val="000000"/>
                <w:kern w:val="0"/>
              </w:rPr>
              <w:t>33924.67</w:t>
            </w:r>
          </w:p>
        </w:tc>
        <w:tc>
          <w:tcPr>
            <w:tcW w:w="2394"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b/>
                <w:color w:val="000000"/>
                <w:kern w:val="0"/>
                <w:shd w:val="clear" w:color="auto" w:fill="FFFFFF"/>
              </w:rPr>
            </w:pPr>
            <w:r>
              <w:rPr>
                <w:rFonts w:ascii="宋体" w:hAnsi="宋体" w:cs="宋体"/>
                <w:b/>
                <w:color w:val="000000"/>
                <w:kern w:val="0"/>
                <w:szCs w:val="21"/>
              </w:rPr>
              <w:t>总计</w:t>
            </w:r>
          </w:p>
        </w:tc>
        <w:tc>
          <w:tcPr>
            <w:tcW w:w="5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default" w:ascii="宋体" w:eastAsia="宋体"/>
                <w:color w:val="000000"/>
                <w:kern w:val="0"/>
                <w:shd w:val="clear" w:color="auto" w:fill="FFFFFF"/>
                <w:lang w:val="en-US" w:eastAsia="zh-CN"/>
              </w:rPr>
            </w:pPr>
            <w:r>
              <w:rPr>
                <w:rFonts w:hint="eastAsia" w:ascii="宋体" w:hAnsi="宋体" w:cs="宋体"/>
                <w:color w:val="000000"/>
                <w:kern w:val="0"/>
                <w:szCs w:val="21"/>
                <w:lang w:val="en-US" w:eastAsia="zh-CN"/>
              </w:rPr>
              <w:t>32</w:t>
            </w:r>
          </w:p>
        </w:tc>
        <w:tc>
          <w:tcPr>
            <w:tcW w:w="1056" w:type="dxa"/>
            <w:tcBorders>
              <w:top w:val="single" w:color="000000" w:sz="4" w:space="0"/>
              <w:left w:val="nil"/>
              <w:bottom w:val="single" w:color="000000" w:sz="4" w:space="0"/>
              <w:right w:val="single" w:color="000000" w:sz="4" w:space="0"/>
            </w:tcBorders>
            <w:shd w:val="clear" w:color="auto" w:fill="FFFFFF"/>
            <w:vAlign w:val="center"/>
          </w:tcPr>
          <w:p>
            <w:pPr>
              <w:jc w:val="center"/>
              <w:rPr>
                <w:rFonts w:hint="default" w:ascii="宋体"/>
                <w:color w:val="000000"/>
                <w:kern w:val="0"/>
                <w:shd w:val="clear" w:color="auto" w:fill="FFFFFF"/>
              </w:rPr>
            </w:pPr>
            <w:r>
              <w:rPr>
                <w:rFonts w:hint="default" w:ascii="宋体"/>
                <w:color w:val="000000"/>
                <w:kern w:val="0"/>
                <w:shd w:val="clear" w:color="auto" w:fill="FFFFFF"/>
              </w:rPr>
              <w:t>33924.67</w:t>
            </w:r>
          </w:p>
        </w:tc>
        <w:tc>
          <w:tcPr>
            <w:tcW w:w="2015" w:type="dxa"/>
            <w:tcBorders>
              <w:top w:val="single" w:color="000000" w:sz="4" w:space="0"/>
              <w:left w:val="nil"/>
              <w:bottom w:val="single" w:color="000000" w:sz="4" w:space="0"/>
              <w:right w:val="single" w:color="000000" w:sz="4" w:space="0"/>
            </w:tcBorders>
            <w:shd w:val="clear" w:color="auto" w:fill="FFFFFF"/>
            <w:vAlign w:val="center"/>
          </w:tcPr>
          <w:p>
            <w:pPr>
              <w:jc w:val="center"/>
              <w:rPr>
                <w:rFonts w:hint="default" w:ascii="宋体"/>
                <w:color w:val="000000"/>
                <w:kern w:val="0"/>
                <w:shd w:val="clear" w:color="auto" w:fill="FFFFFF"/>
              </w:rPr>
            </w:pPr>
            <w:r>
              <w:rPr>
                <w:rFonts w:hint="default" w:ascii="宋体"/>
                <w:color w:val="000000"/>
                <w:kern w:val="0"/>
                <w:shd w:val="clear" w:color="auto" w:fill="FFFFFF"/>
              </w:rPr>
              <w:t>33924.67</w:t>
            </w:r>
          </w:p>
        </w:tc>
        <w:tc>
          <w:tcPr>
            <w:tcW w:w="2024" w:type="dxa"/>
            <w:tcBorders>
              <w:top w:val="single" w:color="000000" w:sz="4" w:space="0"/>
              <w:left w:val="nil"/>
              <w:bottom w:val="single" w:color="000000" w:sz="4" w:space="0"/>
              <w:right w:val="single" w:color="000000" w:sz="4" w:space="0"/>
            </w:tcBorders>
            <w:vAlign w:val="center"/>
          </w:tcPr>
          <w:p>
            <w:pPr>
              <w:rPr>
                <w:rFonts w:hint="default" w:ascii="宋体"/>
                <w:b/>
                <w:color w:val="000000"/>
                <w:kern w:val="0"/>
              </w:rPr>
            </w:pPr>
          </w:p>
        </w:tc>
        <w:tc>
          <w:tcPr>
            <w:tcW w:w="2184" w:type="dxa"/>
            <w:tcBorders>
              <w:top w:val="single" w:color="000000" w:sz="4" w:space="0"/>
              <w:left w:val="nil"/>
              <w:bottom w:val="single" w:color="000000" w:sz="4" w:space="0"/>
              <w:right w:val="single" w:color="000000" w:sz="4" w:space="0"/>
            </w:tcBorders>
            <w:vAlign w:val="center"/>
          </w:tcPr>
          <w:p>
            <w:pPr>
              <w:rPr>
                <w:rFonts w:hint="default"/>
              </w:rPr>
            </w:pPr>
          </w:p>
        </w:tc>
      </w:tr>
    </w:tbl>
    <w:p>
      <w:pPr>
        <w:widowControl/>
        <w:spacing w:line="560" w:lineRule="atLeast"/>
        <w:jc w:val="left"/>
        <w:rPr>
          <w:rFonts w:hint="default" w:ascii="宋体" w:hAnsi="宋体" w:cs="宋体"/>
          <w:kern w:val="0"/>
          <w:szCs w:val="21"/>
        </w:rPr>
      </w:pPr>
      <w:r>
        <w:rPr>
          <w:rFonts w:ascii="宋体" w:hAnsi="宋体" w:cs="宋体"/>
          <w:kern w:val="0"/>
          <w:szCs w:val="21"/>
        </w:rPr>
        <w:t>注：1.本表反映部门本年度一般公共预算财政拨款、政府性基金预算财政拨款和国有资本经营预算财政拨款的总收支和年末结转结余情况。</w:t>
      </w:r>
    </w:p>
    <w:p>
      <w:pPr>
        <w:widowControl/>
        <w:spacing w:line="560" w:lineRule="atLeast"/>
        <w:jc w:val="left"/>
        <w:rPr>
          <w:rFonts w:hint="default" w:ascii="仿宋_GB2312" w:hAnsi="宋体" w:eastAsia="仿宋_GB2312"/>
          <w:kern w:val="0"/>
          <w:sz w:val="24"/>
        </w:rPr>
      </w:pPr>
      <w:r>
        <w:rPr>
          <w:rFonts w:ascii="宋体" w:hAnsi="宋体" w:cs="宋体"/>
          <w:kern w:val="0"/>
          <w:szCs w:val="21"/>
        </w:rPr>
        <w:t>2.本套报表金额单位转换时可能存在尾数误差。3.如本表为空，则我部门本年度无此类资金收支余。</w:t>
      </w:r>
    </w:p>
    <w:p>
      <w:pPr>
        <w:widowControl/>
        <w:spacing w:line="560" w:lineRule="atLeast"/>
        <w:rPr>
          <w:rFonts w:hint="default" w:ascii="仿宋_GB2312" w:hAnsi="宋体" w:eastAsia="仿宋_GB2312"/>
          <w:kern w:val="0"/>
          <w:sz w:val="24"/>
        </w:rPr>
      </w:pPr>
      <w:r>
        <w:rPr>
          <w:rFonts w:ascii="仿宋_GB2312" w:hAnsi="宋体" w:eastAsia="仿宋_GB2312"/>
          <w:kern w:val="0"/>
          <w:sz w:val="24"/>
        </w:rPr>
        <w:t>附件1-5</w:t>
      </w:r>
      <w:r>
        <w:rPr>
          <w:rFonts w:hint="eastAsia" w:ascii="仿宋_GB2312" w:hAnsi="宋体" w:eastAsia="仿宋_GB2312"/>
          <w:kern w:val="0"/>
          <w:sz w:val="24"/>
          <w:lang w:val="en-US" w:eastAsia="zh-CN"/>
        </w:rPr>
        <w:t xml:space="preserve">                                   </w:t>
      </w:r>
      <w:r>
        <w:rPr>
          <w:rFonts w:ascii="宋体" w:hAnsi="宋体" w:cs="宋体"/>
          <w:b/>
          <w:color w:val="000000"/>
          <w:kern w:val="0"/>
          <w:sz w:val="28"/>
          <w:szCs w:val="28"/>
        </w:rPr>
        <w:t>一般公共预算财政拨款支出决算表</w:t>
      </w:r>
    </w:p>
    <w:tbl>
      <w:tblPr>
        <w:tblStyle w:val="5"/>
        <w:tblW w:w="14174" w:type="dxa"/>
        <w:jc w:val="center"/>
        <w:tblLayout w:type="fixed"/>
        <w:tblCellMar>
          <w:top w:w="0" w:type="dxa"/>
          <w:left w:w="108" w:type="dxa"/>
          <w:bottom w:w="0" w:type="dxa"/>
          <w:right w:w="108" w:type="dxa"/>
        </w:tblCellMar>
      </w:tblPr>
      <w:tblGrid>
        <w:gridCol w:w="2205"/>
        <w:gridCol w:w="327"/>
        <w:gridCol w:w="1266"/>
        <w:gridCol w:w="1266"/>
        <w:gridCol w:w="1266"/>
        <w:gridCol w:w="517"/>
        <w:gridCol w:w="2015"/>
        <w:gridCol w:w="1266"/>
        <w:gridCol w:w="2044"/>
        <w:gridCol w:w="2002"/>
      </w:tblGrid>
      <w:tr>
        <w:tblPrEx>
          <w:tblCellMar>
            <w:top w:w="0" w:type="dxa"/>
            <w:left w:w="108" w:type="dxa"/>
            <w:bottom w:w="0" w:type="dxa"/>
            <w:right w:w="108" w:type="dxa"/>
          </w:tblCellMar>
        </w:tblPrEx>
        <w:trPr>
          <w:trHeight w:val="175" w:hRule="atLeast"/>
          <w:jc w:val="center"/>
        </w:trPr>
        <w:tc>
          <w:tcPr>
            <w:tcW w:w="2532" w:type="dxa"/>
            <w:gridSpan w:val="2"/>
            <w:tcBorders>
              <w:top w:val="nil"/>
              <w:left w:val="nil"/>
              <w:bottom w:val="nil"/>
              <w:right w:val="nil"/>
            </w:tcBorders>
            <w:shd w:val="clear" w:color="auto" w:fill="FFFFFF"/>
            <w:vAlign w:val="bottom"/>
          </w:tcPr>
          <w:p>
            <w:pPr>
              <w:jc w:val="left"/>
              <w:rPr>
                <w:rFonts w:hint="default" w:ascii="宋体"/>
                <w:color w:val="000000"/>
                <w:kern w:val="0"/>
                <w:sz w:val="18"/>
                <w:shd w:val="clear" w:color="auto" w:fill="FFFFFF"/>
              </w:rPr>
            </w:pPr>
          </w:p>
        </w:tc>
        <w:tc>
          <w:tcPr>
            <w:tcW w:w="1266" w:type="dxa"/>
            <w:tcBorders>
              <w:top w:val="nil"/>
              <w:left w:val="nil"/>
              <w:bottom w:val="nil"/>
              <w:right w:val="nil"/>
            </w:tcBorders>
            <w:shd w:val="clear" w:color="auto" w:fill="FFFFFF"/>
            <w:vAlign w:val="bottom"/>
          </w:tcPr>
          <w:p>
            <w:pPr>
              <w:jc w:val="left"/>
              <w:rPr>
                <w:rFonts w:hint="default" w:ascii="宋体"/>
                <w:color w:val="000000"/>
                <w:kern w:val="0"/>
                <w:sz w:val="18"/>
                <w:shd w:val="clear" w:color="auto" w:fill="FFFFFF"/>
              </w:rPr>
            </w:pPr>
          </w:p>
        </w:tc>
        <w:tc>
          <w:tcPr>
            <w:tcW w:w="1266" w:type="dxa"/>
            <w:tcBorders>
              <w:top w:val="nil"/>
              <w:left w:val="nil"/>
              <w:bottom w:val="nil"/>
              <w:right w:val="nil"/>
            </w:tcBorders>
            <w:shd w:val="clear" w:color="auto" w:fill="FFFFFF"/>
            <w:vAlign w:val="bottom"/>
          </w:tcPr>
          <w:p>
            <w:pPr>
              <w:jc w:val="left"/>
              <w:rPr>
                <w:rFonts w:hint="default" w:ascii="宋体"/>
                <w:color w:val="000000"/>
                <w:kern w:val="0"/>
                <w:sz w:val="18"/>
                <w:shd w:val="clear" w:color="auto" w:fill="FFFFFF"/>
              </w:rPr>
            </w:pPr>
          </w:p>
        </w:tc>
        <w:tc>
          <w:tcPr>
            <w:tcW w:w="1266" w:type="dxa"/>
            <w:tcBorders>
              <w:top w:val="nil"/>
              <w:left w:val="nil"/>
              <w:bottom w:val="nil"/>
              <w:right w:val="nil"/>
            </w:tcBorders>
            <w:shd w:val="clear" w:color="auto" w:fill="FFFFFF"/>
            <w:vAlign w:val="bottom"/>
          </w:tcPr>
          <w:p>
            <w:pPr>
              <w:jc w:val="left"/>
              <w:rPr>
                <w:rFonts w:hint="default" w:ascii="宋体"/>
                <w:color w:val="000000"/>
                <w:kern w:val="0"/>
                <w:sz w:val="18"/>
                <w:shd w:val="clear" w:color="auto" w:fill="FFFFFF"/>
              </w:rPr>
            </w:pPr>
          </w:p>
        </w:tc>
        <w:tc>
          <w:tcPr>
            <w:tcW w:w="517" w:type="dxa"/>
            <w:tcBorders>
              <w:top w:val="nil"/>
              <w:left w:val="nil"/>
              <w:bottom w:val="nil"/>
              <w:right w:val="nil"/>
            </w:tcBorders>
            <w:shd w:val="clear" w:color="auto" w:fill="FFFFFF"/>
            <w:vAlign w:val="bottom"/>
          </w:tcPr>
          <w:p>
            <w:pPr>
              <w:jc w:val="left"/>
              <w:rPr>
                <w:rFonts w:hint="default" w:ascii="宋体"/>
                <w:color w:val="000000"/>
                <w:kern w:val="0"/>
                <w:sz w:val="18"/>
                <w:shd w:val="clear" w:color="auto" w:fill="FFFFFF"/>
              </w:rPr>
            </w:pPr>
          </w:p>
        </w:tc>
        <w:tc>
          <w:tcPr>
            <w:tcW w:w="2015" w:type="dxa"/>
            <w:tcBorders>
              <w:top w:val="nil"/>
              <w:left w:val="nil"/>
              <w:bottom w:val="nil"/>
              <w:right w:val="nil"/>
            </w:tcBorders>
            <w:shd w:val="clear" w:color="auto" w:fill="FFFFFF"/>
            <w:vAlign w:val="bottom"/>
          </w:tcPr>
          <w:p>
            <w:pPr>
              <w:jc w:val="left"/>
              <w:rPr>
                <w:rFonts w:hint="default" w:ascii="宋体"/>
                <w:color w:val="000000"/>
                <w:kern w:val="0"/>
                <w:sz w:val="18"/>
                <w:shd w:val="clear" w:color="auto" w:fill="FFFFFF"/>
              </w:rPr>
            </w:pPr>
          </w:p>
        </w:tc>
        <w:tc>
          <w:tcPr>
            <w:tcW w:w="1266" w:type="dxa"/>
            <w:tcBorders>
              <w:top w:val="nil"/>
              <w:left w:val="nil"/>
              <w:bottom w:val="nil"/>
              <w:right w:val="nil"/>
            </w:tcBorders>
            <w:shd w:val="clear" w:color="auto" w:fill="FFFFFF"/>
            <w:vAlign w:val="bottom"/>
          </w:tcPr>
          <w:p>
            <w:pPr>
              <w:jc w:val="left"/>
              <w:rPr>
                <w:rFonts w:hint="default" w:ascii="宋体"/>
                <w:color w:val="000000"/>
                <w:kern w:val="0"/>
                <w:sz w:val="18"/>
                <w:shd w:val="clear" w:color="auto" w:fill="FFFFFF"/>
              </w:rPr>
            </w:pPr>
          </w:p>
        </w:tc>
        <w:tc>
          <w:tcPr>
            <w:tcW w:w="2044" w:type="dxa"/>
            <w:tcBorders>
              <w:top w:val="nil"/>
              <w:left w:val="nil"/>
              <w:bottom w:val="nil"/>
              <w:right w:val="nil"/>
            </w:tcBorders>
            <w:shd w:val="clear" w:color="auto" w:fill="FFFFFF"/>
            <w:vAlign w:val="bottom"/>
          </w:tcPr>
          <w:p>
            <w:pPr>
              <w:rPr>
                <w:rFonts w:hint="default" w:ascii="宋体"/>
                <w:color w:val="000000"/>
                <w:kern w:val="0"/>
                <w:shd w:val="clear" w:color="auto" w:fill="FFFFFF"/>
              </w:rPr>
            </w:pPr>
          </w:p>
        </w:tc>
        <w:tc>
          <w:tcPr>
            <w:tcW w:w="2002" w:type="dxa"/>
            <w:tcBorders>
              <w:top w:val="nil"/>
              <w:left w:val="nil"/>
              <w:bottom w:val="nil"/>
              <w:right w:val="nil"/>
            </w:tcBorders>
            <w:shd w:val="clear" w:color="auto" w:fill="FFFFFF"/>
            <w:vAlign w:val="bottom"/>
          </w:tcPr>
          <w:p>
            <w:pPr>
              <w:widowControl/>
              <w:jc w:val="right"/>
              <w:textAlignment w:val="bottom"/>
              <w:rPr>
                <w:rFonts w:hint="default"/>
              </w:rPr>
            </w:pPr>
            <w:r>
              <w:rPr>
                <w:rFonts w:ascii="宋体" w:hAnsi="宋体" w:cs="宋体"/>
                <w:color w:val="000000"/>
                <w:kern w:val="0"/>
                <w:szCs w:val="21"/>
              </w:rPr>
              <w:t>公开05表</w:t>
            </w:r>
          </w:p>
        </w:tc>
      </w:tr>
      <w:tr>
        <w:tblPrEx>
          <w:tblCellMar>
            <w:top w:w="0" w:type="dxa"/>
            <w:left w:w="108" w:type="dxa"/>
            <w:bottom w:w="0" w:type="dxa"/>
            <w:right w:w="108" w:type="dxa"/>
          </w:tblCellMar>
        </w:tblPrEx>
        <w:trPr>
          <w:trHeight w:val="285" w:hRule="atLeast"/>
          <w:jc w:val="center"/>
        </w:trPr>
        <w:tc>
          <w:tcPr>
            <w:tcW w:w="2532" w:type="dxa"/>
            <w:gridSpan w:val="2"/>
            <w:tcBorders>
              <w:top w:val="nil"/>
              <w:left w:val="nil"/>
              <w:bottom w:val="nil"/>
              <w:right w:val="nil"/>
            </w:tcBorders>
            <w:shd w:val="clear" w:color="auto" w:fill="FFFFFF"/>
            <w:vAlign w:val="bottom"/>
          </w:tcPr>
          <w:p>
            <w:pPr>
              <w:widowControl/>
              <w:jc w:val="left"/>
              <w:textAlignment w:val="bottom"/>
              <w:rPr>
                <w:rFonts w:hint="default" w:ascii="宋体"/>
                <w:color w:val="000000"/>
                <w:kern w:val="0"/>
                <w:shd w:val="clear" w:color="auto" w:fill="FFFFFF"/>
              </w:rPr>
            </w:pPr>
            <w:r>
              <w:rPr>
                <w:rFonts w:ascii="宋体" w:hAnsi="宋体" w:cs="宋体"/>
                <w:color w:val="000000"/>
                <w:kern w:val="0"/>
                <w:szCs w:val="21"/>
              </w:rPr>
              <w:t>部门：</w:t>
            </w:r>
          </w:p>
        </w:tc>
        <w:tc>
          <w:tcPr>
            <w:tcW w:w="1266" w:type="dxa"/>
            <w:tcBorders>
              <w:top w:val="nil"/>
              <w:left w:val="nil"/>
              <w:bottom w:val="nil"/>
              <w:right w:val="nil"/>
            </w:tcBorders>
            <w:shd w:val="clear" w:color="auto" w:fill="FFFFFF"/>
            <w:vAlign w:val="bottom"/>
          </w:tcPr>
          <w:p>
            <w:pPr>
              <w:jc w:val="left"/>
              <w:rPr>
                <w:rFonts w:hint="default" w:ascii="宋体"/>
                <w:color w:val="000000"/>
                <w:kern w:val="0"/>
                <w:shd w:val="clear" w:color="auto" w:fill="FFFFFF"/>
              </w:rPr>
            </w:pPr>
          </w:p>
        </w:tc>
        <w:tc>
          <w:tcPr>
            <w:tcW w:w="2532" w:type="dxa"/>
            <w:gridSpan w:val="2"/>
            <w:tcBorders>
              <w:top w:val="nil"/>
              <w:left w:val="nil"/>
              <w:bottom w:val="nil"/>
              <w:right w:val="nil"/>
            </w:tcBorders>
            <w:shd w:val="clear" w:color="auto" w:fill="FFFFFF"/>
            <w:vAlign w:val="bottom"/>
          </w:tcPr>
          <w:p>
            <w:pPr>
              <w:jc w:val="left"/>
              <w:rPr>
                <w:rFonts w:hint="default" w:ascii="宋体"/>
                <w:color w:val="000000"/>
                <w:kern w:val="0"/>
                <w:shd w:val="clear" w:color="auto" w:fill="FFFFFF"/>
              </w:rPr>
            </w:pPr>
          </w:p>
        </w:tc>
        <w:tc>
          <w:tcPr>
            <w:tcW w:w="517" w:type="dxa"/>
            <w:tcBorders>
              <w:top w:val="nil"/>
              <w:left w:val="nil"/>
              <w:bottom w:val="nil"/>
              <w:right w:val="nil"/>
            </w:tcBorders>
            <w:shd w:val="clear" w:color="auto" w:fill="FFFFFF"/>
            <w:vAlign w:val="bottom"/>
          </w:tcPr>
          <w:p>
            <w:pPr>
              <w:jc w:val="left"/>
              <w:rPr>
                <w:rFonts w:hint="default" w:ascii="宋体"/>
                <w:color w:val="000000"/>
                <w:kern w:val="0"/>
                <w:shd w:val="clear" w:color="auto" w:fill="FFFFFF"/>
              </w:rPr>
            </w:pPr>
          </w:p>
        </w:tc>
        <w:tc>
          <w:tcPr>
            <w:tcW w:w="2015" w:type="dxa"/>
            <w:tcBorders>
              <w:top w:val="nil"/>
              <w:left w:val="nil"/>
              <w:bottom w:val="nil"/>
              <w:right w:val="nil"/>
            </w:tcBorders>
            <w:shd w:val="clear" w:color="auto" w:fill="FFFFFF"/>
            <w:vAlign w:val="bottom"/>
          </w:tcPr>
          <w:p>
            <w:pPr>
              <w:jc w:val="left"/>
              <w:rPr>
                <w:rFonts w:hint="default" w:ascii="宋体"/>
                <w:color w:val="000000"/>
                <w:kern w:val="0"/>
                <w:shd w:val="clear" w:color="auto" w:fill="FFFFFF"/>
              </w:rPr>
            </w:pPr>
          </w:p>
        </w:tc>
        <w:tc>
          <w:tcPr>
            <w:tcW w:w="1266" w:type="dxa"/>
            <w:tcBorders>
              <w:top w:val="nil"/>
              <w:left w:val="nil"/>
              <w:bottom w:val="nil"/>
              <w:right w:val="nil"/>
            </w:tcBorders>
            <w:shd w:val="clear" w:color="auto" w:fill="FFFFFF"/>
            <w:vAlign w:val="bottom"/>
          </w:tcPr>
          <w:p>
            <w:pPr>
              <w:jc w:val="left"/>
              <w:rPr>
                <w:rFonts w:hint="default" w:ascii="宋体"/>
                <w:color w:val="000000"/>
                <w:kern w:val="0"/>
                <w:shd w:val="clear" w:color="auto" w:fill="FFFFFF"/>
              </w:rPr>
            </w:pPr>
          </w:p>
        </w:tc>
        <w:tc>
          <w:tcPr>
            <w:tcW w:w="2044" w:type="dxa"/>
            <w:tcBorders>
              <w:top w:val="nil"/>
              <w:left w:val="nil"/>
              <w:bottom w:val="nil"/>
              <w:right w:val="nil"/>
            </w:tcBorders>
            <w:shd w:val="clear" w:color="auto" w:fill="FFFFFF"/>
            <w:vAlign w:val="bottom"/>
          </w:tcPr>
          <w:p>
            <w:pPr>
              <w:rPr>
                <w:rFonts w:hint="default" w:ascii="宋体"/>
                <w:color w:val="000000"/>
                <w:kern w:val="0"/>
                <w:shd w:val="clear" w:color="auto" w:fill="FFFFFF"/>
              </w:rPr>
            </w:pPr>
          </w:p>
        </w:tc>
        <w:tc>
          <w:tcPr>
            <w:tcW w:w="2002" w:type="dxa"/>
            <w:tcBorders>
              <w:top w:val="nil"/>
              <w:left w:val="nil"/>
              <w:bottom w:val="nil"/>
              <w:right w:val="nil"/>
            </w:tcBorders>
            <w:shd w:val="clear" w:color="auto" w:fill="FFFFFF"/>
            <w:vAlign w:val="bottom"/>
          </w:tcPr>
          <w:p>
            <w:pPr>
              <w:widowControl/>
              <w:jc w:val="right"/>
              <w:textAlignment w:val="bottom"/>
              <w:rPr>
                <w:rFonts w:hint="default"/>
              </w:rPr>
            </w:pPr>
            <w:r>
              <w:rPr>
                <w:rFonts w:ascii="宋体" w:hAnsi="宋体" w:cs="宋体"/>
                <w:color w:val="000000"/>
                <w:kern w:val="0"/>
                <w:szCs w:val="21"/>
              </w:rPr>
              <w:t>单位：万元</w:t>
            </w:r>
          </w:p>
        </w:tc>
      </w:tr>
      <w:tr>
        <w:tblPrEx>
          <w:tblCellMar>
            <w:top w:w="0" w:type="dxa"/>
            <w:left w:w="108" w:type="dxa"/>
            <w:bottom w:w="0" w:type="dxa"/>
            <w:right w:w="108" w:type="dxa"/>
          </w:tblCellMar>
        </w:tblPrEx>
        <w:trPr>
          <w:trHeight w:val="380" w:hRule="atLeast"/>
          <w:jc w:val="center"/>
        </w:trPr>
        <w:tc>
          <w:tcPr>
            <w:tcW w:w="6847" w:type="dxa"/>
            <w:gridSpan w:val="6"/>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default" w:ascii="宋体"/>
                <w:color w:val="000000"/>
                <w:kern w:val="0"/>
              </w:rPr>
            </w:pPr>
            <w:r>
              <w:rPr>
                <w:rFonts w:ascii="宋体" w:hAnsi="宋体" w:cs="宋体"/>
                <w:color w:val="000000"/>
                <w:kern w:val="0"/>
                <w:szCs w:val="21"/>
              </w:rPr>
              <w:t>项目</w:t>
            </w:r>
          </w:p>
        </w:tc>
        <w:tc>
          <w:tcPr>
            <w:tcW w:w="7327" w:type="dxa"/>
            <w:gridSpan w:val="4"/>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宋体"/>
                <w:color w:val="000000"/>
                <w:kern w:val="0"/>
              </w:rPr>
            </w:pPr>
            <w:r>
              <w:rPr>
                <w:rFonts w:ascii="宋体" w:hAnsi="宋体" w:cs="宋体"/>
                <w:color w:val="000000"/>
                <w:kern w:val="0"/>
                <w:szCs w:val="21"/>
              </w:rPr>
              <w:t>本年支出</w:t>
            </w:r>
          </w:p>
        </w:tc>
      </w:tr>
      <w:tr>
        <w:tblPrEx>
          <w:tblCellMar>
            <w:top w:w="0" w:type="dxa"/>
            <w:left w:w="108" w:type="dxa"/>
            <w:bottom w:w="0" w:type="dxa"/>
            <w:right w:w="108" w:type="dxa"/>
          </w:tblCellMar>
        </w:tblPrEx>
        <w:trPr>
          <w:trHeight w:val="295" w:hRule="atLeast"/>
          <w:jc w:val="center"/>
        </w:trPr>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color w:val="000000"/>
                <w:kern w:val="0"/>
              </w:rPr>
            </w:pPr>
            <w:r>
              <w:rPr>
                <w:rFonts w:ascii="宋体"/>
                <w:color w:val="000000"/>
                <w:kern w:val="0"/>
              </w:rPr>
              <w:t>功能分类科目编码</w:t>
            </w:r>
          </w:p>
        </w:tc>
        <w:tc>
          <w:tcPr>
            <w:tcW w:w="4642"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宋体"/>
                <w:color w:val="000000"/>
                <w:kern w:val="0"/>
              </w:rPr>
            </w:pPr>
            <w:r>
              <w:rPr>
                <w:rFonts w:ascii="宋体"/>
                <w:color w:val="000000"/>
                <w:kern w:val="0"/>
              </w:rPr>
              <w:t>科目名称</w:t>
            </w:r>
          </w:p>
        </w:tc>
        <w:tc>
          <w:tcPr>
            <w:tcW w:w="3281"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default" w:ascii="宋体"/>
                <w:color w:val="000000"/>
                <w:kern w:val="0"/>
              </w:rPr>
            </w:pPr>
            <w:r>
              <w:rPr>
                <w:rFonts w:ascii="宋体" w:hAnsi="宋体" w:cs="宋体"/>
                <w:color w:val="000000"/>
                <w:kern w:val="0"/>
                <w:szCs w:val="21"/>
              </w:rPr>
              <w:t>合计</w:t>
            </w:r>
          </w:p>
        </w:tc>
        <w:tc>
          <w:tcPr>
            <w:tcW w:w="204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宋体"/>
                <w:color w:val="000000"/>
                <w:kern w:val="0"/>
              </w:rPr>
            </w:pPr>
            <w:r>
              <w:rPr>
                <w:rFonts w:ascii="宋体" w:hAnsi="宋体" w:cs="宋体"/>
                <w:color w:val="000000"/>
                <w:kern w:val="0"/>
                <w:szCs w:val="21"/>
              </w:rPr>
              <w:t>基本支出</w:t>
            </w:r>
          </w:p>
        </w:tc>
        <w:tc>
          <w:tcPr>
            <w:tcW w:w="200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宋体"/>
                <w:color w:val="000000"/>
                <w:kern w:val="0"/>
              </w:rPr>
            </w:pPr>
            <w:r>
              <w:rPr>
                <w:rFonts w:ascii="宋体" w:hAnsi="宋体" w:cs="宋体"/>
                <w:color w:val="000000"/>
                <w:kern w:val="0"/>
                <w:szCs w:val="21"/>
              </w:rPr>
              <w:t>项目支出</w:t>
            </w:r>
          </w:p>
        </w:tc>
      </w:tr>
      <w:tr>
        <w:tblPrEx>
          <w:tblCellMar>
            <w:top w:w="0" w:type="dxa"/>
            <w:left w:w="108" w:type="dxa"/>
            <w:bottom w:w="0" w:type="dxa"/>
            <w:right w:w="108" w:type="dxa"/>
          </w:tblCellMar>
        </w:tblPrEx>
        <w:trPr>
          <w:trHeight w:val="275" w:hRule="atLeast"/>
          <w:jc w:val="center"/>
        </w:trPr>
        <w:tc>
          <w:tcPr>
            <w:tcW w:w="6847" w:type="dxa"/>
            <w:gridSpan w:val="6"/>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000000"/>
                <w:kern w:val="0"/>
                <w:szCs w:val="21"/>
              </w:rPr>
            </w:pPr>
            <w:r>
              <w:rPr>
                <w:rFonts w:ascii="宋体" w:hAnsi="宋体" w:cs="宋体"/>
                <w:color w:val="000000"/>
                <w:kern w:val="0"/>
                <w:szCs w:val="21"/>
              </w:rPr>
              <w:t>栏次</w:t>
            </w:r>
          </w:p>
        </w:tc>
        <w:tc>
          <w:tcPr>
            <w:tcW w:w="3281"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宋体" w:hAnsi="宋体" w:cs="宋体"/>
                <w:color w:val="000000"/>
                <w:kern w:val="0"/>
                <w:szCs w:val="21"/>
              </w:rPr>
            </w:pPr>
            <w:r>
              <w:rPr>
                <w:rFonts w:ascii="宋体" w:hAnsi="宋体" w:cs="宋体"/>
                <w:color w:val="000000"/>
                <w:kern w:val="0"/>
                <w:szCs w:val="21"/>
              </w:rPr>
              <w:t>1</w:t>
            </w:r>
          </w:p>
        </w:tc>
        <w:tc>
          <w:tcPr>
            <w:tcW w:w="204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宋体" w:hAnsi="宋体" w:cs="宋体"/>
                <w:color w:val="000000"/>
                <w:kern w:val="0"/>
                <w:szCs w:val="21"/>
              </w:rPr>
            </w:pPr>
            <w:r>
              <w:rPr>
                <w:rFonts w:ascii="宋体" w:hAnsi="宋体" w:cs="宋体"/>
                <w:color w:val="000000"/>
                <w:kern w:val="0"/>
                <w:szCs w:val="21"/>
              </w:rPr>
              <w:t>2</w:t>
            </w:r>
          </w:p>
        </w:tc>
        <w:tc>
          <w:tcPr>
            <w:tcW w:w="200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宋体" w:hAnsi="宋体" w:cs="宋体"/>
                <w:color w:val="000000"/>
                <w:kern w:val="0"/>
                <w:szCs w:val="21"/>
              </w:rPr>
            </w:pPr>
            <w:r>
              <w:rPr>
                <w:rFonts w:ascii="宋体" w:hAnsi="宋体" w:cs="宋体"/>
                <w:color w:val="000000"/>
                <w:kern w:val="0"/>
                <w:szCs w:val="21"/>
              </w:rPr>
              <w:t>3</w:t>
            </w:r>
          </w:p>
        </w:tc>
      </w:tr>
      <w:tr>
        <w:tblPrEx>
          <w:tblCellMar>
            <w:top w:w="0" w:type="dxa"/>
            <w:left w:w="108" w:type="dxa"/>
            <w:bottom w:w="0" w:type="dxa"/>
            <w:right w:w="108" w:type="dxa"/>
          </w:tblCellMar>
        </w:tblPrEx>
        <w:trPr>
          <w:trHeight w:val="253" w:hRule="atLeast"/>
          <w:jc w:val="center"/>
        </w:trPr>
        <w:tc>
          <w:tcPr>
            <w:tcW w:w="6847" w:type="dxa"/>
            <w:gridSpan w:val="6"/>
            <w:tcBorders>
              <w:top w:val="nil"/>
              <w:left w:val="single" w:color="000000" w:sz="4" w:space="0"/>
              <w:right w:val="single" w:color="000000" w:sz="4" w:space="0"/>
            </w:tcBorders>
            <w:vAlign w:val="center"/>
          </w:tcPr>
          <w:p>
            <w:pPr>
              <w:widowControl/>
              <w:jc w:val="center"/>
              <w:textAlignment w:val="center"/>
              <w:rPr>
                <w:rFonts w:hint="default" w:ascii="宋体"/>
                <w:color w:val="000000"/>
                <w:kern w:val="0"/>
              </w:rPr>
            </w:pPr>
            <w:r>
              <w:rPr>
                <w:rFonts w:ascii="宋体" w:hAnsi="宋体" w:cs="宋体"/>
                <w:color w:val="000000"/>
                <w:kern w:val="0"/>
                <w:szCs w:val="21"/>
              </w:rPr>
              <w:t>合计</w:t>
            </w:r>
          </w:p>
        </w:tc>
        <w:tc>
          <w:tcPr>
            <w:tcW w:w="3281" w:type="dxa"/>
            <w:gridSpan w:val="2"/>
            <w:tcBorders>
              <w:top w:val="single" w:color="000000" w:sz="4" w:space="0"/>
              <w:left w:val="nil"/>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33,692.31</w:t>
            </w:r>
          </w:p>
        </w:tc>
        <w:tc>
          <w:tcPr>
            <w:tcW w:w="2044" w:type="dxa"/>
            <w:tcBorders>
              <w:top w:val="single" w:color="000000" w:sz="4" w:space="0"/>
              <w:left w:val="nil"/>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4,763.80</w:t>
            </w:r>
          </w:p>
        </w:tc>
        <w:tc>
          <w:tcPr>
            <w:tcW w:w="200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28,928.51</w:t>
            </w:r>
          </w:p>
        </w:tc>
      </w:tr>
      <w:tr>
        <w:tblPrEx>
          <w:tblCellMar>
            <w:top w:w="0" w:type="dxa"/>
            <w:left w:w="108" w:type="dxa"/>
            <w:bottom w:w="0" w:type="dxa"/>
            <w:right w:w="108" w:type="dxa"/>
          </w:tblCellMar>
        </w:tblPrEx>
        <w:trPr>
          <w:trHeight w:val="275"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2050303</w:t>
            </w:r>
          </w:p>
        </w:tc>
        <w:tc>
          <w:tcPr>
            <w:tcW w:w="4642" w:type="dxa"/>
            <w:gridSpan w:val="5"/>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技校教育</w:t>
            </w:r>
          </w:p>
        </w:tc>
        <w:tc>
          <w:tcPr>
            <w:tcW w:w="328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1,152.50</w:t>
            </w:r>
          </w:p>
        </w:tc>
        <w:tc>
          <w:tcPr>
            <w:tcW w:w="2044"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kern w:val="2"/>
                <w:sz w:val="22"/>
                <w:szCs w:val="22"/>
                <w:u w:val="none"/>
                <w:lang w:val="en-US" w:eastAsia="zh-CN" w:bidi="ar-SA"/>
              </w:rPr>
            </w:pPr>
          </w:p>
        </w:tc>
        <w:tc>
          <w:tcPr>
            <w:tcW w:w="200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1,152.50</w:t>
            </w:r>
          </w:p>
        </w:tc>
      </w:tr>
      <w:tr>
        <w:tblPrEx>
          <w:tblCellMar>
            <w:top w:w="0" w:type="dxa"/>
            <w:left w:w="108" w:type="dxa"/>
            <w:bottom w:w="0" w:type="dxa"/>
            <w:right w:w="108" w:type="dxa"/>
          </w:tblCellMar>
        </w:tblPrEx>
        <w:trPr>
          <w:trHeight w:val="245"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2050999</w:t>
            </w:r>
          </w:p>
        </w:tc>
        <w:tc>
          <w:tcPr>
            <w:tcW w:w="4642" w:type="dxa"/>
            <w:gridSpan w:val="5"/>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其他教育费附加安排的支出</w:t>
            </w:r>
          </w:p>
        </w:tc>
        <w:tc>
          <w:tcPr>
            <w:tcW w:w="328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6,317.27</w:t>
            </w:r>
          </w:p>
        </w:tc>
        <w:tc>
          <w:tcPr>
            <w:tcW w:w="2044"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kern w:val="2"/>
                <w:sz w:val="22"/>
                <w:szCs w:val="22"/>
                <w:u w:val="none"/>
                <w:lang w:val="en-US" w:eastAsia="zh-CN" w:bidi="ar-SA"/>
              </w:rPr>
            </w:pPr>
          </w:p>
        </w:tc>
        <w:tc>
          <w:tcPr>
            <w:tcW w:w="200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6,317.27</w:t>
            </w:r>
          </w:p>
        </w:tc>
      </w:tr>
      <w:tr>
        <w:tblPrEx>
          <w:tblCellMar>
            <w:top w:w="0" w:type="dxa"/>
            <w:left w:w="108" w:type="dxa"/>
            <w:bottom w:w="0" w:type="dxa"/>
            <w:right w:w="108" w:type="dxa"/>
          </w:tblCellMar>
        </w:tblPrEx>
        <w:trPr>
          <w:trHeight w:val="245"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2080101</w:t>
            </w:r>
          </w:p>
        </w:tc>
        <w:tc>
          <w:tcPr>
            <w:tcW w:w="4642" w:type="dxa"/>
            <w:gridSpan w:val="5"/>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28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3,823.00</w:t>
            </w:r>
          </w:p>
        </w:tc>
        <w:tc>
          <w:tcPr>
            <w:tcW w:w="204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3,823.00</w:t>
            </w:r>
          </w:p>
        </w:tc>
        <w:tc>
          <w:tcPr>
            <w:tcW w:w="2002"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kern w:val="2"/>
                <w:sz w:val="22"/>
                <w:szCs w:val="22"/>
                <w:u w:val="none"/>
                <w:lang w:val="en-US" w:eastAsia="zh-CN" w:bidi="ar-SA"/>
              </w:rPr>
            </w:pPr>
          </w:p>
        </w:tc>
      </w:tr>
      <w:tr>
        <w:tblPrEx>
          <w:tblCellMar>
            <w:top w:w="0" w:type="dxa"/>
            <w:left w:w="108" w:type="dxa"/>
            <w:bottom w:w="0" w:type="dxa"/>
            <w:right w:w="108" w:type="dxa"/>
          </w:tblCellMar>
        </w:tblPrEx>
        <w:trPr>
          <w:trHeight w:val="110"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2080102</w:t>
            </w:r>
          </w:p>
        </w:tc>
        <w:tc>
          <w:tcPr>
            <w:tcW w:w="4642" w:type="dxa"/>
            <w:gridSpan w:val="5"/>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328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337.12</w:t>
            </w:r>
          </w:p>
        </w:tc>
        <w:tc>
          <w:tcPr>
            <w:tcW w:w="2044"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kern w:val="2"/>
                <w:sz w:val="22"/>
                <w:szCs w:val="22"/>
                <w:u w:val="none"/>
                <w:lang w:val="en-US" w:eastAsia="zh-CN" w:bidi="ar-SA"/>
              </w:rPr>
            </w:pPr>
          </w:p>
        </w:tc>
        <w:tc>
          <w:tcPr>
            <w:tcW w:w="200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337.12</w:t>
            </w:r>
          </w:p>
        </w:tc>
      </w:tr>
      <w:tr>
        <w:tblPrEx>
          <w:tblCellMar>
            <w:top w:w="0" w:type="dxa"/>
            <w:left w:w="108" w:type="dxa"/>
            <w:bottom w:w="0" w:type="dxa"/>
            <w:right w:w="108" w:type="dxa"/>
          </w:tblCellMar>
        </w:tblPrEx>
        <w:trPr>
          <w:trHeight w:val="240"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2080103</w:t>
            </w:r>
          </w:p>
        </w:tc>
        <w:tc>
          <w:tcPr>
            <w:tcW w:w="4642" w:type="dxa"/>
            <w:gridSpan w:val="5"/>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328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59.16</w:t>
            </w:r>
          </w:p>
        </w:tc>
        <w:tc>
          <w:tcPr>
            <w:tcW w:w="2044"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kern w:val="2"/>
                <w:sz w:val="22"/>
                <w:szCs w:val="22"/>
                <w:u w:val="none"/>
                <w:lang w:val="en-US" w:eastAsia="zh-CN" w:bidi="ar-SA"/>
              </w:rPr>
            </w:pPr>
          </w:p>
        </w:tc>
        <w:tc>
          <w:tcPr>
            <w:tcW w:w="200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59.16</w:t>
            </w:r>
          </w:p>
        </w:tc>
      </w:tr>
      <w:tr>
        <w:tblPrEx>
          <w:tblCellMar>
            <w:top w:w="0" w:type="dxa"/>
            <w:left w:w="108" w:type="dxa"/>
            <w:bottom w:w="0" w:type="dxa"/>
            <w:right w:w="108" w:type="dxa"/>
          </w:tblCellMar>
        </w:tblPrEx>
        <w:trPr>
          <w:trHeight w:val="240"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2080116</w:t>
            </w:r>
          </w:p>
        </w:tc>
        <w:tc>
          <w:tcPr>
            <w:tcW w:w="4642" w:type="dxa"/>
            <w:gridSpan w:val="5"/>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引进人才费用</w:t>
            </w:r>
          </w:p>
        </w:tc>
        <w:tc>
          <w:tcPr>
            <w:tcW w:w="328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3,372.04</w:t>
            </w:r>
          </w:p>
        </w:tc>
        <w:tc>
          <w:tcPr>
            <w:tcW w:w="2044"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kern w:val="2"/>
                <w:sz w:val="22"/>
                <w:szCs w:val="22"/>
                <w:u w:val="none"/>
                <w:lang w:val="en-US" w:eastAsia="zh-CN" w:bidi="ar-SA"/>
              </w:rPr>
            </w:pPr>
          </w:p>
        </w:tc>
        <w:tc>
          <w:tcPr>
            <w:tcW w:w="200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3,372.04</w:t>
            </w:r>
          </w:p>
        </w:tc>
      </w:tr>
      <w:tr>
        <w:tblPrEx>
          <w:tblCellMar>
            <w:top w:w="0" w:type="dxa"/>
            <w:left w:w="108" w:type="dxa"/>
            <w:bottom w:w="0" w:type="dxa"/>
            <w:right w:w="108" w:type="dxa"/>
          </w:tblCellMar>
        </w:tblPrEx>
        <w:trPr>
          <w:trHeight w:val="240"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2080199</w:t>
            </w:r>
          </w:p>
        </w:tc>
        <w:tc>
          <w:tcPr>
            <w:tcW w:w="4642" w:type="dxa"/>
            <w:gridSpan w:val="5"/>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328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12,699.38</w:t>
            </w:r>
          </w:p>
        </w:tc>
        <w:tc>
          <w:tcPr>
            <w:tcW w:w="2044"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kern w:val="2"/>
                <w:sz w:val="22"/>
                <w:szCs w:val="22"/>
                <w:u w:val="none"/>
                <w:lang w:val="en-US" w:eastAsia="zh-CN" w:bidi="ar-SA"/>
              </w:rPr>
            </w:pPr>
          </w:p>
        </w:tc>
        <w:tc>
          <w:tcPr>
            <w:tcW w:w="200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12,699.38</w:t>
            </w:r>
          </w:p>
        </w:tc>
      </w:tr>
      <w:tr>
        <w:tblPrEx>
          <w:tblCellMar>
            <w:top w:w="0" w:type="dxa"/>
            <w:left w:w="108" w:type="dxa"/>
            <w:bottom w:w="0" w:type="dxa"/>
            <w:right w:w="108" w:type="dxa"/>
          </w:tblCellMar>
        </w:tblPrEx>
        <w:trPr>
          <w:trHeight w:val="240"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2080501</w:t>
            </w:r>
          </w:p>
        </w:tc>
        <w:tc>
          <w:tcPr>
            <w:tcW w:w="4642" w:type="dxa"/>
            <w:gridSpan w:val="5"/>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328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100.01</w:t>
            </w:r>
          </w:p>
        </w:tc>
        <w:tc>
          <w:tcPr>
            <w:tcW w:w="204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100.01</w:t>
            </w:r>
          </w:p>
        </w:tc>
        <w:tc>
          <w:tcPr>
            <w:tcW w:w="2002" w:type="dxa"/>
            <w:tcBorders>
              <w:top w:val="single" w:color="000000" w:sz="4" w:space="0"/>
              <w:left w:val="nil"/>
              <w:bottom w:val="single" w:color="000000" w:sz="4" w:space="0"/>
              <w:right w:val="single" w:color="000000" w:sz="4" w:space="0"/>
            </w:tcBorders>
            <w:vAlign w:val="center"/>
          </w:tcPr>
          <w:p>
            <w:pPr>
              <w:widowControl/>
              <w:jc w:val="right"/>
              <w:rPr>
                <w:rFonts w:hint="default" w:ascii="宋体" w:hAnsi="Times New Roman" w:eastAsia="宋体" w:cstheme="minorBidi"/>
                <w:color w:val="000000"/>
                <w:kern w:val="0"/>
                <w:sz w:val="21"/>
                <w:szCs w:val="22"/>
                <w:lang w:val="en-US" w:eastAsia="zh-CN" w:bidi="ar-SA"/>
              </w:rPr>
            </w:pPr>
          </w:p>
        </w:tc>
      </w:tr>
      <w:tr>
        <w:tblPrEx>
          <w:tblCellMar>
            <w:top w:w="0" w:type="dxa"/>
            <w:left w:w="108" w:type="dxa"/>
            <w:bottom w:w="0" w:type="dxa"/>
            <w:right w:w="108" w:type="dxa"/>
          </w:tblCellMar>
        </w:tblPrEx>
        <w:trPr>
          <w:trHeight w:val="240"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2080505</w:t>
            </w:r>
          </w:p>
        </w:tc>
        <w:tc>
          <w:tcPr>
            <w:tcW w:w="4642" w:type="dxa"/>
            <w:gridSpan w:val="5"/>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328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251.54</w:t>
            </w:r>
          </w:p>
        </w:tc>
        <w:tc>
          <w:tcPr>
            <w:tcW w:w="204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251.54</w:t>
            </w:r>
          </w:p>
        </w:tc>
        <w:tc>
          <w:tcPr>
            <w:tcW w:w="2002" w:type="dxa"/>
            <w:tcBorders>
              <w:top w:val="single" w:color="000000" w:sz="4" w:space="0"/>
              <w:left w:val="nil"/>
              <w:bottom w:val="single" w:color="000000" w:sz="4" w:space="0"/>
              <w:right w:val="single" w:color="000000" w:sz="4" w:space="0"/>
            </w:tcBorders>
            <w:vAlign w:val="center"/>
          </w:tcPr>
          <w:p>
            <w:pPr>
              <w:widowControl/>
              <w:jc w:val="right"/>
              <w:rPr>
                <w:rFonts w:hint="default" w:ascii="宋体" w:hAnsi="Times New Roman" w:eastAsia="宋体" w:cstheme="minorBidi"/>
                <w:color w:val="000000"/>
                <w:kern w:val="0"/>
                <w:sz w:val="21"/>
                <w:szCs w:val="22"/>
                <w:lang w:val="en-US" w:eastAsia="zh-CN" w:bidi="ar-SA"/>
              </w:rPr>
            </w:pPr>
          </w:p>
        </w:tc>
      </w:tr>
      <w:tr>
        <w:tblPrEx>
          <w:tblCellMar>
            <w:top w:w="0" w:type="dxa"/>
            <w:left w:w="108" w:type="dxa"/>
            <w:bottom w:w="0" w:type="dxa"/>
            <w:right w:w="108" w:type="dxa"/>
          </w:tblCellMar>
        </w:tblPrEx>
        <w:trPr>
          <w:trHeight w:val="240"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2080506</w:t>
            </w:r>
          </w:p>
        </w:tc>
        <w:tc>
          <w:tcPr>
            <w:tcW w:w="4642" w:type="dxa"/>
            <w:gridSpan w:val="5"/>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328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29.92</w:t>
            </w:r>
          </w:p>
        </w:tc>
        <w:tc>
          <w:tcPr>
            <w:tcW w:w="204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29.92</w:t>
            </w:r>
          </w:p>
        </w:tc>
        <w:tc>
          <w:tcPr>
            <w:tcW w:w="2002" w:type="dxa"/>
            <w:tcBorders>
              <w:top w:val="single" w:color="000000" w:sz="4" w:space="0"/>
              <w:left w:val="nil"/>
              <w:bottom w:val="single" w:color="000000" w:sz="4" w:space="0"/>
              <w:right w:val="single" w:color="000000" w:sz="4" w:space="0"/>
            </w:tcBorders>
            <w:vAlign w:val="center"/>
          </w:tcPr>
          <w:p>
            <w:pPr>
              <w:widowControl/>
              <w:jc w:val="right"/>
              <w:rPr>
                <w:rFonts w:hint="default" w:ascii="宋体" w:hAnsi="Times New Roman" w:eastAsia="宋体" w:cstheme="minorBidi"/>
                <w:color w:val="000000"/>
                <w:kern w:val="0"/>
                <w:sz w:val="21"/>
                <w:szCs w:val="22"/>
                <w:lang w:val="en-US" w:eastAsia="zh-CN" w:bidi="ar-SA"/>
              </w:rPr>
            </w:pPr>
          </w:p>
        </w:tc>
      </w:tr>
      <w:tr>
        <w:tblPrEx>
          <w:tblCellMar>
            <w:top w:w="0" w:type="dxa"/>
            <w:left w:w="108" w:type="dxa"/>
            <w:bottom w:w="0" w:type="dxa"/>
            <w:right w:w="108" w:type="dxa"/>
          </w:tblCellMar>
        </w:tblPrEx>
        <w:trPr>
          <w:trHeight w:val="240"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2080508</w:t>
            </w:r>
          </w:p>
        </w:tc>
        <w:tc>
          <w:tcPr>
            <w:tcW w:w="4642" w:type="dxa"/>
            <w:gridSpan w:val="5"/>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对机关事业单位职业年金的补助</w:t>
            </w:r>
          </w:p>
        </w:tc>
        <w:tc>
          <w:tcPr>
            <w:tcW w:w="328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8.37</w:t>
            </w:r>
          </w:p>
        </w:tc>
        <w:tc>
          <w:tcPr>
            <w:tcW w:w="204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8.37</w:t>
            </w:r>
          </w:p>
        </w:tc>
        <w:tc>
          <w:tcPr>
            <w:tcW w:w="2002" w:type="dxa"/>
            <w:tcBorders>
              <w:top w:val="single" w:color="000000" w:sz="4" w:space="0"/>
              <w:left w:val="nil"/>
              <w:bottom w:val="single" w:color="000000" w:sz="4" w:space="0"/>
              <w:right w:val="single" w:color="000000" w:sz="4" w:space="0"/>
            </w:tcBorders>
            <w:vAlign w:val="center"/>
          </w:tcPr>
          <w:p>
            <w:pPr>
              <w:widowControl/>
              <w:jc w:val="right"/>
              <w:rPr>
                <w:rFonts w:hint="default" w:ascii="宋体" w:hAnsi="Times New Roman" w:eastAsia="宋体" w:cstheme="minorBidi"/>
                <w:color w:val="000000"/>
                <w:kern w:val="0"/>
                <w:sz w:val="21"/>
                <w:szCs w:val="22"/>
                <w:lang w:val="en-US" w:eastAsia="zh-CN" w:bidi="ar-SA"/>
              </w:rPr>
            </w:pPr>
          </w:p>
        </w:tc>
      </w:tr>
      <w:tr>
        <w:tblPrEx>
          <w:tblCellMar>
            <w:top w:w="0" w:type="dxa"/>
            <w:left w:w="108" w:type="dxa"/>
            <w:bottom w:w="0" w:type="dxa"/>
            <w:right w:w="108" w:type="dxa"/>
          </w:tblCellMar>
        </w:tblPrEx>
        <w:trPr>
          <w:trHeight w:val="240"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2080712</w:t>
            </w:r>
          </w:p>
        </w:tc>
        <w:tc>
          <w:tcPr>
            <w:tcW w:w="4642" w:type="dxa"/>
            <w:gridSpan w:val="5"/>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高技能人才培养补助</w:t>
            </w:r>
          </w:p>
        </w:tc>
        <w:tc>
          <w:tcPr>
            <w:tcW w:w="328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550.48</w:t>
            </w:r>
          </w:p>
        </w:tc>
        <w:tc>
          <w:tcPr>
            <w:tcW w:w="2044"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kern w:val="2"/>
                <w:sz w:val="22"/>
                <w:szCs w:val="22"/>
                <w:u w:val="none"/>
                <w:lang w:val="en-US" w:eastAsia="zh-CN" w:bidi="ar-SA"/>
              </w:rPr>
            </w:pPr>
          </w:p>
        </w:tc>
        <w:tc>
          <w:tcPr>
            <w:tcW w:w="200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550.48</w:t>
            </w:r>
          </w:p>
        </w:tc>
      </w:tr>
      <w:tr>
        <w:tblPrEx>
          <w:tblCellMar>
            <w:top w:w="0" w:type="dxa"/>
            <w:left w:w="108" w:type="dxa"/>
            <w:bottom w:w="0" w:type="dxa"/>
            <w:right w:w="108" w:type="dxa"/>
          </w:tblCellMar>
        </w:tblPrEx>
        <w:trPr>
          <w:trHeight w:val="240"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2080802</w:t>
            </w:r>
          </w:p>
        </w:tc>
        <w:tc>
          <w:tcPr>
            <w:tcW w:w="4642" w:type="dxa"/>
            <w:gridSpan w:val="5"/>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伤残抚恤</w:t>
            </w:r>
          </w:p>
        </w:tc>
        <w:tc>
          <w:tcPr>
            <w:tcW w:w="328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6.26</w:t>
            </w:r>
          </w:p>
        </w:tc>
        <w:tc>
          <w:tcPr>
            <w:tcW w:w="204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6.26</w:t>
            </w:r>
          </w:p>
        </w:tc>
        <w:tc>
          <w:tcPr>
            <w:tcW w:w="2002"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kern w:val="2"/>
                <w:sz w:val="22"/>
                <w:szCs w:val="22"/>
                <w:u w:val="none"/>
                <w:lang w:val="en-US" w:eastAsia="zh-CN" w:bidi="ar-SA"/>
              </w:rPr>
            </w:pPr>
          </w:p>
        </w:tc>
      </w:tr>
      <w:tr>
        <w:tblPrEx>
          <w:tblCellMar>
            <w:top w:w="0" w:type="dxa"/>
            <w:left w:w="108" w:type="dxa"/>
            <w:bottom w:w="0" w:type="dxa"/>
            <w:right w:w="108" w:type="dxa"/>
          </w:tblCellMar>
        </w:tblPrEx>
        <w:trPr>
          <w:trHeight w:val="240"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2101101</w:t>
            </w:r>
          </w:p>
        </w:tc>
        <w:tc>
          <w:tcPr>
            <w:tcW w:w="4642" w:type="dxa"/>
            <w:gridSpan w:val="5"/>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328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122.50</w:t>
            </w:r>
          </w:p>
        </w:tc>
        <w:tc>
          <w:tcPr>
            <w:tcW w:w="204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122.50</w:t>
            </w:r>
          </w:p>
        </w:tc>
        <w:tc>
          <w:tcPr>
            <w:tcW w:w="2002" w:type="dxa"/>
            <w:tcBorders>
              <w:top w:val="single" w:color="000000" w:sz="4" w:space="0"/>
              <w:left w:val="nil"/>
              <w:bottom w:val="single" w:color="000000" w:sz="4" w:space="0"/>
              <w:right w:val="single" w:color="000000" w:sz="4" w:space="0"/>
            </w:tcBorders>
            <w:vAlign w:val="center"/>
          </w:tcPr>
          <w:p>
            <w:pPr>
              <w:widowControl/>
              <w:jc w:val="right"/>
              <w:rPr>
                <w:rFonts w:hint="default" w:ascii="宋体" w:hAnsi="Times New Roman" w:eastAsia="宋体" w:cstheme="minorBidi"/>
                <w:color w:val="000000"/>
                <w:kern w:val="0"/>
                <w:sz w:val="21"/>
                <w:szCs w:val="22"/>
                <w:lang w:val="en-US" w:eastAsia="zh-CN" w:bidi="ar-SA"/>
              </w:rPr>
            </w:pPr>
          </w:p>
        </w:tc>
      </w:tr>
      <w:tr>
        <w:tblPrEx>
          <w:tblCellMar>
            <w:top w:w="0" w:type="dxa"/>
            <w:left w:w="108" w:type="dxa"/>
            <w:bottom w:w="0" w:type="dxa"/>
            <w:right w:w="108" w:type="dxa"/>
          </w:tblCellMar>
        </w:tblPrEx>
        <w:trPr>
          <w:trHeight w:val="240"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2119999</w:t>
            </w:r>
          </w:p>
        </w:tc>
        <w:tc>
          <w:tcPr>
            <w:tcW w:w="4642" w:type="dxa"/>
            <w:gridSpan w:val="5"/>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其他节能环保支出</w:t>
            </w:r>
          </w:p>
        </w:tc>
        <w:tc>
          <w:tcPr>
            <w:tcW w:w="328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4,440.55</w:t>
            </w:r>
          </w:p>
        </w:tc>
        <w:tc>
          <w:tcPr>
            <w:tcW w:w="2044"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kern w:val="2"/>
                <w:sz w:val="22"/>
                <w:szCs w:val="22"/>
                <w:u w:val="none"/>
                <w:lang w:val="en-US" w:eastAsia="zh-CN" w:bidi="ar-SA"/>
              </w:rPr>
            </w:pPr>
          </w:p>
        </w:tc>
        <w:tc>
          <w:tcPr>
            <w:tcW w:w="200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4,440.55</w:t>
            </w:r>
          </w:p>
        </w:tc>
      </w:tr>
      <w:tr>
        <w:tblPrEx>
          <w:tblCellMar>
            <w:top w:w="0" w:type="dxa"/>
            <w:left w:w="108" w:type="dxa"/>
            <w:bottom w:w="0" w:type="dxa"/>
            <w:right w:w="108" w:type="dxa"/>
          </w:tblCellMar>
        </w:tblPrEx>
        <w:trPr>
          <w:trHeight w:val="240"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2210201</w:t>
            </w:r>
          </w:p>
        </w:tc>
        <w:tc>
          <w:tcPr>
            <w:tcW w:w="4642" w:type="dxa"/>
            <w:gridSpan w:val="5"/>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328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358.72</w:t>
            </w:r>
          </w:p>
        </w:tc>
        <w:tc>
          <w:tcPr>
            <w:tcW w:w="204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358.72</w:t>
            </w:r>
          </w:p>
        </w:tc>
        <w:tc>
          <w:tcPr>
            <w:tcW w:w="2002" w:type="dxa"/>
            <w:tcBorders>
              <w:top w:val="single" w:color="000000" w:sz="4" w:space="0"/>
              <w:left w:val="nil"/>
              <w:bottom w:val="single" w:color="000000" w:sz="4" w:space="0"/>
              <w:right w:val="single" w:color="000000" w:sz="4" w:space="0"/>
            </w:tcBorders>
            <w:vAlign w:val="center"/>
          </w:tcPr>
          <w:p>
            <w:pPr>
              <w:widowControl/>
              <w:jc w:val="right"/>
              <w:rPr>
                <w:rFonts w:hint="default" w:ascii="宋体" w:hAnsi="Times New Roman" w:eastAsia="宋体" w:cstheme="minorBidi"/>
                <w:color w:val="000000"/>
                <w:kern w:val="0"/>
                <w:sz w:val="21"/>
                <w:szCs w:val="22"/>
                <w:lang w:val="en-US" w:eastAsia="zh-CN" w:bidi="ar-SA"/>
              </w:rPr>
            </w:pPr>
          </w:p>
        </w:tc>
      </w:tr>
      <w:tr>
        <w:tblPrEx>
          <w:tblCellMar>
            <w:top w:w="0" w:type="dxa"/>
            <w:left w:w="108" w:type="dxa"/>
            <w:bottom w:w="0" w:type="dxa"/>
            <w:right w:w="108" w:type="dxa"/>
          </w:tblCellMar>
        </w:tblPrEx>
        <w:trPr>
          <w:trHeight w:val="240"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color w:val="000000"/>
                <w:kern w:val="0"/>
              </w:rPr>
            </w:pPr>
            <w:r>
              <w:rPr>
                <w:rFonts w:hint="eastAsia" w:ascii="宋体" w:hAnsi="宋体" w:eastAsia="宋体" w:cs="宋体"/>
                <w:i w:val="0"/>
                <w:iCs w:val="0"/>
                <w:color w:val="000000"/>
                <w:kern w:val="0"/>
                <w:sz w:val="22"/>
                <w:szCs w:val="22"/>
                <w:u w:val="none"/>
                <w:lang w:val="en-US" w:eastAsia="zh-CN" w:bidi="ar"/>
              </w:rPr>
              <w:t>2210202</w:t>
            </w:r>
          </w:p>
        </w:tc>
        <w:tc>
          <w:tcPr>
            <w:tcW w:w="4642" w:type="dxa"/>
            <w:gridSpan w:val="5"/>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color w:val="000000"/>
                <w:kern w:val="0"/>
              </w:rPr>
            </w:pPr>
            <w:r>
              <w:rPr>
                <w:rFonts w:hint="eastAsia" w:ascii="宋体" w:hAnsi="宋体" w:eastAsia="宋体" w:cs="宋体"/>
                <w:i w:val="0"/>
                <w:iCs w:val="0"/>
                <w:color w:val="000000"/>
                <w:kern w:val="0"/>
                <w:sz w:val="22"/>
                <w:szCs w:val="22"/>
                <w:u w:val="none"/>
                <w:lang w:val="en-US" w:eastAsia="zh-CN" w:bidi="ar"/>
              </w:rPr>
              <w:t xml:space="preserve">  提租补贴</w:t>
            </w:r>
          </w:p>
        </w:tc>
        <w:tc>
          <w:tcPr>
            <w:tcW w:w="328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1.52</w:t>
            </w:r>
          </w:p>
        </w:tc>
        <w:tc>
          <w:tcPr>
            <w:tcW w:w="204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1.52</w:t>
            </w:r>
          </w:p>
        </w:tc>
        <w:tc>
          <w:tcPr>
            <w:tcW w:w="2002" w:type="dxa"/>
            <w:tcBorders>
              <w:top w:val="single" w:color="000000" w:sz="4" w:space="0"/>
              <w:left w:val="nil"/>
              <w:bottom w:val="single" w:color="000000" w:sz="4" w:space="0"/>
              <w:right w:val="single" w:color="000000" w:sz="4" w:space="0"/>
            </w:tcBorders>
            <w:vAlign w:val="center"/>
          </w:tcPr>
          <w:p>
            <w:pPr>
              <w:widowControl/>
              <w:jc w:val="right"/>
              <w:rPr>
                <w:rFonts w:hint="default" w:ascii="宋体" w:hAnsi="Times New Roman" w:eastAsia="宋体" w:cstheme="minorBidi"/>
                <w:color w:val="000000"/>
                <w:kern w:val="0"/>
                <w:sz w:val="21"/>
                <w:szCs w:val="22"/>
                <w:lang w:val="en-US" w:eastAsia="zh-CN" w:bidi="ar-SA"/>
              </w:rPr>
            </w:pPr>
          </w:p>
        </w:tc>
      </w:tr>
      <w:tr>
        <w:tblPrEx>
          <w:tblCellMar>
            <w:top w:w="0" w:type="dxa"/>
            <w:left w:w="108" w:type="dxa"/>
            <w:bottom w:w="0" w:type="dxa"/>
            <w:right w:w="108" w:type="dxa"/>
          </w:tblCellMar>
        </w:tblPrEx>
        <w:trPr>
          <w:trHeight w:val="240" w:hRule="atLeast"/>
          <w:jc w:val="center"/>
        </w:trPr>
        <w:tc>
          <w:tcPr>
            <w:tcW w:w="2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color w:val="000000"/>
                <w:kern w:val="0"/>
              </w:rPr>
            </w:pPr>
            <w:r>
              <w:rPr>
                <w:rFonts w:hint="eastAsia" w:ascii="宋体" w:hAnsi="宋体" w:eastAsia="宋体" w:cs="宋体"/>
                <w:i w:val="0"/>
                <w:iCs w:val="0"/>
                <w:color w:val="000000"/>
                <w:kern w:val="0"/>
                <w:sz w:val="22"/>
                <w:szCs w:val="22"/>
                <w:u w:val="none"/>
                <w:lang w:val="en-US" w:eastAsia="zh-CN" w:bidi="ar"/>
              </w:rPr>
              <w:t>2210203</w:t>
            </w:r>
          </w:p>
        </w:tc>
        <w:tc>
          <w:tcPr>
            <w:tcW w:w="4642" w:type="dxa"/>
            <w:gridSpan w:val="5"/>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color w:val="000000"/>
                <w:kern w:val="0"/>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328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61.95</w:t>
            </w:r>
          </w:p>
        </w:tc>
        <w:tc>
          <w:tcPr>
            <w:tcW w:w="204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61.95</w:t>
            </w:r>
          </w:p>
        </w:tc>
        <w:tc>
          <w:tcPr>
            <w:tcW w:w="2002" w:type="dxa"/>
            <w:tcBorders>
              <w:top w:val="single" w:color="000000" w:sz="4" w:space="0"/>
              <w:left w:val="nil"/>
              <w:bottom w:val="single" w:color="000000" w:sz="4" w:space="0"/>
              <w:right w:val="single" w:color="000000" w:sz="4" w:space="0"/>
            </w:tcBorders>
            <w:vAlign w:val="center"/>
          </w:tcPr>
          <w:p>
            <w:pPr>
              <w:widowControl/>
              <w:jc w:val="right"/>
              <w:rPr>
                <w:rFonts w:hint="default" w:ascii="宋体" w:hAnsi="Times New Roman" w:eastAsia="宋体" w:cstheme="minorBidi"/>
                <w:color w:val="000000"/>
                <w:kern w:val="0"/>
                <w:sz w:val="21"/>
                <w:szCs w:val="22"/>
                <w:lang w:val="en-US" w:eastAsia="zh-CN" w:bidi="ar-SA"/>
              </w:rPr>
            </w:pPr>
          </w:p>
        </w:tc>
      </w:tr>
    </w:tbl>
    <w:p>
      <w:pPr>
        <w:widowControl/>
        <w:spacing w:line="560" w:lineRule="atLeast"/>
        <w:jc w:val="left"/>
        <w:rPr>
          <w:rFonts w:ascii="宋体" w:hAnsi="宋体" w:cs="宋体"/>
          <w:kern w:val="0"/>
          <w:szCs w:val="21"/>
        </w:rPr>
      </w:pPr>
      <w:r>
        <w:rPr>
          <w:rFonts w:ascii="宋体" w:hAnsi="宋体" w:cs="宋体"/>
          <w:kern w:val="0"/>
          <w:szCs w:val="21"/>
        </w:rPr>
        <w:t>注：1.本表反映部门本年度一般公共预算财政拨款支出情况。2.本套报表金额单位转换时可能存在尾数误差。3.如本表为空，则我部门本年度无此类资金收支余</w:t>
      </w:r>
    </w:p>
    <w:p>
      <w:pPr>
        <w:widowControl/>
        <w:spacing w:line="560" w:lineRule="atLeast"/>
        <w:jc w:val="left"/>
        <w:rPr>
          <w:rFonts w:hint="default" w:ascii="宋体" w:hAnsi="宋体" w:cs="宋体"/>
          <w:kern w:val="0"/>
          <w:szCs w:val="21"/>
        </w:rPr>
      </w:pPr>
    </w:p>
    <w:p>
      <w:pPr>
        <w:widowControl/>
        <w:spacing w:line="560" w:lineRule="atLeast"/>
        <w:jc w:val="left"/>
        <w:rPr>
          <w:rFonts w:hint="default" w:ascii="仿宋_GB2312" w:hAnsi="宋体" w:eastAsia="仿宋_GB2312"/>
          <w:kern w:val="0"/>
          <w:sz w:val="24"/>
        </w:rPr>
      </w:pPr>
      <w:r>
        <w:rPr>
          <w:rFonts w:ascii="仿宋_GB2312" w:hAnsi="宋体" w:eastAsia="仿宋_GB2312"/>
          <w:kern w:val="0"/>
          <w:sz w:val="24"/>
        </w:rPr>
        <w:t xml:space="preserve">附件：1-6                           </w:t>
      </w:r>
      <w:r>
        <w:rPr>
          <w:rFonts w:ascii="仿宋_GB2312" w:hAnsi="宋体" w:eastAsia="仿宋_GB2312"/>
          <w:b/>
          <w:kern w:val="0"/>
          <w:sz w:val="24"/>
        </w:rPr>
        <w:t>一般公共预算财政拨款基本支出决算表</w:t>
      </w:r>
    </w:p>
    <w:tbl>
      <w:tblPr>
        <w:tblStyle w:val="5"/>
        <w:tblW w:w="13644" w:type="dxa"/>
        <w:jc w:val="center"/>
        <w:tblLayout w:type="fixed"/>
        <w:tblCellMar>
          <w:top w:w="0" w:type="dxa"/>
          <w:left w:w="108" w:type="dxa"/>
          <w:bottom w:w="0" w:type="dxa"/>
          <w:right w:w="108" w:type="dxa"/>
        </w:tblCellMar>
      </w:tblPr>
      <w:tblGrid>
        <w:gridCol w:w="1235"/>
        <w:gridCol w:w="181"/>
        <w:gridCol w:w="493"/>
        <w:gridCol w:w="987"/>
        <w:gridCol w:w="986"/>
        <w:gridCol w:w="816"/>
        <w:gridCol w:w="708"/>
        <w:gridCol w:w="708"/>
        <w:gridCol w:w="1716"/>
        <w:gridCol w:w="666"/>
        <w:gridCol w:w="1416"/>
        <w:gridCol w:w="3066"/>
        <w:gridCol w:w="666"/>
      </w:tblGrid>
      <w:tr>
        <w:tblPrEx>
          <w:tblCellMar>
            <w:top w:w="0" w:type="dxa"/>
            <w:left w:w="108" w:type="dxa"/>
            <w:bottom w:w="0" w:type="dxa"/>
            <w:right w:w="108" w:type="dxa"/>
          </w:tblCellMar>
        </w:tblPrEx>
        <w:trPr>
          <w:trHeight w:val="249" w:hRule="exact"/>
          <w:jc w:val="center"/>
        </w:trPr>
        <w:tc>
          <w:tcPr>
            <w:tcW w:w="1235" w:type="dxa"/>
            <w:tcBorders>
              <w:top w:val="nil"/>
              <w:left w:val="nil"/>
              <w:bottom w:val="nil"/>
              <w:right w:val="nil"/>
            </w:tcBorders>
            <w:shd w:val="clear" w:color="auto" w:fill="FFFFFF"/>
            <w:vAlign w:val="center"/>
          </w:tcPr>
          <w:p>
            <w:pPr>
              <w:widowControl/>
              <w:shd w:val="clear" w:color="auto" w:fill="FFFFFF"/>
              <w:jc w:val="left"/>
              <w:rPr>
                <w:rFonts w:hint="default"/>
                <w:color w:val="000000"/>
                <w:kern w:val="0"/>
                <w:sz w:val="18"/>
                <w:shd w:val="clear" w:color="auto" w:fill="FFFFFF"/>
              </w:rPr>
            </w:pPr>
          </w:p>
        </w:tc>
        <w:tc>
          <w:tcPr>
            <w:tcW w:w="674" w:type="dxa"/>
            <w:gridSpan w:val="2"/>
            <w:tcBorders>
              <w:top w:val="nil"/>
              <w:left w:val="nil"/>
              <w:bottom w:val="nil"/>
              <w:right w:val="nil"/>
            </w:tcBorders>
            <w:shd w:val="clear" w:color="auto" w:fill="FFFFFF"/>
            <w:vAlign w:val="center"/>
          </w:tcPr>
          <w:p>
            <w:pPr>
              <w:widowControl/>
              <w:shd w:val="clear" w:color="auto" w:fill="FFFFFF"/>
              <w:jc w:val="center"/>
              <w:rPr>
                <w:rFonts w:hint="default" w:ascii="宋体"/>
                <w:color w:val="000000"/>
                <w:kern w:val="0"/>
                <w:sz w:val="18"/>
                <w:shd w:val="clear" w:color="auto" w:fill="FFFFFF"/>
              </w:rPr>
            </w:pPr>
          </w:p>
        </w:tc>
        <w:tc>
          <w:tcPr>
            <w:tcW w:w="987" w:type="dxa"/>
            <w:tcBorders>
              <w:top w:val="nil"/>
              <w:left w:val="nil"/>
              <w:bottom w:val="nil"/>
              <w:right w:val="nil"/>
            </w:tcBorders>
            <w:shd w:val="clear" w:color="auto" w:fill="FFFFFF"/>
            <w:vAlign w:val="center"/>
          </w:tcPr>
          <w:p>
            <w:pPr>
              <w:widowControl/>
              <w:shd w:val="clear" w:color="auto" w:fill="FFFFFF"/>
              <w:jc w:val="center"/>
              <w:rPr>
                <w:rFonts w:hint="default" w:ascii="宋体"/>
                <w:color w:val="000000"/>
                <w:kern w:val="0"/>
                <w:sz w:val="18"/>
                <w:shd w:val="clear" w:color="auto" w:fill="FFFFFF"/>
              </w:rPr>
            </w:pPr>
          </w:p>
        </w:tc>
        <w:tc>
          <w:tcPr>
            <w:tcW w:w="986" w:type="dxa"/>
            <w:tcBorders>
              <w:top w:val="nil"/>
              <w:left w:val="nil"/>
              <w:bottom w:val="nil"/>
              <w:right w:val="nil"/>
            </w:tcBorders>
            <w:shd w:val="clear" w:color="auto" w:fill="FFFFFF"/>
            <w:vAlign w:val="center"/>
          </w:tcPr>
          <w:p>
            <w:pPr>
              <w:widowControl/>
              <w:shd w:val="clear" w:color="auto" w:fill="FFFFFF"/>
              <w:jc w:val="left"/>
              <w:rPr>
                <w:rFonts w:hint="default" w:ascii="宋体"/>
                <w:color w:val="000000"/>
                <w:kern w:val="0"/>
                <w:sz w:val="18"/>
                <w:shd w:val="clear" w:color="auto" w:fill="FFFFFF"/>
              </w:rPr>
            </w:pPr>
          </w:p>
        </w:tc>
        <w:tc>
          <w:tcPr>
            <w:tcW w:w="816" w:type="dxa"/>
            <w:tcBorders>
              <w:top w:val="nil"/>
              <w:left w:val="nil"/>
              <w:bottom w:val="nil"/>
              <w:right w:val="nil"/>
            </w:tcBorders>
            <w:shd w:val="clear" w:color="auto" w:fill="FFFFFF"/>
            <w:vAlign w:val="center"/>
          </w:tcPr>
          <w:p>
            <w:pPr>
              <w:widowControl/>
              <w:shd w:val="clear" w:color="auto" w:fill="FFFFFF"/>
              <w:jc w:val="left"/>
              <w:rPr>
                <w:rFonts w:hint="default" w:ascii="宋体"/>
                <w:color w:val="000000"/>
                <w:kern w:val="0"/>
                <w:sz w:val="18"/>
                <w:shd w:val="clear" w:color="auto" w:fill="FFFFFF"/>
              </w:rPr>
            </w:pPr>
          </w:p>
        </w:tc>
        <w:tc>
          <w:tcPr>
            <w:tcW w:w="708"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z w:val="18"/>
                <w:shd w:val="clear" w:color="auto" w:fill="FFFFFF"/>
              </w:rPr>
            </w:pPr>
          </w:p>
        </w:tc>
        <w:tc>
          <w:tcPr>
            <w:tcW w:w="708" w:type="dxa"/>
            <w:tcBorders>
              <w:top w:val="nil"/>
              <w:left w:val="nil"/>
              <w:bottom w:val="nil"/>
              <w:right w:val="nil"/>
            </w:tcBorders>
            <w:shd w:val="clear" w:color="auto" w:fill="auto"/>
            <w:vAlign w:val="bottom"/>
          </w:tcPr>
          <w:p>
            <w:pPr>
              <w:widowControl/>
              <w:jc w:val="left"/>
              <w:rPr>
                <w:rFonts w:hint="default" w:ascii="宋体"/>
                <w:color w:val="000000"/>
                <w:kern w:val="0"/>
                <w:sz w:val="18"/>
              </w:rPr>
            </w:pPr>
          </w:p>
        </w:tc>
        <w:tc>
          <w:tcPr>
            <w:tcW w:w="1716" w:type="dxa"/>
            <w:tcBorders>
              <w:top w:val="nil"/>
              <w:left w:val="nil"/>
              <w:bottom w:val="nil"/>
              <w:right w:val="nil"/>
            </w:tcBorders>
            <w:shd w:val="clear" w:color="auto" w:fill="auto"/>
            <w:vAlign w:val="bottom"/>
          </w:tcPr>
          <w:p>
            <w:pPr>
              <w:widowControl/>
              <w:jc w:val="left"/>
              <w:rPr>
                <w:rFonts w:hint="default" w:ascii="宋体"/>
                <w:color w:val="000000"/>
                <w:kern w:val="0"/>
                <w:sz w:val="18"/>
              </w:rPr>
            </w:pPr>
          </w:p>
        </w:tc>
        <w:tc>
          <w:tcPr>
            <w:tcW w:w="5814" w:type="dxa"/>
            <w:gridSpan w:val="4"/>
            <w:tcBorders>
              <w:top w:val="nil"/>
              <w:left w:val="nil"/>
              <w:bottom w:val="nil"/>
              <w:right w:val="nil"/>
            </w:tcBorders>
            <w:shd w:val="clear" w:color="auto" w:fill="FFFFFF"/>
            <w:vAlign w:val="center"/>
          </w:tcPr>
          <w:p>
            <w:pPr>
              <w:widowControl/>
              <w:shd w:val="clear" w:color="auto" w:fill="FFFFFF"/>
              <w:jc w:val="right"/>
              <w:rPr>
                <w:rFonts w:hint="default"/>
                <w:color w:val="000000"/>
                <w:kern w:val="0"/>
                <w:sz w:val="18"/>
                <w:shd w:val="clear" w:color="auto" w:fill="FFFFFF"/>
              </w:rPr>
            </w:pPr>
            <w:r>
              <w:rPr>
                <w:rFonts w:ascii="宋体" w:hAnsi="宋体"/>
                <w:color w:val="000000"/>
                <w:kern w:val="0"/>
                <w:shd w:val="clear" w:color="auto" w:fill="FFFFFF"/>
              </w:rPr>
              <w:t>公开06表</w:t>
            </w:r>
          </w:p>
        </w:tc>
      </w:tr>
      <w:tr>
        <w:tblPrEx>
          <w:tblCellMar>
            <w:top w:w="0" w:type="dxa"/>
            <w:left w:w="108" w:type="dxa"/>
            <w:bottom w:w="0" w:type="dxa"/>
            <w:right w:w="108" w:type="dxa"/>
          </w:tblCellMar>
        </w:tblPrEx>
        <w:trPr>
          <w:trHeight w:val="316" w:hRule="exact"/>
          <w:jc w:val="center"/>
        </w:trPr>
        <w:tc>
          <w:tcPr>
            <w:tcW w:w="1235" w:type="dxa"/>
            <w:tcBorders>
              <w:top w:val="nil"/>
              <w:left w:val="nil"/>
              <w:bottom w:val="single" w:color="000000" w:sz="4" w:space="0"/>
              <w:right w:val="nil"/>
            </w:tcBorders>
            <w:shd w:val="clear" w:color="auto" w:fill="FFFFFF"/>
            <w:vAlign w:val="center"/>
          </w:tcPr>
          <w:p>
            <w:pPr>
              <w:widowControl/>
              <w:shd w:val="clear" w:color="auto" w:fill="FFFFFF"/>
              <w:jc w:val="left"/>
              <w:rPr>
                <w:rFonts w:hint="default" w:ascii="宋体"/>
                <w:color w:val="000000"/>
                <w:kern w:val="0"/>
                <w:sz w:val="18"/>
                <w:shd w:val="clear" w:color="auto" w:fill="FFFFFF"/>
              </w:rPr>
            </w:pPr>
            <w:r>
              <w:rPr>
                <w:rFonts w:ascii="宋体" w:hAnsi="宋体"/>
                <w:color w:val="000000"/>
                <w:kern w:val="0"/>
                <w:sz w:val="18"/>
                <w:shd w:val="clear" w:color="auto" w:fill="FFFFFF"/>
              </w:rPr>
              <w:t>部门：</w:t>
            </w:r>
          </w:p>
        </w:tc>
        <w:tc>
          <w:tcPr>
            <w:tcW w:w="674" w:type="dxa"/>
            <w:gridSpan w:val="2"/>
            <w:tcBorders>
              <w:top w:val="nil"/>
              <w:left w:val="nil"/>
              <w:bottom w:val="single" w:color="000000" w:sz="4" w:space="0"/>
              <w:right w:val="nil"/>
            </w:tcBorders>
            <w:shd w:val="clear" w:color="auto" w:fill="FFFFFF"/>
            <w:vAlign w:val="center"/>
          </w:tcPr>
          <w:p>
            <w:pPr>
              <w:widowControl/>
              <w:shd w:val="clear" w:color="auto" w:fill="FFFFFF"/>
              <w:jc w:val="center"/>
              <w:rPr>
                <w:rFonts w:hint="default" w:ascii="宋体"/>
                <w:color w:val="000000"/>
                <w:kern w:val="0"/>
                <w:sz w:val="18"/>
                <w:shd w:val="clear" w:color="auto" w:fill="FFFFFF"/>
              </w:rPr>
            </w:pPr>
          </w:p>
        </w:tc>
        <w:tc>
          <w:tcPr>
            <w:tcW w:w="987" w:type="dxa"/>
            <w:tcBorders>
              <w:top w:val="nil"/>
              <w:left w:val="nil"/>
              <w:bottom w:val="single" w:color="000000" w:sz="4" w:space="0"/>
              <w:right w:val="nil"/>
            </w:tcBorders>
            <w:shd w:val="clear" w:color="auto" w:fill="FFFFFF"/>
            <w:vAlign w:val="center"/>
          </w:tcPr>
          <w:p>
            <w:pPr>
              <w:widowControl/>
              <w:shd w:val="clear" w:color="auto" w:fill="FFFFFF"/>
              <w:jc w:val="center"/>
              <w:rPr>
                <w:rFonts w:hint="default" w:ascii="宋体"/>
                <w:color w:val="000000"/>
                <w:kern w:val="0"/>
                <w:sz w:val="18"/>
                <w:shd w:val="clear" w:color="auto" w:fill="FFFFFF"/>
              </w:rPr>
            </w:pPr>
          </w:p>
        </w:tc>
        <w:tc>
          <w:tcPr>
            <w:tcW w:w="986" w:type="dxa"/>
            <w:tcBorders>
              <w:top w:val="nil"/>
              <w:left w:val="nil"/>
              <w:bottom w:val="single" w:color="000000" w:sz="4" w:space="0"/>
              <w:right w:val="nil"/>
            </w:tcBorders>
            <w:shd w:val="clear" w:color="auto" w:fill="FFFFFF"/>
            <w:vAlign w:val="center"/>
          </w:tcPr>
          <w:p>
            <w:pPr>
              <w:widowControl/>
              <w:shd w:val="clear" w:color="auto" w:fill="FFFFFF"/>
              <w:jc w:val="left"/>
              <w:rPr>
                <w:rFonts w:hint="default" w:ascii="宋体"/>
                <w:color w:val="000000"/>
                <w:kern w:val="0"/>
                <w:sz w:val="18"/>
                <w:shd w:val="clear" w:color="auto" w:fill="FFFFFF"/>
              </w:rPr>
            </w:pPr>
          </w:p>
        </w:tc>
        <w:tc>
          <w:tcPr>
            <w:tcW w:w="816" w:type="dxa"/>
            <w:tcBorders>
              <w:top w:val="nil"/>
              <w:left w:val="nil"/>
              <w:bottom w:val="single" w:color="000000" w:sz="4" w:space="0"/>
              <w:right w:val="nil"/>
            </w:tcBorders>
            <w:shd w:val="clear" w:color="auto" w:fill="FFFFFF"/>
            <w:vAlign w:val="center"/>
          </w:tcPr>
          <w:p>
            <w:pPr>
              <w:widowControl/>
              <w:shd w:val="clear" w:color="auto" w:fill="FFFFFF"/>
              <w:jc w:val="left"/>
              <w:rPr>
                <w:rFonts w:hint="default" w:ascii="宋体"/>
                <w:color w:val="000000"/>
                <w:kern w:val="0"/>
                <w:sz w:val="18"/>
                <w:shd w:val="clear" w:color="auto" w:fill="FFFFFF"/>
              </w:rPr>
            </w:pPr>
          </w:p>
        </w:tc>
        <w:tc>
          <w:tcPr>
            <w:tcW w:w="708" w:type="dxa"/>
            <w:tcBorders>
              <w:top w:val="nil"/>
              <w:left w:val="nil"/>
              <w:bottom w:val="single" w:color="000000" w:sz="4" w:space="0"/>
              <w:right w:val="nil"/>
            </w:tcBorders>
            <w:shd w:val="clear" w:color="auto" w:fill="FFFFFF"/>
            <w:vAlign w:val="center"/>
          </w:tcPr>
          <w:p>
            <w:pPr>
              <w:widowControl/>
              <w:shd w:val="clear" w:color="auto" w:fill="FFFFFF"/>
              <w:jc w:val="right"/>
              <w:rPr>
                <w:rFonts w:hint="default" w:ascii="宋体"/>
                <w:color w:val="000000"/>
                <w:kern w:val="0"/>
                <w:sz w:val="18"/>
                <w:shd w:val="clear" w:color="auto" w:fill="FFFFFF"/>
              </w:rPr>
            </w:pPr>
          </w:p>
        </w:tc>
        <w:tc>
          <w:tcPr>
            <w:tcW w:w="708" w:type="dxa"/>
            <w:tcBorders>
              <w:top w:val="nil"/>
              <w:left w:val="nil"/>
              <w:bottom w:val="single" w:color="000000" w:sz="4" w:space="0"/>
              <w:right w:val="nil"/>
            </w:tcBorders>
            <w:shd w:val="clear" w:color="auto" w:fill="auto"/>
            <w:vAlign w:val="bottom"/>
          </w:tcPr>
          <w:p>
            <w:pPr>
              <w:widowControl/>
              <w:jc w:val="left"/>
              <w:rPr>
                <w:rFonts w:hint="default" w:ascii="宋体"/>
                <w:color w:val="000000"/>
                <w:kern w:val="0"/>
                <w:sz w:val="18"/>
              </w:rPr>
            </w:pPr>
          </w:p>
        </w:tc>
        <w:tc>
          <w:tcPr>
            <w:tcW w:w="1716" w:type="dxa"/>
            <w:tcBorders>
              <w:top w:val="nil"/>
              <w:left w:val="nil"/>
              <w:bottom w:val="single" w:color="000000" w:sz="4" w:space="0"/>
              <w:right w:val="nil"/>
            </w:tcBorders>
            <w:shd w:val="clear" w:color="auto" w:fill="auto"/>
            <w:vAlign w:val="bottom"/>
          </w:tcPr>
          <w:p>
            <w:pPr>
              <w:widowControl/>
              <w:jc w:val="left"/>
              <w:rPr>
                <w:rFonts w:hint="default" w:ascii="宋体"/>
                <w:color w:val="000000"/>
                <w:kern w:val="0"/>
                <w:sz w:val="18"/>
              </w:rPr>
            </w:pPr>
          </w:p>
        </w:tc>
        <w:tc>
          <w:tcPr>
            <w:tcW w:w="5814" w:type="dxa"/>
            <w:gridSpan w:val="4"/>
            <w:tcBorders>
              <w:top w:val="nil"/>
              <w:left w:val="nil"/>
              <w:bottom w:val="single" w:color="000000" w:sz="4" w:space="0"/>
              <w:right w:val="nil"/>
            </w:tcBorders>
            <w:shd w:val="clear" w:color="auto" w:fill="FFFFFF"/>
            <w:vAlign w:val="center"/>
          </w:tcPr>
          <w:p>
            <w:pPr>
              <w:widowControl/>
              <w:shd w:val="clear" w:color="auto" w:fill="FFFFFF"/>
              <w:jc w:val="right"/>
              <w:rPr>
                <w:rFonts w:hint="default" w:ascii="宋体"/>
                <w:color w:val="000000"/>
                <w:kern w:val="0"/>
                <w:sz w:val="18"/>
                <w:shd w:val="clear" w:color="auto" w:fill="FFFFFF"/>
              </w:rPr>
            </w:pPr>
            <w:r>
              <w:rPr>
                <w:rFonts w:ascii="宋体" w:hAnsi="宋体"/>
                <w:color w:val="000000"/>
                <w:kern w:val="0"/>
                <w:sz w:val="18"/>
                <w:shd w:val="clear" w:color="auto" w:fill="FFFFFF"/>
              </w:rPr>
              <w:t>金额单位：万元</w:t>
            </w:r>
          </w:p>
        </w:tc>
      </w:tr>
      <w:tr>
        <w:tblPrEx>
          <w:tblCellMar>
            <w:top w:w="0" w:type="dxa"/>
            <w:left w:w="108" w:type="dxa"/>
            <w:bottom w:w="0" w:type="dxa"/>
            <w:right w:w="108" w:type="dxa"/>
          </w:tblCellMar>
        </w:tblPrEx>
        <w:trPr>
          <w:trHeight w:val="430" w:hRule="exact"/>
          <w:jc w:val="center"/>
        </w:trPr>
        <w:tc>
          <w:tcPr>
            <w:tcW w:w="141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atLeast"/>
              <w:jc w:val="center"/>
              <w:rPr>
                <w:rFonts w:hint="default" w:eastAsia="Times New Roman"/>
                <w:kern w:val="0"/>
                <w:sz w:val="15"/>
                <w:szCs w:val="15"/>
              </w:rPr>
            </w:pPr>
            <w:r>
              <w:rPr>
                <w:rFonts w:ascii="宋体" w:hAnsi="宋体"/>
                <w:kern w:val="0"/>
                <w:sz w:val="15"/>
                <w:szCs w:val="15"/>
              </w:rPr>
              <w:t>经济分类科目编码</w:t>
            </w:r>
          </w:p>
        </w:tc>
        <w:tc>
          <w:tcPr>
            <w:tcW w:w="2466" w:type="dxa"/>
            <w:gridSpan w:val="3"/>
            <w:tcBorders>
              <w:top w:val="single" w:color="000000" w:sz="4" w:space="0"/>
              <w:left w:val="nil"/>
              <w:bottom w:val="single" w:color="000000" w:sz="4" w:space="0"/>
              <w:right w:val="single" w:color="000000" w:sz="4" w:space="0"/>
            </w:tcBorders>
            <w:vAlign w:val="center"/>
          </w:tcPr>
          <w:p>
            <w:pPr>
              <w:widowControl/>
              <w:jc w:val="center"/>
              <w:rPr>
                <w:rFonts w:hint="default" w:eastAsia="Times New Roman"/>
                <w:kern w:val="0"/>
                <w:sz w:val="15"/>
                <w:szCs w:val="15"/>
              </w:rPr>
            </w:pPr>
            <w:r>
              <w:rPr>
                <w:rFonts w:ascii="宋体" w:hAnsi="宋体"/>
                <w:kern w:val="0"/>
                <w:sz w:val="15"/>
                <w:szCs w:val="15"/>
              </w:rPr>
              <w:t>科目名称</w:t>
            </w:r>
          </w:p>
        </w:tc>
        <w:tc>
          <w:tcPr>
            <w:tcW w:w="816" w:type="dxa"/>
            <w:tcBorders>
              <w:top w:val="single" w:color="000000" w:sz="4" w:space="0"/>
              <w:left w:val="nil"/>
              <w:bottom w:val="single" w:color="000000" w:sz="4" w:space="0"/>
              <w:right w:val="single" w:color="000000" w:sz="4" w:space="0"/>
            </w:tcBorders>
            <w:vAlign w:val="center"/>
          </w:tcPr>
          <w:p>
            <w:pPr>
              <w:widowControl/>
              <w:jc w:val="center"/>
              <w:rPr>
                <w:rFonts w:hint="default"/>
                <w:kern w:val="0"/>
                <w:sz w:val="15"/>
                <w:szCs w:val="15"/>
              </w:rPr>
            </w:pPr>
            <w:r>
              <w:rPr>
                <w:rFonts w:ascii="宋体" w:hAnsi="宋体"/>
                <w:kern w:val="0"/>
                <w:sz w:val="15"/>
                <w:szCs w:val="15"/>
              </w:rPr>
              <w:t>决算数</w:t>
            </w:r>
          </w:p>
        </w:tc>
        <w:tc>
          <w:tcPr>
            <w:tcW w:w="1416" w:type="dxa"/>
            <w:gridSpan w:val="2"/>
            <w:tcBorders>
              <w:top w:val="single" w:color="000000" w:sz="4" w:space="0"/>
              <w:left w:val="nil"/>
              <w:bottom w:val="single" w:color="000000" w:sz="4" w:space="0"/>
              <w:right w:val="single" w:color="000000" w:sz="4" w:space="0"/>
            </w:tcBorders>
            <w:vAlign w:val="center"/>
          </w:tcPr>
          <w:p>
            <w:pPr>
              <w:widowControl/>
              <w:jc w:val="center"/>
              <w:rPr>
                <w:rFonts w:hint="default" w:eastAsia="Times New Roman"/>
                <w:kern w:val="0"/>
                <w:sz w:val="15"/>
                <w:szCs w:val="15"/>
              </w:rPr>
            </w:pPr>
            <w:r>
              <w:rPr>
                <w:rFonts w:ascii="宋体" w:hAnsi="宋体"/>
                <w:kern w:val="0"/>
                <w:sz w:val="15"/>
                <w:szCs w:val="15"/>
              </w:rPr>
              <w:t>经济分类科目编码</w:t>
            </w:r>
          </w:p>
        </w:tc>
        <w:tc>
          <w:tcPr>
            <w:tcW w:w="1716" w:type="dxa"/>
            <w:tcBorders>
              <w:top w:val="single" w:color="000000" w:sz="4" w:space="0"/>
              <w:left w:val="nil"/>
              <w:bottom w:val="single" w:color="000000" w:sz="4" w:space="0"/>
              <w:right w:val="single" w:color="000000" w:sz="4" w:space="0"/>
            </w:tcBorders>
            <w:vAlign w:val="center"/>
          </w:tcPr>
          <w:p>
            <w:pPr>
              <w:widowControl/>
              <w:jc w:val="center"/>
              <w:rPr>
                <w:rFonts w:hint="default" w:eastAsia="Times New Roman"/>
                <w:kern w:val="0"/>
                <w:sz w:val="15"/>
                <w:szCs w:val="15"/>
              </w:rPr>
            </w:pPr>
            <w:r>
              <w:rPr>
                <w:rFonts w:ascii="宋体" w:hAnsi="宋体"/>
                <w:kern w:val="0"/>
                <w:sz w:val="15"/>
                <w:szCs w:val="15"/>
              </w:rPr>
              <w:t>科目名称</w:t>
            </w:r>
          </w:p>
        </w:tc>
        <w:tc>
          <w:tcPr>
            <w:tcW w:w="666" w:type="dxa"/>
            <w:tcBorders>
              <w:top w:val="single" w:color="000000" w:sz="4" w:space="0"/>
              <w:left w:val="nil"/>
              <w:bottom w:val="single" w:color="000000" w:sz="4" w:space="0"/>
              <w:right w:val="single" w:color="000000" w:sz="4" w:space="0"/>
            </w:tcBorders>
            <w:vAlign w:val="center"/>
          </w:tcPr>
          <w:p>
            <w:pPr>
              <w:widowControl/>
              <w:jc w:val="center"/>
              <w:rPr>
                <w:rFonts w:hint="default" w:eastAsia="Times New Roman"/>
                <w:kern w:val="0"/>
                <w:sz w:val="15"/>
                <w:szCs w:val="15"/>
              </w:rPr>
            </w:pPr>
            <w:r>
              <w:rPr>
                <w:rFonts w:ascii="宋体" w:hAnsi="宋体"/>
                <w:kern w:val="0"/>
                <w:sz w:val="15"/>
                <w:szCs w:val="15"/>
              </w:rPr>
              <w:t>决算数</w:t>
            </w:r>
          </w:p>
        </w:tc>
        <w:tc>
          <w:tcPr>
            <w:tcW w:w="1416" w:type="dxa"/>
            <w:tcBorders>
              <w:top w:val="single" w:color="000000" w:sz="4" w:space="0"/>
              <w:left w:val="nil"/>
              <w:bottom w:val="single" w:color="000000" w:sz="4" w:space="0"/>
              <w:right w:val="single" w:color="000000" w:sz="4" w:space="0"/>
            </w:tcBorders>
            <w:vAlign w:val="center"/>
          </w:tcPr>
          <w:p>
            <w:pPr>
              <w:widowControl/>
              <w:jc w:val="center"/>
              <w:rPr>
                <w:rFonts w:hint="default" w:eastAsia="Times New Roman"/>
                <w:kern w:val="0"/>
                <w:sz w:val="15"/>
                <w:szCs w:val="15"/>
              </w:rPr>
            </w:pPr>
            <w:r>
              <w:rPr>
                <w:rFonts w:ascii="宋体" w:hAnsi="宋体"/>
                <w:kern w:val="0"/>
                <w:sz w:val="15"/>
                <w:szCs w:val="15"/>
              </w:rPr>
              <w:t>经济分类科目编码</w:t>
            </w:r>
          </w:p>
        </w:tc>
        <w:tc>
          <w:tcPr>
            <w:tcW w:w="3066" w:type="dxa"/>
            <w:tcBorders>
              <w:top w:val="single" w:color="000000" w:sz="4" w:space="0"/>
              <w:left w:val="nil"/>
              <w:bottom w:val="single" w:color="000000" w:sz="4" w:space="0"/>
              <w:right w:val="single" w:color="000000" w:sz="4" w:space="0"/>
            </w:tcBorders>
            <w:vAlign w:val="center"/>
          </w:tcPr>
          <w:p>
            <w:pPr>
              <w:widowControl/>
              <w:jc w:val="center"/>
              <w:rPr>
                <w:rFonts w:hint="default" w:eastAsia="Times New Roman"/>
                <w:kern w:val="0"/>
                <w:sz w:val="15"/>
                <w:szCs w:val="15"/>
              </w:rPr>
            </w:pPr>
            <w:r>
              <w:rPr>
                <w:rFonts w:ascii="宋体" w:hAnsi="宋体"/>
                <w:kern w:val="0"/>
                <w:sz w:val="15"/>
                <w:szCs w:val="15"/>
              </w:rPr>
              <w:t>科目名称</w:t>
            </w:r>
          </w:p>
        </w:tc>
        <w:tc>
          <w:tcPr>
            <w:tcW w:w="666" w:type="dxa"/>
            <w:tcBorders>
              <w:top w:val="single" w:color="000000" w:sz="4" w:space="0"/>
              <w:left w:val="nil"/>
              <w:bottom w:val="single" w:color="000000" w:sz="4" w:space="0"/>
              <w:right w:val="single" w:color="000000" w:sz="4" w:space="0"/>
            </w:tcBorders>
            <w:vAlign w:val="center"/>
          </w:tcPr>
          <w:p>
            <w:pPr>
              <w:widowControl/>
              <w:jc w:val="center"/>
              <w:rPr>
                <w:rFonts w:hint="default" w:eastAsia="Times New Roman"/>
                <w:kern w:val="0"/>
                <w:sz w:val="15"/>
                <w:szCs w:val="15"/>
              </w:rPr>
            </w:pPr>
            <w:r>
              <w:rPr>
                <w:rFonts w:ascii="宋体" w:hAnsi="宋体"/>
                <w:kern w:val="0"/>
                <w:sz w:val="15"/>
                <w:szCs w:val="15"/>
              </w:rPr>
              <w:t>决算数</w:t>
            </w:r>
          </w:p>
        </w:tc>
      </w:tr>
      <w:tr>
        <w:tblPrEx>
          <w:tblCellMar>
            <w:top w:w="0" w:type="dxa"/>
            <w:left w:w="108" w:type="dxa"/>
            <w:bottom w:w="0" w:type="dxa"/>
            <w:right w:w="108" w:type="dxa"/>
          </w:tblCellMar>
        </w:tblPrEx>
        <w:trPr>
          <w:trHeight w:val="275" w:hRule="exact"/>
          <w:jc w:val="center"/>
        </w:trPr>
        <w:tc>
          <w:tcPr>
            <w:tcW w:w="141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301</w:t>
            </w:r>
          </w:p>
        </w:tc>
        <w:tc>
          <w:tcPr>
            <w:tcW w:w="2466" w:type="dxa"/>
            <w:gridSpan w:val="3"/>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工资福利支出</w:t>
            </w:r>
          </w:p>
        </w:tc>
        <w:tc>
          <w:tcPr>
            <w:tcW w:w="81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2,965.93</w:t>
            </w:r>
          </w:p>
        </w:tc>
        <w:tc>
          <w:tcPr>
            <w:tcW w:w="1416" w:type="dxa"/>
            <w:gridSpan w:val="2"/>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302</w:t>
            </w:r>
          </w:p>
        </w:tc>
        <w:tc>
          <w:tcPr>
            <w:tcW w:w="17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商品和服务支出</w:t>
            </w:r>
          </w:p>
        </w:tc>
        <w:tc>
          <w:tcPr>
            <w:tcW w:w="66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797.00</w:t>
            </w:r>
          </w:p>
        </w:tc>
        <w:tc>
          <w:tcPr>
            <w:tcW w:w="14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307</w:t>
            </w:r>
          </w:p>
        </w:tc>
        <w:tc>
          <w:tcPr>
            <w:tcW w:w="306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债务利息及费用支出</w:t>
            </w: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r>
      <w:tr>
        <w:tblPrEx>
          <w:tblCellMar>
            <w:top w:w="0" w:type="dxa"/>
            <w:left w:w="108" w:type="dxa"/>
            <w:bottom w:w="0" w:type="dxa"/>
            <w:right w:w="108" w:type="dxa"/>
          </w:tblCellMar>
        </w:tblPrEx>
        <w:trPr>
          <w:trHeight w:val="275" w:hRule="exact"/>
          <w:jc w:val="center"/>
        </w:trPr>
        <w:tc>
          <w:tcPr>
            <w:tcW w:w="141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30101</w:t>
            </w:r>
          </w:p>
        </w:tc>
        <w:tc>
          <w:tcPr>
            <w:tcW w:w="2466" w:type="dxa"/>
            <w:gridSpan w:val="3"/>
            <w:tcBorders>
              <w:top w:val="single" w:color="000000" w:sz="4" w:space="0"/>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基本工资</w:t>
            </w:r>
          </w:p>
        </w:tc>
        <w:tc>
          <w:tcPr>
            <w:tcW w:w="81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902.06</w:t>
            </w:r>
          </w:p>
        </w:tc>
        <w:tc>
          <w:tcPr>
            <w:tcW w:w="1416" w:type="dxa"/>
            <w:gridSpan w:val="2"/>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30201</w:t>
            </w:r>
          </w:p>
        </w:tc>
        <w:tc>
          <w:tcPr>
            <w:tcW w:w="17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办公费</w:t>
            </w:r>
          </w:p>
        </w:tc>
        <w:tc>
          <w:tcPr>
            <w:tcW w:w="66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31.89</w:t>
            </w:r>
          </w:p>
        </w:tc>
        <w:tc>
          <w:tcPr>
            <w:tcW w:w="14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30701</w:t>
            </w:r>
          </w:p>
        </w:tc>
        <w:tc>
          <w:tcPr>
            <w:tcW w:w="306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国内债务付息</w:t>
            </w: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r>
      <w:tr>
        <w:tblPrEx>
          <w:tblCellMar>
            <w:top w:w="0" w:type="dxa"/>
            <w:left w:w="108" w:type="dxa"/>
            <w:bottom w:w="0" w:type="dxa"/>
            <w:right w:w="108" w:type="dxa"/>
          </w:tblCellMar>
        </w:tblPrEx>
        <w:trPr>
          <w:trHeight w:val="230" w:hRule="exact"/>
          <w:jc w:val="center"/>
        </w:trPr>
        <w:tc>
          <w:tcPr>
            <w:tcW w:w="1416" w:type="dxa"/>
            <w:gridSpan w:val="2"/>
            <w:tcBorders>
              <w:top w:val="nil"/>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30102</w:t>
            </w:r>
          </w:p>
        </w:tc>
        <w:tc>
          <w:tcPr>
            <w:tcW w:w="2466" w:type="dxa"/>
            <w:gridSpan w:val="3"/>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津贴补贴</w:t>
            </w:r>
          </w:p>
        </w:tc>
        <w:tc>
          <w:tcPr>
            <w:tcW w:w="81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721.34</w:t>
            </w:r>
          </w:p>
        </w:tc>
        <w:tc>
          <w:tcPr>
            <w:tcW w:w="1416" w:type="dxa"/>
            <w:gridSpan w:val="2"/>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30202</w:t>
            </w:r>
          </w:p>
        </w:tc>
        <w:tc>
          <w:tcPr>
            <w:tcW w:w="17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印刷费</w:t>
            </w:r>
          </w:p>
        </w:tc>
        <w:tc>
          <w:tcPr>
            <w:tcW w:w="66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11.26</w:t>
            </w:r>
          </w:p>
        </w:tc>
        <w:tc>
          <w:tcPr>
            <w:tcW w:w="14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30702</w:t>
            </w:r>
          </w:p>
        </w:tc>
        <w:tc>
          <w:tcPr>
            <w:tcW w:w="306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国外债务付息</w:t>
            </w: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r>
      <w:tr>
        <w:tblPrEx>
          <w:tblCellMar>
            <w:top w:w="0" w:type="dxa"/>
            <w:left w:w="108" w:type="dxa"/>
            <w:bottom w:w="0" w:type="dxa"/>
            <w:right w:w="108" w:type="dxa"/>
          </w:tblCellMar>
        </w:tblPrEx>
        <w:trPr>
          <w:trHeight w:val="210" w:hRule="exact"/>
          <w:jc w:val="center"/>
        </w:trPr>
        <w:tc>
          <w:tcPr>
            <w:tcW w:w="1416" w:type="dxa"/>
            <w:gridSpan w:val="2"/>
            <w:tcBorders>
              <w:top w:val="nil"/>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30103</w:t>
            </w:r>
          </w:p>
        </w:tc>
        <w:tc>
          <w:tcPr>
            <w:tcW w:w="2466" w:type="dxa"/>
            <w:gridSpan w:val="3"/>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奖金</w:t>
            </w:r>
          </w:p>
        </w:tc>
        <w:tc>
          <w:tcPr>
            <w:tcW w:w="81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72.52</w:t>
            </w:r>
          </w:p>
        </w:tc>
        <w:tc>
          <w:tcPr>
            <w:tcW w:w="1416" w:type="dxa"/>
            <w:gridSpan w:val="2"/>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30203</w:t>
            </w:r>
          </w:p>
        </w:tc>
        <w:tc>
          <w:tcPr>
            <w:tcW w:w="17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咨询费</w:t>
            </w:r>
          </w:p>
        </w:tc>
        <w:tc>
          <w:tcPr>
            <w:tcW w:w="666"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sz w:val="15"/>
                <w:szCs w:val="15"/>
                <w:u w:val="none"/>
              </w:rPr>
            </w:pPr>
          </w:p>
        </w:tc>
        <w:tc>
          <w:tcPr>
            <w:tcW w:w="14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310</w:t>
            </w:r>
          </w:p>
        </w:tc>
        <w:tc>
          <w:tcPr>
            <w:tcW w:w="306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资本性支出</w:t>
            </w:r>
          </w:p>
        </w:tc>
        <w:tc>
          <w:tcPr>
            <w:tcW w:w="66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21.78</w:t>
            </w:r>
          </w:p>
        </w:tc>
      </w:tr>
      <w:tr>
        <w:tblPrEx>
          <w:tblCellMar>
            <w:top w:w="0" w:type="dxa"/>
            <w:left w:w="108" w:type="dxa"/>
            <w:bottom w:w="0" w:type="dxa"/>
            <w:right w:w="108" w:type="dxa"/>
          </w:tblCellMar>
        </w:tblPrEx>
        <w:trPr>
          <w:trHeight w:val="210" w:hRule="exact"/>
          <w:jc w:val="center"/>
        </w:trPr>
        <w:tc>
          <w:tcPr>
            <w:tcW w:w="1416" w:type="dxa"/>
            <w:gridSpan w:val="2"/>
            <w:tcBorders>
              <w:top w:val="nil"/>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30106</w:t>
            </w:r>
          </w:p>
        </w:tc>
        <w:tc>
          <w:tcPr>
            <w:tcW w:w="2466" w:type="dxa"/>
            <w:gridSpan w:val="3"/>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伙食补助费</w:t>
            </w:r>
          </w:p>
        </w:tc>
        <w:tc>
          <w:tcPr>
            <w:tcW w:w="81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c>
          <w:tcPr>
            <w:tcW w:w="1416" w:type="dxa"/>
            <w:gridSpan w:val="2"/>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30204</w:t>
            </w:r>
          </w:p>
        </w:tc>
        <w:tc>
          <w:tcPr>
            <w:tcW w:w="17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手续费</w:t>
            </w:r>
          </w:p>
        </w:tc>
        <w:tc>
          <w:tcPr>
            <w:tcW w:w="666"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sz w:val="15"/>
                <w:szCs w:val="15"/>
                <w:u w:val="none"/>
              </w:rPr>
            </w:pPr>
          </w:p>
        </w:tc>
        <w:tc>
          <w:tcPr>
            <w:tcW w:w="14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31001</w:t>
            </w:r>
          </w:p>
        </w:tc>
        <w:tc>
          <w:tcPr>
            <w:tcW w:w="306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房屋建筑物购建</w:t>
            </w:r>
          </w:p>
        </w:tc>
        <w:tc>
          <w:tcPr>
            <w:tcW w:w="666"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sz w:val="15"/>
                <w:szCs w:val="15"/>
                <w:u w:val="none"/>
              </w:rPr>
            </w:pPr>
          </w:p>
        </w:tc>
      </w:tr>
      <w:tr>
        <w:tblPrEx>
          <w:tblCellMar>
            <w:top w:w="0" w:type="dxa"/>
            <w:left w:w="108" w:type="dxa"/>
            <w:bottom w:w="0" w:type="dxa"/>
            <w:right w:w="108" w:type="dxa"/>
          </w:tblCellMar>
        </w:tblPrEx>
        <w:trPr>
          <w:trHeight w:val="210" w:hRule="exact"/>
          <w:jc w:val="center"/>
        </w:trPr>
        <w:tc>
          <w:tcPr>
            <w:tcW w:w="1416" w:type="dxa"/>
            <w:gridSpan w:val="2"/>
            <w:tcBorders>
              <w:top w:val="nil"/>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30107</w:t>
            </w:r>
          </w:p>
        </w:tc>
        <w:tc>
          <w:tcPr>
            <w:tcW w:w="2466" w:type="dxa"/>
            <w:gridSpan w:val="3"/>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绩效工资</w:t>
            </w:r>
          </w:p>
        </w:tc>
        <w:tc>
          <w:tcPr>
            <w:tcW w:w="81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498.96</w:t>
            </w:r>
          </w:p>
        </w:tc>
        <w:tc>
          <w:tcPr>
            <w:tcW w:w="1416" w:type="dxa"/>
            <w:gridSpan w:val="2"/>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30205</w:t>
            </w:r>
          </w:p>
        </w:tc>
        <w:tc>
          <w:tcPr>
            <w:tcW w:w="17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水费</w:t>
            </w:r>
          </w:p>
        </w:tc>
        <w:tc>
          <w:tcPr>
            <w:tcW w:w="66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6.34</w:t>
            </w:r>
          </w:p>
        </w:tc>
        <w:tc>
          <w:tcPr>
            <w:tcW w:w="14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31002</w:t>
            </w:r>
          </w:p>
        </w:tc>
        <w:tc>
          <w:tcPr>
            <w:tcW w:w="306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办公设备购置</w:t>
            </w:r>
          </w:p>
        </w:tc>
        <w:tc>
          <w:tcPr>
            <w:tcW w:w="66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21.78</w:t>
            </w:r>
          </w:p>
        </w:tc>
      </w:tr>
      <w:tr>
        <w:tblPrEx>
          <w:tblCellMar>
            <w:top w:w="0" w:type="dxa"/>
            <w:left w:w="108" w:type="dxa"/>
            <w:bottom w:w="0" w:type="dxa"/>
            <w:right w:w="108" w:type="dxa"/>
          </w:tblCellMar>
        </w:tblPrEx>
        <w:trPr>
          <w:trHeight w:val="210" w:hRule="exact"/>
          <w:jc w:val="center"/>
        </w:trPr>
        <w:tc>
          <w:tcPr>
            <w:tcW w:w="1416" w:type="dxa"/>
            <w:gridSpan w:val="2"/>
            <w:tcBorders>
              <w:top w:val="nil"/>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30108</w:t>
            </w:r>
          </w:p>
        </w:tc>
        <w:tc>
          <w:tcPr>
            <w:tcW w:w="2466" w:type="dxa"/>
            <w:gridSpan w:val="3"/>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机关事业单位基本养老保险缴费</w:t>
            </w:r>
          </w:p>
        </w:tc>
        <w:tc>
          <w:tcPr>
            <w:tcW w:w="81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251.54</w:t>
            </w:r>
          </w:p>
        </w:tc>
        <w:tc>
          <w:tcPr>
            <w:tcW w:w="1416" w:type="dxa"/>
            <w:gridSpan w:val="2"/>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30206</w:t>
            </w:r>
          </w:p>
        </w:tc>
        <w:tc>
          <w:tcPr>
            <w:tcW w:w="17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电费</w:t>
            </w:r>
          </w:p>
        </w:tc>
        <w:tc>
          <w:tcPr>
            <w:tcW w:w="66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122.12</w:t>
            </w:r>
          </w:p>
        </w:tc>
        <w:tc>
          <w:tcPr>
            <w:tcW w:w="14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31003</w:t>
            </w:r>
          </w:p>
        </w:tc>
        <w:tc>
          <w:tcPr>
            <w:tcW w:w="306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专用设备购置</w:t>
            </w: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r>
      <w:tr>
        <w:tblPrEx>
          <w:tblCellMar>
            <w:top w:w="0" w:type="dxa"/>
            <w:left w:w="108" w:type="dxa"/>
            <w:bottom w:w="0" w:type="dxa"/>
            <w:right w:w="108" w:type="dxa"/>
          </w:tblCellMar>
        </w:tblPrEx>
        <w:trPr>
          <w:trHeight w:val="210" w:hRule="exact"/>
          <w:jc w:val="center"/>
        </w:trPr>
        <w:tc>
          <w:tcPr>
            <w:tcW w:w="1416" w:type="dxa"/>
            <w:gridSpan w:val="2"/>
            <w:tcBorders>
              <w:top w:val="nil"/>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30109</w:t>
            </w:r>
          </w:p>
        </w:tc>
        <w:tc>
          <w:tcPr>
            <w:tcW w:w="2466" w:type="dxa"/>
            <w:gridSpan w:val="3"/>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职业年金缴费</w:t>
            </w:r>
          </w:p>
        </w:tc>
        <w:tc>
          <w:tcPr>
            <w:tcW w:w="81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38.30</w:t>
            </w:r>
          </w:p>
        </w:tc>
        <w:tc>
          <w:tcPr>
            <w:tcW w:w="1416" w:type="dxa"/>
            <w:gridSpan w:val="2"/>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30207</w:t>
            </w:r>
          </w:p>
        </w:tc>
        <w:tc>
          <w:tcPr>
            <w:tcW w:w="17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邮电费</w:t>
            </w:r>
          </w:p>
        </w:tc>
        <w:tc>
          <w:tcPr>
            <w:tcW w:w="66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138.13</w:t>
            </w:r>
          </w:p>
        </w:tc>
        <w:tc>
          <w:tcPr>
            <w:tcW w:w="14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31005</w:t>
            </w:r>
          </w:p>
        </w:tc>
        <w:tc>
          <w:tcPr>
            <w:tcW w:w="306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基础设施建设</w:t>
            </w: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r>
      <w:tr>
        <w:tblPrEx>
          <w:tblCellMar>
            <w:top w:w="0" w:type="dxa"/>
            <w:left w:w="108" w:type="dxa"/>
            <w:bottom w:w="0" w:type="dxa"/>
            <w:right w:w="108" w:type="dxa"/>
          </w:tblCellMar>
        </w:tblPrEx>
        <w:trPr>
          <w:trHeight w:val="210" w:hRule="exact"/>
          <w:jc w:val="center"/>
        </w:trPr>
        <w:tc>
          <w:tcPr>
            <w:tcW w:w="1416" w:type="dxa"/>
            <w:gridSpan w:val="2"/>
            <w:tcBorders>
              <w:top w:val="nil"/>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30110</w:t>
            </w:r>
          </w:p>
        </w:tc>
        <w:tc>
          <w:tcPr>
            <w:tcW w:w="2466" w:type="dxa"/>
            <w:gridSpan w:val="3"/>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职工基本医疗保险缴费</w:t>
            </w:r>
          </w:p>
        </w:tc>
        <w:tc>
          <w:tcPr>
            <w:tcW w:w="81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122.50</w:t>
            </w:r>
          </w:p>
        </w:tc>
        <w:tc>
          <w:tcPr>
            <w:tcW w:w="1416" w:type="dxa"/>
            <w:gridSpan w:val="2"/>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30208</w:t>
            </w:r>
          </w:p>
        </w:tc>
        <w:tc>
          <w:tcPr>
            <w:tcW w:w="17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取暖费</w:t>
            </w:r>
          </w:p>
        </w:tc>
        <w:tc>
          <w:tcPr>
            <w:tcW w:w="666"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sz w:val="15"/>
                <w:szCs w:val="15"/>
                <w:u w:val="none"/>
              </w:rPr>
            </w:pPr>
          </w:p>
        </w:tc>
        <w:tc>
          <w:tcPr>
            <w:tcW w:w="14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31006</w:t>
            </w:r>
          </w:p>
        </w:tc>
        <w:tc>
          <w:tcPr>
            <w:tcW w:w="306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大型修缮</w:t>
            </w: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r>
      <w:tr>
        <w:tblPrEx>
          <w:tblCellMar>
            <w:top w:w="0" w:type="dxa"/>
            <w:left w:w="108" w:type="dxa"/>
            <w:bottom w:w="0" w:type="dxa"/>
            <w:right w:w="108" w:type="dxa"/>
          </w:tblCellMar>
        </w:tblPrEx>
        <w:trPr>
          <w:trHeight w:val="210" w:hRule="exact"/>
          <w:jc w:val="center"/>
        </w:trPr>
        <w:tc>
          <w:tcPr>
            <w:tcW w:w="1416" w:type="dxa"/>
            <w:gridSpan w:val="2"/>
            <w:tcBorders>
              <w:top w:val="nil"/>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30111</w:t>
            </w:r>
          </w:p>
        </w:tc>
        <w:tc>
          <w:tcPr>
            <w:tcW w:w="2466" w:type="dxa"/>
            <w:gridSpan w:val="3"/>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公务员医疗补助缴费</w:t>
            </w:r>
          </w:p>
        </w:tc>
        <w:tc>
          <w:tcPr>
            <w:tcW w:w="81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c>
          <w:tcPr>
            <w:tcW w:w="1416" w:type="dxa"/>
            <w:gridSpan w:val="2"/>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30209</w:t>
            </w:r>
          </w:p>
        </w:tc>
        <w:tc>
          <w:tcPr>
            <w:tcW w:w="17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物业管理费</w:t>
            </w:r>
          </w:p>
        </w:tc>
        <w:tc>
          <w:tcPr>
            <w:tcW w:w="666"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sz w:val="15"/>
                <w:szCs w:val="15"/>
                <w:u w:val="none"/>
              </w:rPr>
            </w:pPr>
          </w:p>
        </w:tc>
        <w:tc>
          <w:tcPr>
            <w:tcW w:w="14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31007</w:t>
            </w:r>
          </w:p>
        </w:tc>
        <w:tc>
          <w:tcPr>
            <w:tcW w:w="306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信息网络及软件购置更新</w:t>
            </w: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r>
      <w:tr>
        <w:tblPrEx>
          <w:tblCellMar>
            <w:top w:w="0" w:type="dxa"/>
            <w:left w:w="108" w:type="dxa"/>
            <w:bottom w:w="0" w:type="dxa"/>
            <w:right w:w="108" w:type="dxa"/>
          </w:tblCellMar>
        </w:tblPrEx>
        <w:trPr>
          <w:trHeight w:val="210" w:hRule="exact"/>
          <w:jc w:val="center"/>
        </w:trPr>
        <w:tc>
          <w:tcPr>
            <w:tcW w:w="1416" w:type="dxa"/>
            <w:gridSpan w:val="2"/>
            <w:tcBorders>
              <w:top w:val="nil"/>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30112</w:t>
            </w:r>
          </w:p>
        </w:tc>
        <w:tc>
          <w:tcPr>
            <w:tcW w:w="2466" w:type="dxa"/>
            <w:gridSpan w:val="3"/>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其他社会保障缴费</w:t>
            </w:r>
          </w:p>
        </w:tc>
        <w:tc>
          <w:tcPr>
            <w:tcW w:w="81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c>
          <w:tcPr>
            <w:tcW w:w="1416" w:type="dxa"/>
            <w:gridSpan w:val="2"/>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30211</w:t>
            </w:r>
          </w:p>
        </w:tc>
        <w:tc>
          <w:tcPr>
            <w:tcW w:w="17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差旅费</w:t>
            </w:r>
          </w:p>
        </w:tc>
        <w:tc>
          <w:tcPr>
            <w:tcW w:w="66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44.66</w:t>
            </w:r>
          </w:p>
        </w:tc>
        <w:tc>
          <w:tcPr>
            <w:tcW w:w="14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31008</w:t>
            </w:r>
          </w:p>
        </w:tc>
        <w:tc>
          <w:tcPr>
            <w:tcW w:w="306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物资储备</w:t>
            </w: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r>
      <w:tr>
        <w:tblPrEx>
          <w:tblCellMar>
            <w:top w:w="0" w:type="dxa"/>
            <w:left w:w="108" w:type="dxa"/>
            <w:bottom w:w="0" w:type="dxa"/>
            <w:right w:w="108" w:type="dxa"/>
          </w:tblCellMar>
        </w:tblPrEx>
        <w:trPr>
          <w:trHeight w:val="210" w:hRule="exact"/>
          <w:jc w:val="center"/>
        </w:trPr>
        <w:tc>
          <w:tcPr>
            <w:tcW w:w="1416" w:type="dxa"/>
            <w:gridSpan w:val="2"/>
            <w:tcBorders>
              <w:top w:val="nil"/>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30113</w:t>
            </w:r>
          </w:p>
        </w:tc>
        <w:tc>
          <w:tcPr>
            <w:tcW w:w="2466" w:type="dxa"/>
            <w:gridSpan w:val="3"/>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住房公积金</w:t>
            </w:r>
          </w:p>
        </w:tc>
        <w:tc>
          <w:tcPr>
            <w:tcW w:w="81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358.72</w:t>
            </w:r>
          </w:p>
        </w:tc>
        <w:tc>
          <w:tcPr>
            <w:tcW w:w="1416" w:type="dxa"/>
            <w:gridSpan w:val="2"/>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30212</w:t>
            </w:r>
          </w:p>
        </w:tc>
        <w:tc>
          <w:tcPr>
            <w:tcW w:w="17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因公出国（境）费用</w:t>
            </w:r>
          </w:p>
        </w:tc>
        <w:tc>
          <w:tcPr>
            <w:tcW w:w="666"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sz w:val="15"/>
                <w:szCs w:val="15"/>
                <w:u w:val="none"/>
              </w:rPr>
            </w:pPr>
          </w:p>
        </w:tc>
        <w:tc>
          <w:tcPr>
            <w:tcW w:w="14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31009</w:t>
            </w:r>
          </w:p>
        </w:tc>
        <w:tc>
          <w:tcPr>
            <w:tcW w:w="306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土地补偿</w:t>
            </w: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r>
      <w:tr>
        <w:tblPrEx>
          <w:tblCellMar>
            <w:top w:w="0" w:type="dxa"/>
            <w:left w:w="108" w:type="dxa"/>
            <w:bottom w:w="0" w:type="dxa"/>
            <w:right w:w="108" w:type="dxa"/>
          </w:tblCellMar>
        </w:tblPrEx>
        <w:trPr>
          <w:trHeight w:val="210" w:hRule="exact"/>
          <w:jc w:val="center"/>
        </w:trPr>
        <w:tc>
          <w:tcPr>
            <w:tcW w:w="1416" w:type="dxa"/>
            <w:gridSpan w:val="2"/>
            <w:tcBorders>
              <w:top w:val="nil"/>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30114</w:t>
            </w:r>
          </w:p>
        </w:tc>
        <w:tc>
          <w:tcPr>
            <w:tcW w:w="2466" w:type="dxa"/>
            <w:gridSpan w:val="3"/>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医疗费</w:t>
            </w:r>
          </w:p>
        </w:tc>
        <w:tc>
          <w:tcPr>
            <w:tcW w:w="816"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sz w:val="15"/>
                <w:szCs w:val="15"/>
                <w:u w:val="none"/>
              </w:rPr>
            </w:pPr>
          </w:p>
        </w:tc>
        <w:tc>
          <w:tcPr>
            <w:tcW w:w="1416" w:type="dxa"/>
            <w:gridSpan w:val="2"/>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30213</w:t>
            </w:r>
          </w:p>
        </w:tc>
        <w:tc>
          <w:tcPr>
            <w:tcW w:w="17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维修（护）费</w:t>
            </w:r>
          </w:p>
        </w:tc>
        <w:tc>
          <w:tcPr>
            <w:tcW w:w="66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16.45</w:t>
            </w:r>
          </w:p>
        </w:tc>
        <w:tc>
          <w:tcPr>
            <w:tcW w:w="14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31010</w:t>
            </w:r>
          </w:p>
        </w:tc>
        <w:tc>
          <w:tcPr>
            <w:tcW w:w="306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安置补助</w:t>
            </w: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r>
      <w:tr>
        <w:tblPrEx>
          <w:tblCellMar>
            <w:top w:w="0" w:type="dxa"/>
            <w:left w:w="108" w:type="dxa"/>
            <w:bottom w:w="0" w:type="dxa"/>
            <w:right w:w="108" w:type="dxa"/>
          </w:tblCellMar>
        </w:tblPrEx>
        <w:trPr>
          <w:trHeight w:val="210" w:hRule="exact"/>
          <w:jc w:val="center"/>
        </w:trPr>
        <w:tc>
          <w:tcPr>
            <w:tcW w:w="1416" w:type="dxa"/>
            <w:gridSpan w:val="2"/>
            <w:tcBorders>
              <w:top w:val="nil"/>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30199</w:t>
            </w:r>
          </w:p>
        </w:tc>
        <w:tc>
          <w:tcPr>
            <w:tcW w:w="2466" w:type="dxa"/>
            <w:gridSpan w:val="3"/>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其他工资福利支出</w:t>
            </w:r>
          </w:p>
        </w:tc>
        <w:tc>
          <w:tcPr>
            <w:tcW w:w="816"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sz w:val="15"/>
                <w:szCs w:val="15"/>
                <w:u w:val="none"/>
              </w:rPr>
            </w:pPr>
          </w:p>
        </w:tc>
        <w:tc>
          <w:tcPr>
            <w:tcW w:w="1416" w:type="dxa"/>
            <w:gridSpan w:val="2"/>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30214</w:t>
            </w:r>
          </w:p>
        </w:tc>
        <w:tc>
          <w:tcPr>
            <w:tcW w:w="17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租赁费</w:t>
            </w: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c>
          <w:tcPr>
            <w:tcW w:w="14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31011</w:t>
            </w:r>
          </w:p>
        </w:tc>
        <w:tc>
          <w:tcPr>
            <w:tcW w:w="306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地上附着物和青苗补偿</w:t>
            </w: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r>
      <w:tr>
        <w:tblPrEx>
          <w:tblCellMar>
            <w:top w:w="0" w:type="dxa"/>
            <w:left w:w="108" w:type="dxa"/>
            <w:bottom w:w="0" w:type="dxa"/>
            <w:right w:w="108" w:type="dxa"/>
          </w:tblCellMar>
        </w:tblPrEx>
        <w:trPr>
          <w:trHeight w:val="210" w:hRule="exact"/>
          <w:jc w:val="center"/>
        </w:trPr>
        <w:tc>
          <w:tcPr>
            <w:tcW w:w="1416" w:type="dxa"/>
            <w:gridSpan w:val="2"/>
            <w:tcBorders>
              <w:top w:val="nil"/>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303</w:t>
            </w:r>
          </w:p>
        </w:tc>
        <w:tc>
          <w:tcPr>
            <w:tcW w:w="2466" w:type="dxa"/>
            <w:gridSpan w:val="3"/>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对个人和家庭的补助</w:t>
            </w:r>
          </w:p>
        </w:tc>
        <w:tc>
          <w:tcPr>
            <w:tcW w:w="81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979.08</w:t>
            </w:r>
          </w:p>
        </w:tc>
        <w:tc>
          <w:tcPr>
            <w:tcW w:w="1416" w:type="dxa"/>
            <w:gridSpan w:val="2"/>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30215</w:t>
            </w:r>
          </w:p>
        </w:tc>
        <w:tc>
          <w:tcPr>
            <w:tcW w:w="17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会议费</w:t>
            </w: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c>
          <w:tcPr>
            <w:tcW w:w="14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31012</w:t>
            </w:r>
          </w:p>
        </w:tc>
        <w:tc>
          <w:tcPr>
            <w:tcW w:w="306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拆迁补偿</w:t>
            </w: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r>
      <w:tr>
        <w:tblPrEx>
          <w:tblCellMar>
            <w:top w:w="0" w:type="dxa"/>
            <w:left w:w="108" w:type="dxa"/>
            <w:bottom w:w="0" w:type="dxa"/>
            <w:right w:w="108" w:type="dxa"/>
          </w:tblCellMar>
        </w:tblPrEx>
        <w:trPr>
          <w:trHeight w:val="210" w:hRule="exact"/>
          <w:jc w:val="center"/>
        </w:trPr>
        <w:tc>
          <w:tcPr>
            <w:tcW w:w="1416" w:type="dxa"/>
            <w:gridSpan w:val="2"/>
            <w:tcBorders>
              <w:top w:val="nil"/>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30301</w:t>
            </w:r>
          </w:p>
        </w:tc>
        <w:tc>
          <w:tcPr>
            <w:tcW w:w="2466" w:type="dxa"/>
            <w:gridSpan w:val="3"/>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离休费</w:t>
            </w:r>
          </w:p>
        </w:tc>
        <w:tc>
          <w:tcPr>
            <w:tcW w:w="81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87.96</w:t>
            </w:r>
          </w:p>
        </w:tc>
        <w:tc>
          <w:tcPr>
            <w:tcW w:w="1416" w:type="dxa"/>
            <w:gridSpan w:val="2"/>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30216</w:t>
            </w:r>
          </w:p>
        </w:tc>
        <w:tc>
          <w:tcPr>
            <w:tcW w:w="17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培训费</w:t>
            </w: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c>
          <w:tcPr>
            <w:tcW w:w="14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31013</w:t>
            </w:r>
          </w:p>
        </w:tc>
        <w:tc>
          <w:tcPr>
            <w:tcW w:w="306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公务用车购置</w:t>
            </w: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r>
      <w:tr>
        <w:tblPrEx>
          <w:tblCellMar>
            <w:top w:w="0" w:type="dxa"/>
            <w:left w:w="108" w:type="dxa"/>
            <w:bottom w:w="0" w:type="dxa"/>
            <w:right w:w="108" w:type="dxa"/>
          </w:tblCellMar>
        </w:tblPrEx>
        <w:trPr>
          <w:trHeight w:val="210" w:hRule="exact"/>
          <w:jc w:val="center"/>
        </w:trPr>
        <w:tc>
          <w:tcPr>
            <w:tcW w:w="1416" w:type="dxa"/>
            <w:gridSpan w:val="2"/>
            <w:tcBorders>
              <w:top w:val="nil"/>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30302</w:t>
            </w:r>
          </w:p>
        </w:tc>
        <w:tc>
          <w:tcPr>
            <w:tcW w:w="2466" w:type="dxa"/>
            <w:gridSpan w:val="3"/>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退休费</w:t>
            </w:r>
          </w:p>
        </w:tc>
        <w:tc>
          <w:tcPr>
            <w:tcW w:w="81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c>
          <w:tcPr>
            <w:tcW w:w="1416" w:type="dxa"/>
            <w:gridSpan w:val="2"/>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30217</w:t>
            </w:r>
          </w:p>
        </w:tc>
        <w:tc>
          <w:tcPr>
            <w:tcW w:w="17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公务接待费</w:t>
            </w:r>
          </w:p>
        </w:tc>
        <w:tc>
          <w:tcPr>
            <w:tcW w:w="66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0.19</w:t>
            </w:r>
          </w:p>
        </w:tc>
        <w:tc>
          <w:tcPr>
            <w:tcW w:w="14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31019</w:t>
            </w:r>
          </w:p>
        </w:tc>
        <w:tc>
          <w:tcPr>
            <w:tcW w:w="306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其他交通工具购置</w:t>
            </w: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r>
      <w:tr>
        <w:tblPrEx>
          <w:tblCellMar>
            <w:top w:w="0" w:type="dxa"/>
            <w:left w:w="108" w:type="dxa"/>
            <w:bottom w:w="0" w:type="dxa"/>
            <w:right w:w="108" w:type="dxa"/>
          </w:tblCellMar>
        </w:tblPrEx>
        <w:trPr>
          <w:trHeight w:val="210" w:hRule="exact"/>
          <w:jc w:val="center"/>
        </w:trPr>
        <w:tc>
          <w:tcPr>
            <w:tcW w:w="1416" w:type="dxa"/>
            <w:gridSpan w:val="2"/>
            <w:tcBorders>
              <w:top w:val="nil"/>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30303</w:t>
            </w:r>
          </w:p>
        </w:tc>
        <w:tc>
          <w:tcPr>
            <w:tcW w:w="2466" w:type="dxa"/>
            <w:gridSpan w:val="3"/>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退职（役）费</w:t>
            </w:r>
          </w:p>
        </w:tc>
        <w:tc>
          <w:tcPr>
            <w:tcW w:w="81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c>
          <w:tcPr>
            <w:tcW w:w="1416" w:type="dxa"/>
            <w:gridSpan w:val="2"/>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30218</w:t>
            </w:r>
          </w:p>
        </w:tc>
        <w:tc>
          <w:tcPr>
            <w:tcW w:w="17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专用材料费</w:t>
            </w:r>
          </w:p>
        </w:tc>
        <w:tc>
          <w:tcPr>
            <w:tcW w:w="666"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sz w:val="15"/>
                <w:szCs w:val="15"/>
                <w:u w:val="none"/>
              </w:rPr>
            </w:pPr>
          </w:p>
        </w:tc>
        <w:tc>
          <w:tcPr>
            <w:tcW w:w="14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31021</w:t>
            </w:r>
          </w:p>
        </w:tc>
        <w:tc>
          <w:tcPr>
            <w:tcW w:w="306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文物和陈列品购置</w:t>
            </w: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r>
      <w:tr>
        <w:tblPrEx>
          <w:tblCellMar>
            <w:top w:w="0" w:type="dxa"/>
            <w:left w:w="108" w:type="dxa"/>
            <w:bottom w:w="0" w:type="dxa"/>
            <w:right w:w="108" w:type="dxa"/>
          </w:tblCellMar>
        </w:tblPrEx>
        <w:trPr>
          <w:trHeight w:val="210" w:hRule="exact"/>
          <w:jc w:val="center"/>
        </w:trPr>
        <w:tc>
          <w:tcPr>
            <w:tcW w:w="1416" w:type="dxa"/>
            <w:gridSpan w:val="2"/>
            <w:tcBorders>
              <w:top w:val="nil"/>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30304</w:t>
            </w:r>
          </w:p>
        </w:tc>
        <w:tc>
          <w:tcPr>
            <w:tcW w:w="2466" w:type="dxa"/>
            <w:gridSpan w:val="3"/>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抚恤金</w:t>
            </w:r>
          </w:p>
        </w:tc>
        <w:tc>
          <w:tcPr>
            <w:tcW w:w="81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c>
          <w:tcPr>
            <w:tcW w:w="1416" w:type="dxa"/>
            <w:gridSpan w:val="2"/>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30224</w:t>
            </w:r>
          </w:p>
        </w:tc>
        <w:tc>
          <w:tcPr>
            <w:tcW w:w="17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被装购置费</w:t>
            </w:r>
          </w:p>
        </w:tc>
        <w:tc>
          <w:tcPr>
            <w:tcW w:w="666"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sz w:val="15"/>
                <w:szCs w:val="15"/>
                <w:u w:val="none"/>
              </w:rPr>
            </w:pPr>
          </w:p>
        </w:tc>
        <w:tc>
          <w:tcPr>
            <w:tcW w:w="14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31022</w:t>
            </w:r>
          </w:p>
        </w:tc>
        <w:tc>
          <w:tcPr>
            <w:tcW w:w="306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无形资产购置</w:t>
            </w: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r>
      <w:tr>
        <w:tblPrEx>
          <w:tblCellMar>
            <w:top w:w="0" w:type="dxa"/>
            <w:left w:w="108" w:type="dxa"/>
            <w:bottom w:w="0" w:type="dxa"/>
            <w:right w:w="108" w:type="dxa"/>
          </w:tblCellMar>
        </w:tblPrEx>
        <w:trPr>
          <w:trHeight w:val="210" w:hRule="exact"/>
          <w:jc w:val="center"/>
        </w:trPr>
        <w:tc>
          <w:tcPr>
            <w:tcW w:w="1416" w:type="dxa"/>
            <w:gridSpan w:val="2"/>
            <w:tcBorders>
              <w:top w:val="nil"/>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30305</w:t>
            </w:r>
          </w:p>
        </w:tc>
        <w:tc>
          <w:tcPr>
            <w:tcW w:w="2466" w:type="dxa"/>
            <w:gridSpan w:val="3"/>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生活补助</w:t>
            </w:r>
          </w:p>
        </w:tc>
        <w:tc>
          <w:tcPr>
            <w:tcW w:w="81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c>
          <w:tcPr>
            <w:tcW w:w="1416" w:type="dxa"/>
            <w:gridSpan w:val="2"/>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30225</w:t>
            </w:r>
          </w:p>
        </w:tc>
        <w:tc>
          <w:tcPr>
            <w:tcW w:w="17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专用燃料费</w:t>
            </w:r>
          </w:p>
        </w:tc>
        <w:tc>
          <w:tcPr>
            <w:tcW w:w="666"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sz w:val="15"/>
                <w:szCs w:val="15"/>
                <w:u w:val="none"/>
              </w:rPr>
            </w:pPr>
          </w:p>
        </w:tc>
        <w:tc>
          <w:tcPr>
            <w:tcW w:w="14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31099</w:t>
            </w:r>
          </w:p>
        </w:tc>
        <w:tc>
          <w:tcPr>
            <w:tcW w:w="306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其他资本性支出</w:t>
            </w: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r>
      <w:tr>
        <w:tblPrEx>
          <w:tblCellMar>
            <w:top w:w="0" w:type="dxa"/>
            <w:left w:w="108" w:type="dxa"/>
            <w:bottom w:w="0" w:type="dxa"/>
            <w:right w:w="108" w:type="dxa"/>
          </w:tblCellMar>
        </w:tblPrEx>
        <w:trPr>
          <w:trHeight w:val="210" w:hRule="exact"/>
          <w:jc w:val="center"/>
        </w:trPr>
        <w:tc>
          <w:tcPr>
            <w:tcW w:w="1416" w:type="dxa"/>
            <w:gridSpan w:val="2"/>
            <w:tcBorders>
              <w:top w:val="nil"/>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30306</w:t>
            </w:r>
          </w:p>
        </w:tc>
        <w:tc>
          <w:tcPr>
            <w:tcW w:w="2466" w:type="dxa"/>
            <w:gridSpan w:val="3"/>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救济费</w:t>
            </w:r>
          </w:p>
        </w:tc>
        <w:tc>
          <w:tcPr>
            <w:tcW w:w="81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c>
          <w:tcPr>
            <w:tcW w:w="1416" w:type="dxa"/>
            <w:gridSpan w:val="2"/>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30226</w:t>
            </w:r>
          </w:p>
        </w:tc>
        <w:tc>
          <w:tcPr>
            <w:tcW w:w="17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劳务费</w:t>
            </w:r>
          </w:p>
        </w:tc>
        <w:tc>
          <w:tcPr>
            <w:tcW w:w="66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1.45</w:t>
            </w:r>
          </w:p>
        </w:tc>
        <w:tc>
          <w:tcPr>
            <w:tcW w:w="14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312</w:t>
            </w:r>
          </w:p>
        </w:tc>
        <w:tc>
          <w:tcPr>
            <w:tcW w:w="306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对企业补助</w:t>
            </w: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r>
      <w:tr>
        <w:tblPrEx>
          <w:tblCellMar>
            <w:top w:w="0" w:type="dxa"/>
            <w:left w:w="108" w:type="dxa"/>
            <w:bottom w:w="0" w:type="dxa"/>
            <w:right w:w="108" w:type="dxa"/>
          </w:tblCellMar>
        </w:tblPrEx>
        <w:trPr>
          <w:trHeight w:val="210" w:hRule="exact"/>
          <w:jc w:val="center"/>
        </w:trPr>
        <w:tc>
          <w:tcPr>
            <w:tcW w:w="1416" w:type="dxa"/>
            <w:gridSpan w:val="2"/>
            <w:tcBorders>
              <w:top w:val="nil"/>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30307</w:t>
            </w:r>
          </w:p>
        </w:tc>
        <w:tc>
          <w:tcPr>
            <w:tcW w:w="2466" w:type="dxa"/>
            <w:gridSpan w:val="3"/>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医疗费补助</w:t>
            </w:r>
          </w:p>
        </w:tc>
        <w:tc>
          <w:tcPr>
            <w:tcW w:w="81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c>
          <w:tcPr>
            <w:tcW w:w="1416" w:type="dxa"/>
            <w:gridSpan w:val="2"/>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30227</w:t>
            </w:r>
          </w:p>
        </w:tc>
        <w:tc>
          <w:tcPr>
            <w:tcW w:w="17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委托业务费</w:t>
            </w:r>
          </w:p>
        </w:tc>
        <w:tc>
          <w:tcPr>
            <w:tcW w:w="666"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sz w:val="15"/>
                <w:szCs w:val="15"/>
                <w:u w:val="none"/>
              </w:rPr>
            </w:pPr>
          </w:p>
        </w:tc>
        <w:tc>
          <w:tcPr>
            <w:tcW w:w="14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31201</w:t>
            </w:r>
          </w:p>
        </w:tc>
        <w:tc>
          <w:tcPr>
            <w:tcW w:w="306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资本金注入</w:t>
            </w: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r>
      <w:tr>
        <w:tblPrEx>
          <w:tblCellMar>
            <w:top w:w="0" w:type="dxa"/>
            <w:left w:w="108" w:type="dxa"/>
            <w:bottom w:w="0" w:type="dxa"/>
            <w:right w:w="108" w:type="dxa"/>
          </w:tblCellMar>
        </w:tblPrEx>
        <w:trPr>
          <w:trHeight w:val="210" w:hRule="exact"/>
          <w:jc w:val="center"/>
        </w:trPr>
        <w:tc>
          <w:tcPr>
            <w:tcW w:w="1416" w:type="dxa"/>
            <w:gridSpan w:val="2"/>
            <w:tcBorders>
              <w:top w:val="nil"/>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30308</w:t>
            </w:r>
          </w:p>
        </w:tc>
        <w:tc>
          <w:tcPr>
            <w:tcW w:w="2466" w:type="dxa"/>
            <w:gridSpan w:val="3"/>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助学金</w:t>
            </w:r>
          </w:p>
        </w:tc>
        <w:tc>
          <w:tcPr>
            <w:tcW w:w="81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c>
          <w:tcPr>
            <w:tcW w:w="1416" w:type="dxa"/>
            <w:gridSpan w:val="2"/>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30228</w:t>
            </w:r>
          </w:p>
        </w:tc>
        <w:tc>
          <w:tcPr>
            <w:tcW w:w="17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工会经费</w:t>
            </w:r>
          </w:p>
        </w:tc>
        <w:tc>
          <w:tcPr>
            <w:tcW w:w="66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47.91</w:t>
            </w:r>
          </w:p>
        </w:tc>
        <w:tc>
          <w:tcPr>
            <w:tcW w:w="14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31203</w:t>
            </w:r>
          </w:p>
        </w:tc>
        <w:tc>
          <w:tcPr>
            <w:tcW w:w="306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政府投资基金股权投资</w:t>
            </w: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r>
      <w:tr>
        <w:tblPrEx>
          <w:tblCellMar>
            <w:top w:w="0" w:type="dxa"/>
            <w:left w:w="108" w:type="dxa"/>
            <w:bottom w:w="0" w:type="dxa"/>
            <w:right w:w="108" w:type="dxa"/>
          </w:tblCellMar>
        </w:tblPrEx>
        <w:trPr>
          <w:trHeight w:val="210" w:hRule="exact"/>
          <w:jc w:val="center"/>
        </w:trPr>
        <w:tc>
          <w:tcPr>
            <w:tcW w:w="1416" w:type="dxa"/>
            <w:gridSpan w:val="2"/>
            <w:tcBorders>
              <w:top w:val="nil"/>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30309</w:t>
            </w:r>
          </w:p>
        </w:tc>
        <w:tc>
          <w:tcPr>
            <w:tcW w:w="2466" w:type="dxa"/>
            <w:gridSpan w:val="3"/>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奖励金</w:t>
            </w:r>
          </w:p>
        </w:tc>
        <w:tc>
          <w:tcPr>
            <w:tcW w:w="81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c>
          <w:tcPr>
            <w:tcW w:w="1416" w:type="dxa"/>
            <w:gridSpan w:val="2"/>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30229</w:t>
            </w:r>
          </w:p>
        </w:tc>
        <w:tc>
          <w:tcPr>
            <w:tcW w:w="17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福利费</w:t>
            </w:r>
          </w:p>
        </w:tc>
        <w:tc>
          <w:tcPr>
            <w:tcW w:w="666"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sz w:val="15"/>
                <w:szCs w:val="15"/>
                <w:u w:val="none"/>
              </w:rPr>
            </w:pPr>
          </w:p>
        </w:tc>
        <w:tc>
          <w:tcPr>
            <w:tcW w:w="14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31204</w:t>
            </w:r>
          </w:p>
        </w:tc>
        <w:tc>
          <w:tcPr>
            <w:tcW w:w="306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费用补贴</w:t>
            </w: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r>
      <w:tr>
        <w:tblPrEx>
          <w:tblCellMar>
            <w:top w:w="0" w:type="dxa"/>
            <w:left w:w="108" w:type="dxa"/>
            <w:bottom w:w="0" w:type="dxa"/>
            <w:right w:w="108" w:type="dxa"/>
          </w:tblCellMar>
        </w:tblPrEx>
        <w:trPr>
          <w:trHeight w:val="210" w:hRule="exact"/>
          <w:jc w:val="center"/>
        </w:trPr>
        <w:tc>
          <w:tcPr>
            <w:tcW w:w="1416" w:type="dxa"/>
            <w:gridSpan w:val="2"/>
            <w:tcBorders>
              <w:top w:val="nil"/>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30310</w:t>
            </w:r>
          </w:p>
        </w:tc>
        <w:tc>
          <w:tcPr>
            <w:tcW w:w="2466" w:type="dxa"/>
            <w:gridSpan w:val="3"/>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个人农业生产补贴</w:t>
            </w:r>
          </w:p>
        </w:tc>
        <w:tc>
          <w:tcPr>
            <w:tcW w:w="81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c>
          <w:tcPr>
            <w:tcW w:w="1416" w:type="dxa"/>
            <w:gridSpan w:val="2"/>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30231</w:t>
            </w:r>
          </w:p>
        </w:tc>
        <w:tc>
          <w:tcPr>
            <w:tcW w:w="17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公务用车运行维护费</w:t>
            </w:r>
          </w:p>
        </w:tc>
        <w:tc>
          <w:tcPr>
            <w:tcW w:w="66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3.45</w:t>
            </w:r>
          </w:p>
        </w:tc>
        <w:tc>
          <w:tcPr>
            <w:tcW w:w="14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31205</w:t>
            </w:r>
          </w:p>
        </w:tc>
        <w:tc>
          <w:tcPr>
            <w:tcW w:w="306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利息补贴</w:t>
            </w: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r>
      <w:tr>
        <w:tblPrEx>
          <w:tblCellMar>
            <w:top w:w="0" w:type="dxa"/>
            <w:left w:w="108" w:type="dxa"/>
            <w:bottom w:w="0" w:type="dxa"/>
            <w:right w:w="108" w:type="dxa"/>
          </w:tblCellMar>
        </w:tblPrEx>
        <w:trPr>
          <w:trHeight w:val="210" w:hRule="exact"/>
          <w:jc w:val="center"/>
        </w:trPr>
        <w:tc>
          <w:tcPr>
            <w:tcW w:w="1416" w:type="dxa"/>
            <w:gridSpan w:val="2"/>
            <w:tcBorders>
              <w:top w:val="nil"/>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30311</w:t>
            </w:r>
          </w:p>
        </w:tc>
        <w:tc>
          <w:tcPr>
            <w:tcW w:w="2466" w:type="dxa"/>
            <w:gridSpan w:val="3"/>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代缴社会保险费</w:t>
            </w:r>
          </w:p>
        </w:tc>
        <w:tc>
          <w:tcPr>
            <w:tcW w:w="81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c>
          <w:tcPr>
            <w:tcW w:w="1416" w:type="dxa"/>
            <w:gridSpan w:val="2"/>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30239</w:t>
            </w:r>
          </w:p>
        </w:tc>
        <w:tc>
          <w:tcPr>
            <w:tcW w:w="17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其他交通费用</w:t>
            </w:r>
          </w:p>
        </w:tc>
        <w:tc>
          <w:tcPr>
            <w:tcW w:w="66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174.14</w:t>
            </w:r>
          </w:p>
        </w:tc>
        <w:tc>
          <w:tcPr>
            <w:tcW w:w="14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31299</w:t>
            </w:r>
          </w:p>
        </w:tc>
        <w:tc>
          <w:tcPr>
            <w:tcW w:w="306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其他对企业补助</w:t>
            </w: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r>
      <w:tr>
        <w:tblPrEx>
          <w:tblCellMar>
            <w:top w:w="0" w:type="dxa"/>
            <w:left w:w="108" w:type="dxa"/>
            <w:bottom w:w="0" w:type="dxa"/>
            <w:right w:w="108" w:type="dxa"/>
          </w:tblCellMar>
        </w:tblPrEx>
        <w:trPr>
          <w:trHeight w:val="210" w:hRule="exact"/>
          <w:jc w:val="center"/>
        </w:trPr>
        <w:tc>
          <w:tcPr>
            <w:tcW w:w="1416" w:type="dxa"/>
            <w:gridSpan w:val="2"/>
            <w:tcBorders>
              <w:top w:val="nil"/>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30399</w:t>
            </w:r>
          </w:p>
        </w:tc>
        <w:tc>
          <w:tcPr>
            <w:tcW w:w="2466" w:type="dxa"/>
            <w:gridSpan w:val="3"/>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其他对个人和家庭的补助</w:t>
            </w:r>
          </w:p>
        </w:tc>
        <w:tc>
          <w:tcPr>
            <w:tcW w:w="81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891.12</w:t>
            </w:r>
          </w:p>
        </w:tc>
        <w:tc>
          <w:tcPr>
            <w:tcW w:w="1416" w:type="dxa"/>
            <w:gridSpan w:val="2"/>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30240</w:t>
            </w:r>
          </w:p>
        </w:tc>
        <w:tc>
          <w:tcPr>
            <w:tcW w:w="17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税金及附加费用</w:t>
            </w:r>
          </w:p>
        </w:tc>
        <w:tc>
          <w:tcPr>
            <w:tcW w:w="666"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sz w:val="15"/>
                <w:szCs w:val="15"/>
                <w:u w:val="none"/>
              </w:rPr>
            </w:pPr>
          </w:p>
        </w:tc>
        <w:tc>
          <w:tcPr>
            <w:tcW w:w="14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399</w:t>
            </w:r>
          </w:p>
        </w:tc>
        <w:tc>
          <w:tcPr>
            <w:tcW w:w="306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其他支出</w:t>
            </w: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r>
      <w:tr>
        <w:tblPrEx>
          <w:tblCellMar>
            <w:top w:w="0" w:type="dxa"/>
            <w:left w:w="108" w:type="dxa"/>
            <w:bottom w:w="0" w:type="dxa"/>
            <w:right w:w="108" w:type="dxa"/>
          </w:tblCellMar>
        </w:tblPrEx>
        <w:trPr>
          <w:trHeight w:val="210" w:hRule="exact"/>
          <w:jc w:val="center"/>
        </w:trPr>
        <w:tc>
          <w:tcPr>
            <w:tcW w:w="1416" w:type="dxa"/>
            <w:gridSpan w:val="2"/>
            <w:tcBorders>
              <w:top w:val="nil"/>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15"/>
                <w:szCs w:val="15"/>
              </w:rPr>
            </w:pPr>
          </w:p>
        </w:tc>
        <w:tc>
          <w:tcPr>
            <w:tcW w:w="2466" w:type="dxa"/>
            <w:gridSpan w:val="3"/>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p>
        </w:tc>
        <w:tc>
          <w:tcPr>
            <w:tcW w:w="81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c>
          <w:tcPr>
            <w:tcW w:w="1416" w:type="dxa"/>
            <w:gridSpan w:val="2"/>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30299</w:t>
            </w:r>
          </w:p>
        </w:tc>
        <w:tc>
          <w:tcPr>
            <w:tcW w:w="17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其他商品和服务支出</w:t>
            </w:r>
          </w:p>
        </w:tc>
        <w:tc>
          <w:tcPr>
            <w:tcW w:w="66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199.02</w:t>
            </w:r>
          </w:p>
        </w:tc>
        <w:tc>
          <w:tcPr>
            <w:tcW w:w="14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39906</w:t>
            </w:r>
          </w:p>
        </w:tc>
        <w:tc>
          <w:tcPr>
            <w:tcW w:w="306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赠与</w:t>
            </w: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r>
      <w:tr>
        <w:tblPrEx>
          <w:tblCellMar>
            <w:top w:w="0" w:type="dxa"/>
            <w:left w:w="108" w:type="dxa"/>
            <w:bottom w:w="0" w:type="dxa"/>
            <w:right w:w="108" w:type="dxa"/>
          </w:tblCellMar>
        </w:tblPrEx>
        <w:trPr>
          <w:trHeight w:val="210" w:hRule="exact"/>
          <w:jc w:val="center"/>
        </w:trPr>
        <w:tc>
          <w:tcPr>
            <w:tcW w:w="1416" w:type="dxa"/>
            <w:gridSpan w:val="2"/>
            <w:tcBorders>
              <w:top w:val="nil"/>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15"/>
                <w:szCs w:val="15"/>
              </w:rPr>
            </w:pPr>
          </w:p>
        </w:tc>
        <w:tc>
          <w:tcPr>
            <w:tcW w:w="2466" w:type="dxa"/>
            <w:gridSpan w:val="3"/>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p>
        </w:tc>
        <w:tc>
          <w:tcPr>
            <w:tcW w:w="81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c>
          <w:tcPr>
            <w:tcW w:w="1416" w:type="dxa"/>
            <w:gridSpan w:val="2"/>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p>
        </w:tc>
        <w:tc>
          <w:tcPr>
            <w:tcW w:w="17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c>
          <w:tcPr>
            <w:tcW w:w="14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39907</w:t>
            </w:r>
          </w:p>
        </w:tc>
        <w:tc>
          <w:tcPr>
            <w:tcW w:w="306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国家赔偿费用支出</w:t>
            </w: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r>
      <w:tr>
        <w:tblPrEx>
          <w:tblCellMar>
            <w:top w:w="0" w:type="dxa"/>
            <w:left w:w="108" w:type="dxa"/>
            <w:bottom w:w="0" w:type="dxa"/>
            <w:right w:w="108" w:type="dxa"/>
          </w:tblCellMar>
        </w:tblPrEx>
        <w:trPr>
          <w:trHeight w:val="210" w:hRule="exact"/>
          <w:jc w:val="center"/>
        </w:trPr>
        <w:tc>
          <w:tcPr>
            <w:tcW w:w="1416" w:type="dxa"/>
            <w:gridSpan w:val="2"/>
            <w:tcBorders>
              <w:top w:val="nil"/>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15"/>
                <w:szCs w:val="15"/>
              </w:rPr>
            </w:pPr>
          </w:p>
        </w:tc>
        <w:tc>
          <w:tcPr>
            <w:tcW w:w="2466" w:type="dxa"/>
            <w:gridSpan w:val="3"/>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p>
        </w:tc>
        <w:tc>
          <w:tcPr>
            <w:tcW w:w="81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c>
          <w:tcPr>
            <w:tcW w:w="1416" w:type="dxa"/>
            <w:gridSpan w:val="2"/>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p>
        </w:tc>
        <w:tc>
          <w:tcPr>
            <w:tcW w:w="17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c>
          <w:tcPr>
            <w:tcW w:w="14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39908</w:t>
            </w:r>
          </w:p>
        </w:tc>
        <w:tc>
          <w:tcPr>
            <w:tcW w:w="306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对民间非营利组织和群众性自治组织补贴</w:t>
            </w: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r>
      <w:tr>
        <w:tblPrEx>
          <w:tblCellMar>
            <w:top w:w="0" w:type="dxa"/>
            <w:left w:w="108" w:type="dxa"/>
            <w:bottom w:w="0" w:type="dxa"/>
            <w:right w:w="108" w:type="dxa"/>
          </w:tblCellMar>
        </w:tblPrEx>
        <w:trPr>
          <w:trHeight w:val="210" w:hRule="exact"/>
          <w:jc w:val="center"/>
        </w:trPr>
        <w:tc>
          <w:tcPr>
            <w:tcW w:w="1416" w:type="dxa"/>
            <w:gridSpan w:val="2"/>
            <w:tcBorders>
              <w:top w:val="nil"/>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15"/>
                <w:szCs w:val="15"/>
              </w:rPr>
            </w:pPr>
          </w:p>
        </w:tc>
        <w:tc>
          <w:tcPr>
            <w:tcW w:w="2466" w:type="dxa"/>
            <w:gridSpan w:val="3"/>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p>
        </w:tc>
        <w:tc>
          <w:tcPr>
            <w:tcW w:w="81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c>
          <w:tcPr>
            <w:tcW w:w="1416" w:type="dxa"/>
            <w:gridSpan w:val="2"/>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p>
        </w:tc>
        <w:tc>
          <w:tcPr>
            <w:tcW w:w="17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c>
          <w:tcPr>
            <w:tcW w:w="141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39999</w:t>
            </w:r>
          </w:p>
        </w:tc>
        <w:tc>
          <w:tcPr>
            <w:tcW w:w="3066" w:type="dxa"/>
            <w:tcBorders>
              <w:top w:val="nil"/>
              <w:left w:val="nil"/>
              <w:bottom w:val="single" w:color="000000" w:sz="4" w:space="0"/>
              <w:right w:val="single" w:color="000000" w:sz="4" w:space="0"/>
            </w:tcBorders>
            <w:vAlign w:val="center"/>
          </w:tcPr>
          <w:p>
            <w:pPr>
              <w:widowControl/>
              <w:jc w:val="left"/>
              <w:rPr>
                <w:rFonts w:hint="default" w:ascii="宋体"/>
                <w:color w:val="000000"/>
                <w:kern w:val="0"/>
                <w:sz w:val="15"/>
                <w:szCs w:val="15"/>
              </w:rPr>
            </w:pPr>
            <w:r>
              <w:rPr>
                <w:rFonts w:ascii="宋体" w:hAnsi="宋体"/>
                <w:color w:val="000000"/>
                <w:kern w:val="0"/>
                <w:sz w:val="15"/>
                <w:szCs w:val="15"/>
              </w:rPr>
              <w:t xml:space="preserve">  其他支出</w:t>
            </w: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p>
        </w:tc>
      </w:tr>
      <w:tr>
        <w:tblPrEx>
          <w:tblCellMar>
            <w:top w:w="0" w:type="dxa"/>
            <w:left w:w="108" w:type="dxa"/>
            <w:bottom w:w="0" w:type="dxa"/>
            <w:right w:w="108" w:type="dxa"/>
          </w:tblCellMar>
        </w:tblPrEx>
        <w:trPr>
          <w:trHeight w:val="210" w:hRule="exact"/>
          <w:jc w:val="center"/>
        </w:trPr>
        <w:tc>
          <w:tcPr>
            <w:tcW w:w="3882" w:type="dxa"/>
            <w:gridSpan w:val="5"/>
            <w:tcBorders>
              <w:top w:val="nil"/>
              <w:left w:val="single" w:color="000000" w:sz="4" w:space="0"/>
              <w:bottom w:val="single" w:color="000000" w:sz="4" w:space="0"/>
              <w:right w:val="single" w:color="000000" w:sz="4" w:space="0"/>
            </w:tcBorders>
            <w:vAlign w:val="center"/>
          </w:tcPr>
          <w:p>
            <w:pPr>
              <w:widowControl/>
              <w:jc w:val="center"/>
              <w:rPr>
                <w:rFonts w:hint="default" w:ascii="宋体"/>
                <w:color w:val="000000"/>
                <w:kern w:val="0"/>
                <w:sz w:val="15"/>
                <w:szCs w:val="15"/>
              </w:rPr>
            </w:pPr>
            <w:r>
              <w:rPr>
                <w:rFonts w:ascii="宋体" w:hAnsi="宋体"/>
                <w:color w:val="000000"/>
                <w:kern w:val="0"/>
                <w:sz w:val="15"/>
                <w:szCs w:val="15"/>
              </w:rPr>
              <w:t>人员经费合计</w:t>
            </w:r>
          </w:p>
        </w:tc>
        <w:tc>
          <w:tcPr>
            <w:tcW w:w="81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3,945.01</w:t>
            </w:r>
          </w:p>
        </w:tc>
        <w:tc>
          <w:tcPr>
            <w:tcW w:w="8280" w:type="dxa"/>
            <w:gridSpan w:val="6"/>
            <w:tcBorders>
              <w:top w:val="single" w:color="000000" w:sz="4" w:space="0"/>
              <w:left w:val="nil"/>
              <w:bottom w:val="single" w:color="000000" w:sz="4" w:space="0"/>
              <w:right w:val="single" w:color="000000" w:sz="4" w:space="0"/>
            </w:tcBorders>
            <w:vAlign w:val="center"/>
          </w:tcPr>
          <w:p>
            <w:pPr>
              <w:widowControl/>
              <w:jc w:val="center"/>
              <w:rPr>
                <w:rFonts w:hint="default" w:ascii="宋体"/>
                <w:color w:val="000000"/>
                <w:kern w:val="0"/>
                <w:sz w:val="15"/>
                <w:szCs w:val="15"/>
              </w:rPr>
            </w:pPr>
            <w:r>
              <w:rPr>
                <w:rFonts w:ascii="宋体" w:hAnsi="宋体"/>
                <w:color w:val="000000"/>
                <w:kern w:val="0"/>
                <w:sz w:val="15"/>
                <w:szCs w:val="15"/>
              </w:rPr>
              <w:t>公用经费合计</w:t>
            </w:r>
          </w:p>
        </w:tc>
        <w:tc>
          <w:tcPr>
            <w:tcW w:w="666" w:type="dxa"/>
            <w:tcBorders>
              <w:top w:val="single" w:color="000000" w:sz="4" w:space="0"/>
              <w:left w:val="nil"/>
              <w:bottom w:val="single" w:color="000000" w:sz="4" w:space="0"/>
              <w:right w:val="single" w:color="000000" w:sz="4" w:space="0"/>
            </w:tcBorders>
            <w:vAlign w:val="center"/>
          </w:tcPr>
          <w:p>
            <w:pPr>
              <w:widowControl/>
              <w:jc w:val="right"/>
              <w:rPr>
                <w:rFonts w:hint="default" w:ascii="宋体"/>
                <w:color w:val="000000"/>
                <w:kern w:val="0"/>
                <w:sz w:val="15"/>
                <w:szCs w:val="15"/>
              </w:rPr>
            </w:pPr>
            <w:r>
              <w:rPr>
                <w:rFonts w:hint="default" w:ascii="宋体"/>
                <w:color w:val="000000"/>
                <w:kern w:val="0"/>
                <w:sz w:val="15"/>
                <w:szCs w:val="15"/>
              </w:rPr>
              <w:t>818.78</w:t>
            </w:r>
          </w:p>
        </w:tc>
      </w:tr>
    </w:tbl>
    <w:p>
      <w:pPr>
        <w:widowControl/>
        <w:spacing w:line="560" w:lineRule="atLeast"/>
        <w:jc w:val="left"/>
        <w:rPr>
          <w:rFonts w:ascii="仿宋_GB2312" w:hAnsi="宋体" w:eastAsia="仿宋_GB2312"/>
          <w:kern w:val="0"/>
          <w:sz w:val="24"/>
        </w:rPr>
      </w:pPr>
      <w:r>
        <w:rPr>
          <w:rFonts w:ascii="宋体" w:hAnsi="宋体" w:cs="宋体"/>
          <w:kern w:val="0"/>
          <w:szCs w:val="21"/>
        </w:rPr>
        <w:t>注：1.本表反映部门本年度一般公共预算财政拨款基本支出明细情况。2.本套报表金额单位转换时可能存在尾数误差。3.如本表为空，则我部门本年度无此类资金收支余。</w:t>
      </w:r>
    </w:p>
    <w:tbl>
      <w:tblPr>
        <w:tblStyle w:val="5"/>
        <w:tblW w:w="13726" w:type="dxa"/>
        <w:jc w:val="center"/>
        <w:tblLayout w:type="fixed"/>
        <w:tblCellMar>
          <w:top w:w="0" w:type="dxa"/>
          <w:left w:w="108" w:type="dxa"/>
          <w:bottom w:w="0" w:type="dxa"/>
          <w:right w:w="108" w:type="dxa"/>
        </w:tblCellMar>
      </w:tblPr>
      <w:tblGrid>
        <w:gridCol w:w="2570"/>
        <w:gridCol w:w="254"/>
        <w:gridCol w:w="843"/>
        <w:gridCol w:w="1770"/>
        <w:gridCol w:w="1862"/>
        <w:gridCol w:w="1285"/>
        <w:gridCol w:w="1285"/>
        <w:gridCol w:w="1285"/>
        <w:gridCol w:w="1286"/>
        <w:gridCol w:w="1286"/>
      </w:tblGrid>
      <w:tr>
        <w:tblPrEx>
          <w:tblCellMar>
            <w:top w:w="0" w:type="dxa"/>
            <w:left w:w="108" w:type="dxa"/>
            <w:bottom w:w="0" w:type="dxa"/>
            <w:right w:w="108" w:type="dxa"/>
          </w:tblCellMar>
        </w:tblPrEx>
        <w:trPr>
          <w:trHeight w:val="370" w:hRule="atLeast"/>
          <w:jc w:val="center"/>
        </w:trPr>
        <w:tc>
          <w:tcPr>
            <w:tcW w:w="13726" w:type="dxa"/>
            <w:gridSpan w:val="10"/>
            <w:tcBorders>
              <w:top w:val="nil"/>
              <w:left w:val="nil"/>
              <w:bottom w:val="nil"/>
              <w:right w:val="nil"/>
            </w:tcBorders>
            <w:shd w:val="clear" w:color="auto" w:fill="FFFFFF"/>
            <w:vAlign w:val="center"/>
          </w:tcPr>
          <w:p>
            <w:pPr>
              <w:widowControl/>
              <w:jc w:val="center"/>
              <w:textAlignment w:val="center"/>
              <w:rPr>
                <w:rFonts w:hint="default" w:ascii="宋体"/>
                <w:b/>
                <w:color w:val="000000"/>
                <w:kern w:val="0"/>
                <w:shd w:val="clear" w:color="auto" w:fill="FFFFFF"/>
              </w:rPr>
            </w:pPr>
            <w:r>
              <w:rPr>
                <w:rFonts w:ascii="宋体" w:hAnsi="宋体" w:cs="宋体"/>
                <w:b/>
                <w:color w:val="000000"/>
                <w:kern w:val="0"/>
                <w:sz w:val="28"/>
                <w:szCs w:val="28"/>
              </w:rPr>
              <w:t>政府性基金预算财政拨款收入支出决算表</w:t>
            </w:r>
          </w:p>
        </w:tc>
      </w:tr>
      <w:tr>
        <w:tblPrEx>
          <w:tblCellMar>
            <w:top w:w="0" w:type="dxa"/>
            <w:left w:w="108" w:type="dxa"/>
            <w:bottom w:w="0" w:type="dxa"/>
            <w:right w:w="108" w:type="dxa"/>
          </w:tblCellMar>
        </w:tblPrEx>
        <w:trPr>
          <w:trHeight w:val="315" w:hRule="atLeast"/>
          <w:jc w:val="center"/>
        </w:trPr>
        <w:tc>
          <w:tcPr>
            <w:tcW w:w="2570" w:type="dxa"/>
            <w:tcBorders>
              <w:top w:val="nil"/>
              <w:left w:val="nil"/>
              <w:bottom w:val="nil"/>
              <w:right w:val="nil"/>
            </w:tcBorders>
            <w:shd w:val="clear" w:color="auto" w:fill="FFFFFF"/>
            <w:vAlign w:val="bottom"/>
          </w:tcPr>
          <w:p>
            <w:pPr>
              <w:jc w:val="left"/>
              <w:rPr>
                <w:rFonts w:hint="default" w:ascii="宋体"/>
                <w:color w:val="000000"/>
                <w:kern w:val="0"/>
                <w:shd w:val="clear" w:color="auto" w:fill="FFFFFF"/>
              </w:rPr>
            </w:pPr>
          </w:p>
        </w:tc>
        <w:tc>
          <w:tcPr>
            <w:tcW w:w="1097" w:type="dxa"/>
            <w:gridSpan w:val="2"/>
            <w:tcBorders>
              <w:top w:val="nil"/>
              <w:left w:val="nil"/>
              <w:bottom w:val="nil"/>
              <w:right w:val="nil"/>
            </w:tcBorders>
            <w:shd w:val="clear" w:color="auto" w:fill="FFFFFF"/>
            <w:vAlign w:val="bottom"/>
          </w:tcPr>
          <w:p>
            <w:pPr>
              <w:jc w:val="left"/>
              <w:rPr>
                <w:rFonts w:hint="default" w:ascii="宋体"/>
                <w:color w:val="000000"/>
                <w:kern w:val="0"/>
                <w:shd w:val="clear" w:color="auto" w:fill="FFFFFF"/>
              </w:rPr>
            </w:pPr>
          </w:p>
        </w:tc>
        <w:tc>
          <w:tcPr>
            <w:tcW w:w="1770" w:type="dxa"/>
            <w:tcBorders>
              <w:top w:val="nil"/>
              <w:left w:val="nil"/>
              <w:bottom w:val="nil"/>
              <w:right w:val="nil"/>
            </w:tcBorders>
            <w:shd w:val="clear" w:color="auto" w:fill="FFFFFF"/>
            <w:vAlign w:val="bottom"/>
          </w:tcPr>
          <w:p>
            <w:pPr>
              <w:jc w:val="left"/>
              <w:rPr>
                <w:rFonts w:hint="default" w:ascii="宋体"/>
                <w:color w:val="000000"/>
                <w:kern w:val="0"/>
                <w:shd w:val="clear" w:color="auto" w:fill="FFFFFF"/>
              </w:rPr>
            </w:pPr>
          </w:p>
        </w:tc>
        <w:tc>
          <w:tcPr>
            <w:tcW w:w="1862" w:type="dxa"/>
            <w:tcBorders>
              <w:top w:val="nil"/>
              <w:left w:val="nil"/>
              <w:bottom w:val="nil"/>
              <w:right w:val="nil"/>
            </w:tcBorders>
            <w:shd w:val="clear" w:color="auto" w:fill="FFFFFF"/>
            <w:vAlign w:val="bottom"/>
          </w:tcPr>
          <w:p>
            <w:pPr>
              <w:jc w:val="left"/>
              <w:rPr>
                <w:rFonts w:hint="default" w:ascii="宋体"/>
                <w:color w:val="000000"/>
                <w:kern w:val="0"/>
                <w:shd w:val="clear" w:color="auto" w:fill="FFFFFF"/>
              </w:rPr>
            </w:pPr>
          </w:p>
        </w:tc>
        <w:tc>
          <w:tcPr>
            <w:tcW w:w="1285" w:type="dxa"/>
            <w:tcBorders>
              <w:top w:val="nil"/>
              <w:left w:val="nil"/>
              <w:bottom w:val="nil"/>
              <w:right w:val="nil"/>
            </w:tcBorders>
            <w:shd w:val="clear" w:color="auto" w:fill="FFFFFF"/>
            <w:vAlign w:val="bottom"/>
          </w:tcPr>
          <w:p>
            <w:pPr>
              <w:jc w:val="left"/>
              <w:rPr>
                <w:rFonts w:hint="default" w:ascii="宋体"/>
                <w:color w:val="000000"/>
                <w:kern w:val="0"/>
                <w:shd w:val="clear" w:color="auto" w:fill="FFFFFF"/>
              </w:rPr>
            </w:pPr>
          </w:p>
        </w:tc>
        <w:tc>
          <w:tcPr>
            <w:tcW w:w="1285" w:type="dxa"/>
            <w:tcBorders>
              <w:top w:val="nil"/>
              <w:left w:val="nil"/>
              <w:bottom w:val="nil"/>
              <w:right w:val="nil"/>
            </w:tcBorders>
            <w:shd w:val="clear" w:color="auto" w:fill="FFFFFF"/>
            <w:vAlign w:val="bottom"/>
          </w:tcPr>
          <w:p>
            <w:pPr>
              <w:jc w:val="left"/>
              <w:rPr>
                <w:rFonts w:hint="default" w:ascii="宋体"/>
                <w:color w:val="000000"/>
                <w:kern w:val="0"/>
                <w:shd w:val="clear" w:color="auto" w:fill="FFFFFF"/>
              </w:rPr>
            </w:pPr>
          </w:p>
        </w:tc>
        <w:tc>
          <w:tcPr>
            <w:tcW w:w="3857" w:type="dxa"/>
            <w:gridSpan w:val="3"/>
            <w:tcBorders>
              <w:top w:val="nil"/>
              <w:left w:val="nil"/>
              <w:bottom w:val="nil"/>
              <w:right w:val="nil"/>
            </w:tcBorders>
            <w:shd w:val="clear" w:color="auto" w:fill="FFFFFF"/>
            <w:vAlign w:val="bottom"/>
          </w:tcPr>
          <w:p>
            <w:pPr>
              <w:widowControl/>
              <w:jc w:val="right"/>
              <w:textAlignment w:val="bottom"/>
              <w:rPr>
                <w:rFonts w:hint="default" w:ascii="宋体"/>
                <w:color w:val="000000"/>
                <w:kern w:val="0"/>
                <w:shd w:val="clear" w:color="auto" w:fill="FFFFFF"/>
              </w:rPr>
            </w:pPr>
            <w:r>
              <w:rPr>
                <w:rFonts w:ascii="宋体" w:hAnsi="宋体" w:cs="宋体"/>
                <w:color w:val="000000"/>
                <w:kern w:val="0"/>
                <w:szCs w:val="21"/>
              </w:rPr>
              <w:t>公开08表</w:t>
            </w:r>
          </w:p>
        </w:tc>
      </w:tr>
      <w:tr>
        <w:tblPrEx>
          <w:tblCellMar>
            <w:top w:w="0" w:type="dxa"/>
            <w:left w:w="108" w:type="dxa"/>
            <w:bottom w:w="0" w:type="dxa"/>
            <w:right w:w="108" w:type="dxa"/>
          </w:tblCellMar>
        </w:tblPrEx>
        <w:trPr>
          <w:trHeight w:val="285" w:hRule="atLeast"/>
          <w:jc w:val="center"/>
        </w:trPr>
        <w:tc>
          <w:tcPr>
            <w:tcW w:w="2570" w:type="dxa"/>
            <w:tcBorders>
              <w:top w:val="nil"/>
              <w:left w:val="nil"/>
              <w:bottom w:val="nil"/>
              <w:right w:val="nil"/>
            </w:tcBorders>
            <w:shd w:val="clear" w:color="auto" w:fill="FFFFFF"/>
            <w:vAlign w:val="bottom"/>
          </w:tcPr>
          <w:p>
            <w:pPr>
              <w:widowControl/>
              <w:jc w:val="left"/>
              <w:textAlignment w:val="bottom"/>
              <w:rPr>
                <w:rFonts w:hint="default" w:ascii="宋体"/>
                <w:color w:val="000000"/>
                <w:kern w:val="0"/>
                <w:shd w:val="clear" w:color="auto" w:fill="FFFFFF"/>
              </w:rPr>
            </w:pPr>
            <w:r>
              <w:rPr>
                <w:rFonts w:ascii="宋体" w:hAnsi="宋体" w:cs="宋体"/>
                <w:color w:val="000000"/>
                <w:kern w:val="0"/>
                <w:szCs w:val="21"/>
              </w:rPr>
              <w:t>部门：</w:t>
            </w:r>
          </w:p>
        </w:tc>
        <w:tc>
          <w:tcPr>
            <w:tcW w:w="1097" w:type="dxa"/>
            <w:gridSpan w:val="2"/>
            <w:tcBorders>
              <w:top w:val="nil"/>
              <w:left w:val="nil"/>
              <w:bottom w:val="nil"/>
              <w:right w:val="nil"/>
            </w:tcBorders>
            <w:shd w:val="clear" w:color="auto" w:fill="FFFFFF"/>
            <w:vAlign w:val="bottom"/>
          </w:tcPr>
          <w:p>
            <w:pPr>
              <w:jc w:val="left"/>
              <w:rPr>
                <w:rFonts w:hint="default" w:ascii="宋体"/>
                <w:color w:val="000000"/>
                <w:kern w:val="0"/>
                <w:shd w:val="clear" w:color="auto" w:fill="FFFFFF"/>
              </w:rPr>
            </w:pPr>
          </w:p>
        </w:tc>
        <w:tc>
          <w:tcPr>
            <w:tcW w:w="1770" w:type="dxa"/>
            <w:tcBorders>
              <w:top w:val="nil"/>
              <w:left w:val="nil"/>
              <w:bottom w:val="nil"/>
              <w:right w:val="nil"/>
            </w:tcBorders>
            <w:shd w:val="clear" w:color="auto" w:fill="FFFFFF"/>
            <w:vAlign w:val="bottom"/>
          </w:tcPr>
          <w:p>
            <w:pPr>
              <w:jc w:val="left"/>
              <w:rPr>
                <w:rFonts w:hint="default" w:ascii="宋体"/>
                <w:color w:val="000000"/>
                <w:kern w:val="0"/>
                <w:shd w:val="clear" w:color="auto" w:fill="FFFFFF"/>
              </w:rPr>
            </w:pPr>
          </w:p>
        </w:tc>
        <w:tc>
          <w:tcPr>
            <w:tcW w:w="1862" w:type="dxa"/>
            <w:tcBorders>
              <w:top w:val="nil"/>
              <w:left w:val="nil"/>
              <w:bottom w:val="nil"/>
              <w:right w:val="nil"/>
            </w:tcBorders>
            <w:shd w:val="clear" w:color="auto" w:fill="FFFFFF"/>
            <w:vAlign w:val="bottom"/>
          </w:tcPr>
          <w:p>
            <w:pPr>
              <w:jc w:val="left"/>
              <w:rPr>
                <w:rFonts w:hint="default" w:ascii="宋体"/>
                <w:color w:val="000000"/>
                <w:kern w:val="0"/>
                <w:shd w:val="clear" w:color="auto" w:fill="FFFFFF"/>
              </w:rPr>
            </w:pPr>
          </w:p>
        </w:tc>
        <w:tc>
          <w:tcPr>
            <w:tcW w:w="1285" w:type="dxa"/>
            <w:tcBorders>
              <w:top w:val="nil"/>
              <w:left w:val="nil"/>
              <w:bottom w:val="nil"/>
              <w:right w:val="nil"/>
            </w:tcBorders>
            <w:shd w:val="clear" w:color="auto" w:fill="FFFFFF"/>
            <w:vAlign w:val="bottom"/>
          </w:tcPr>
          <w:p>
            <w:pPr>
              <w:jc w:val="left"/>
              <w:rPr>
                <w:rFonts w:hint="default" w:ascii="宋体"/>
                <w:color w:val="000000"/>
                <w:kern w:val="0"/>
                <w:shd w:val="clear" w:color="auto" w:fill="FFFFFF"/>
              </w:rPr>
            </w:pPr>
          </w:p>
        </w:tc>
        <w:tc>
          <w:tcPr>
            <w:tcW w:w="1285" w:type="dxa"/>
            <w:tcBorders>
              <w:top w:val="nil"/>
              <w:left w:val="nil"/>
              <w:bottom w:val="nil"/>
              <w:right w:val="nil"/>
            </w:tcBorders>
            <w:shd w:val="clear" w:color="auto" w:fill="FFFFFF"/>
            <w:vAlign w:val="bottom"/>
          </w:tcPr>
          <w:p>
            <w:pPr>
              <w:jc w:val="left"/>
              <w:rPr>
                <w:rFonts w:hint="default" w:ascii="宋体"/>
                <w:color w:val="000000"/>
                <w:kern w:val="0"/>
                <w:shd w:val="clear" w:color="auto" w:fill="FFFFFF"/>
              </w:rPr>
            </w:pPr>
          </w:p>
        </w:tc>
        <w:tc>
          <w:tcPr>
            <w:tcW w:w="3857" w:type="dxa"/>
            <w:gridSpan w:val="3"/>
            <w:tcBorders>
              <w:top w:val="nil"/>
              <w:left w:val="nil"/>
              <w:bottom w:val="nil"/>
              <w:right w:val="nil"/>
            </w:tcBorders>
            <w:shd w:val="clear" w:color="auto" w:fill="FFFFFF"/>
            <w:vAlign w:val="bottom"/>
          </w:tcPr>
          <w:p>
            <w:pPr>
              <w:widowControl/>
              <w:jc w:val="right"/>
              <w:textAlignment w:val="bottom"/>
              <w:rPr>
                <w:rFonts w:hint="default" w:ascii="宋体"/>
                <w:color w:val="000000"/>
                <w:kern w:val="0"/>
                <w:shd w:val="clear" w:color="auto" w:fill="FFFFFF"/>
              </w:rPr>
            </w:pPr>
            <w:r>
              <w:rPr>
                <w:rFonts w:ascii="宋体" w:hAnsi="宋体" w:cs="宋体"/>
                <w:color w:val="000000"/>
                <w:kern w:val="0"/>
                <w:szCs w:val="21"/>
              </w:rPr>
              <w:t>单位：万元</w:t>
            </w:r>
          </w:p>
        </w:tc>
      </w:tr>
      <w:tr>
        <w:tblPrEx>
          <w:tblCellMar>
            <w:top w:w="0" w:type="dxa"/>
            <w:left w:w="108" w:type="dxa"/>
            <w:bottom w:w="0" w:type="dxa"/>
            <w:right w:w="108" w:type="dxa"/>
          </w:tblCellMar>
        </w:tblPrEx>
        <w:trPr>
          <w:trHeight w:val="600" w:hRule="atLeast"/>
          <w:jc w:val="center"/>
        </w:trPr>
        <w:tc>
          <w:tcPr>
            <w:tcW w:w="543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olor w:val="000000"/>
                <w:kern w:val="0"/>
              </w:rPr>
            </w:pPr>
            <w:r>
              <w:rPr>
                <w:rFonts w:ascii="宋体" w:hAnsi="宋体" w:cs="宋体"/>
                <w:color w:val="000000"/>
                <w:kern w:val="0"/>
                <w:szCs w:val="21"/>
              </w:rPr>
              <w:t>项目</w:t>
            </w:r>
          </w:p>
        </w:tc>
        <w:tc>
          <w:tcPr>
            <w:tcW w:w="1862"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宋体"/>
                <w:color w:val="000000"/>
                <w:kern w:val="0"/>
              </w:rPr>
            </w:pPr>
            <w:r>
              <w:rPr>
                <w:rFonts w:ascii="宋体" w:hAnsi="宋体" w:cs="宋体"/>
                <w:color w:val="000000"/>
                <w:kern w:val="0"/>
                <w:szCs w:val="21"/>
              </w:rPr>
              <w:t>年初结转和结余</w:t>
            </w:r>
          </w:p>
        </w:tc>
        <w:tc>
          <w:tcPr>
            <w:tcW w:w="128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宋体"/>
                <w:color w:val="000000"/>
                <w:kern w:val="0"/>
              </w:rPr>
            </w:pPr>
            <w:r>
              <w:rPr>
                <w:rFonts w:ascii="宋体" w:hAnsi="宋体" w:cs="宋体"/>
                <w:color w:val="000000"/>
                <w:kern w:val="0"/>
                <w:szCs w:val="21"/>
              </w:rPr>
              <w:t>本年收入</w:t>
            </w:r>
          </w:p>
        </w:tc>
        <w:tc>
          <w:tcPr>
            <w:tcW w:w="3856"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rPr>
            </w:pPr>
            <w:r>
              <w:rPr>
                <w:rFonts w:ascii="宋体" w:hAnsi="宋体" w:cs="宋体"/>
                <w:color w:val="000000"/>
                <w:kern w:val="0"/>
                <w:szCs w:val="21"/>
              </w:rPr>
              <w:t>本年支出</w:t>
            </w:r>
          </w:p>
        </w:tc>
        <w:tc>
          <w:tcPr>
            <w:tcW w:w="1286"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宋体"/>
                <w:color w:val="000000"/>
                <w:kern w:val="0"/>
              </w:rPr>
            </w:pPr>
            <w:r>
              <w:rPr>
                <w:rFonts w:ascii="宋体" w:hAnsi="宋体" w:cs="宋体"/>
                <w:color w:val="000000"/>
                <w:kern w:val="0"/>
                <w:szCs w:val="21"/>
              </w:rPr>
              <w:t xml:space="preserve"> 年末结转和结余 </w:t>
            </w:r>
          </w:p>
        </w:tc>
      </w:tr>
      <w:tr>
        <w:tblPrEx>
          <w:tblCellMar>
            <w:top w:w="0" w:type="dxa"/>
            <w:left w:w="108" w:type="dxa"/>
            <w:bottom w:w="0" w:type="dxa"/>
            <w:right w:w="108" w:type="dxa"/>
          </w:tblCellMar>
        </w:tblPrEx>
        <w:trPr>
          <w:trHeight w:val="595" w:hRule="atLeast"/>
          <w:jc w:val="center"/>
        </w:trPr>
        <w:tc>
          <w:tcPr>
            <w:tcW w:w="282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olor w:val="000000"/>
                <w:kern w:val="0"/>
              </w:rPr>
            </w:pPr>
            <w:r>
              <w:rPr>
                <w:rFonts w:ascii="宋体"/>
                <w:color w:val="000000"/>
                <w:kern w:val="0"/>
              </w:rPr>
              <w:t>功能分类科目编码</w:t>
            </w:r>
          </w:p>
        </w:tc>
        <w:tc>
          <w:tcPr>
            <w:tcW w:w="2613" w:type="dxa"/>
            <w:gridSpan w:val="2"/>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r>
              <w:rPr>
                <w:rFonts w:ascii="宋体"/>
                <w:color w:val="000000"/>
                <w:kern w:val="0"/>
              </w:rPr>
              <w:t>科目名称</w:t>
            </w:r>
          </w:p>
        </w:tc>
        <w:tc>
          <w:tcPr>
            <w:tcW w:w="1862" w:type="dxa"/>
            <w:vMerge w:val="continue"/>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5" w:type="dxa"/>
            <w:vMerge w:val="continue"/>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宋体"/>
                <w:color w:val="000000"/>
                <w:kern w:val="0"/>
              </w:rPr>
            </w:pPr>
            <w:r>
              <w:rPr>
                <w:rFonts w:ascii="宋体" w:hAnsi="宋体" w:cs="宋体"/>
                <w:color w:val="000000"/>
                <w:kern w:val="0"/>
                <w:szCs w:val="21"/>
              </w:rPr>
              <w:t>小计</w:t>
            </w:r>
          </w:p>
        </w:tc>
        <w:tc>
          <w:tcPr>
            <w:tcW w:w="128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宋体"/>
                <w:color w:val="000000"/>
                <w:kern w:val="0"/>
              </w:rPr>
            </w:pPr>
            <w:r>
              <w:rPr>
                <w:rFonts w:ascii="宋体" w:hAnsi="宋体" w:cs="宋体"/>
                <w:color w:val="000000"/>
                <w:kern w:val="0"/>
                <w:szCs w:val="21"/>
              </w:rPr>
              <w:t>基本支出</w:t>
            </w:r>
          </w:p>
        </w:tc>
        <w:tc>
          <w:tcPr>
            <w:tcW w:w="128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宋体"/>
                <w:color w:val="000000"/>
                <w:kern w:val="0"/>
              </w:rPr>
            </w:pPr>
            <w:r>
              <w:rPr>
                <w:rFonts w:ascii="宋体" w:hAnsi="宋体" w:cs="宋体"/>
                <w:color w:val="000000"/>
                <w:kern w:val="0"/>
                <w:szCs w:val="21"/>
              </w:rPr>
              <w:t>项目支出</w:t>
            </w:r>
          </w:p>
        </w:tc>
        <w:tc>
          <w:tcPr>
            <w:tcW w:w="1286" w:type="dxa"/>
            <w:vMerge w:val="continue"/>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r>
      <w:tr>
        <w:tblPrEx>
          <w:tblCellMar>
            <w:top w:w="0" w:type="dxa"/>
            <w:left w:w="108" w:type="dxa"/>
            <w:bottom w:w="0" w:type="dxa"/>
            <w:right w:w="108" w:type="dxa"/>
          </w:tblCellMar>
        </w:tblPrEx>
        <w:trPr>
          <w:trHeight w:val="390" w:hRule="atLeast"/>
          <w:jc w:val="center"/>
        </w:trPr>
        <w:tc>
          <w:tcPr>
            <w:tcW w:w="5437"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default" w:ascii="宋体"/>
                <w:color w:val="000000"/>
                <w:kern w:val="0"/>
              </w:rPr>
            </w:pPr>
            <w:r>
              <w:rPr>
                <w:rFonts w:ascii="宋体" w:hAnsi="宋体" w:cs="宋体"/>
                <w:color w:val="000000"/>
                <w:kern w:val="0"/>
                <w:szCs w:val="21"/>
              </w:rPr>
              <w:t>栏次</w:t>
            </w:r>
          </w:p>
        </w:tc>
        <w:tc>
          <w:tcPr>
            <w:tcW w:w="186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宋体"/>
                <w:color w:val="000000"/>
                <w:kern w:val="0"/>
              </w:rPr>
            </w:pPr>
            <w:r>
              <w:rPr>
                <w:rFonts w:ascii="宋体" w:hAnsi="宋体" w:cs="宋体"/>
                <w:color w:val="000000"/>
                <w:kern w:val="0"/>
                <w:szCs w:val="21"/>
              </w:rPr>
              <w:t>1</w:t>
            </w:r>
          </w:p>
        </w:tc>
        <w:tc>
          <w:tcPr>
            <w:tcW w:w="128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宋体"/>
                <w:color w:val="000000"/>
                <w:kern w:val="0"/>
              </w:rPr>
            </w:pPr>
            <w:r>
              <w:rPr>
                <w:rFonts w:ascii="宋体" w:hAnsi="宋体" w:cs="宋体"/>
                <w:color w:val="000000"/>
                <w:kern w:val="0"/>
                <w:szCs w:val="21"/>
              </w:rPr>
              <w:t>2</w:t>
            </w:r>
          </w:p>
        </w:tc>
        <w:tc>
          <w:tcPr>
            <w:tcW w:w="128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宋体"/>
                <w:color w:val="000000"/>
                <w:kern w:val="0"/>
              </w:rPr>
            </w:pPr>
            <w:r>
              <w:rPr>
                <w:rFonts w:ascii="宋体" w:hAnsi="宋体" w:cs="宋体"/>
                <w:color w:val="000000"/>
                <w:kern w:val="0"/>
                <w:szCs w:val="21"/>
              </w:rPr>
              <w:t>3</w:t>
            </w:r>
          </w:p>
        </w:tc>
        <w:tc>
          <w:tcPr>
            <w:tcW w:w="128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宋体"/>
                <w:color w:val="000000"/>
                <w:kern w:val="0"/>
              </w:rPr>
            </w:pPr>
            <w:r>
              <w:rPr>
                <w:rFonts w:ascii="宋体" w:hAnsi="宋体" w:cs="宋体"/>
                <w:color w:val="000000"/>
                <w:kern w:val="0"/>
                <w:szCs w:val="21"/>
              </w:rPr>
              <w:t>4</w:t>
            </w:r>
          </w:p>
        </w:tc>
        <w:tc>
          <w:tcPr>
            <w:tcW w:w="128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宋体"/>
                <w:color w:val="000000"/>
                <w:kern w:val="0"/>
              </w:rPr>
            </w:pPr>
            <w:r>
              <w:rPr>
                <w:rFonts w:ascii="宋体" w:hAnsi="宋体" w:cs="宋体"/>
                <w:color w:val="000000"/>
                <w:kern w:val="0"/>
                <w:szCs w:val="21"/>
              </w:rPr>
              <w:t>5</w:t>
            </w:r>
          </w:p>
        </w:tc>
        <w:tc>
          <w:tcPr>
            <w:tcW w:w="128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宋体"/>
                <w:color w:val="000000"/>
                <w:kern w:val="0"/>
              </w:rPr>
            </w:pPr>
            <w:r>
              <w:rPr>
                <w:rFonts w:ascii="宋体" w:hAnsi="宋体" w:cs="宋体"/>
                <w:color w:val="000000"/>
                <w:kern w:val="0"/>
                <w:szCs w:val="21"/>
              </w:rPr>
              <w:t>6</w:t>
            </w:r>
          </w:p>
        </w:tc>
      </w:tr>
      <w:tr>
        <w:tblPrEx>
          <w:tblCellMar>
            <w:top w:w="0" w:type="dxa"/>
            <w:left w:w="108" w:type="dxa"/>
            <w:bottom w:w="0" w:type="dxa"/>
            <w:right w:w="108" w:type="dxa"/>
          </w:tblCellMar>
        </w:tblPrEx>
        <w:trPr>
          <w:trHeight w:val="480" w:hRule="atLeast"/>
          <w:jc w:val="center"/>
        </w:trPr>
        <w:tc>
          <w:tcPr>
            <w:tcW w:w="5437"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default" w:ascii="宋体"/>
                <w:color w:val="000000"/>
                <w:kern w:val="0"/>
              </w:rPr>
            </w:pPr>
            <w:r>
              <w:rPr>
                <w:rFonts w:ascii="宋体" w:hAnsi="宋体" w:cs="宋体"/>
                <w:color w:val="000000"/>
                <w:kern w:val="0"/>
                <w:szCs w:val="21"/>
              </w:rPr>
              <w:t>合计</w:t>
            </w:r>
          </w:p>
        </w:tc>
        <w:tc>
          <w:tcPr>
            <w:tcW w:w="1862"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5"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5"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5"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6"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6"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r>
      <w:tr>
        <w:tblPrEx>
          <w:tblCellMar>
            <w:top w:w="0" w:type="dxa"/>
            <w:left w:w="108" w:type="dxa"/>
            <w:bottom w:w="0" w:type="dxa"/>
            <w:right w:w="108" w:type="dxa"/>
          </w:tblCellMar>
        </w:tblPrEx>
        <w:trPr>
          <w:trHeight w:val="480" w:hRule="atLeast"/>
          <w:jc w:val="center"/>
        </w:trPr>
        <w:tc>
          <w:tcPr>
            <w:tcW w:w="282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olor w:val="000000"/>
                <w:kern w:val="0"/>
              </w:rPr>
            </w:pPr>
          </w:p>
        </w:tc>
        <w:tc>
          <w:tcPr>
            <w:tcW w:w="2613" w:type="dxa"/>
            <w:gridSpan w:val="2"/>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862"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5"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5"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5"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6"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6"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r>
      <w:tr>
        <w:tblPrEx>
          <w:tblCellMar>
            <w:top w:w="0" w:type="dxa"/>
            <w:left w:w="108" w:type="dxa"/>
            <w:bottom w:w="0" w:type="dxa"/>
            <w:right w:w="108" w:type="dxa"/>
          </w:tblCellMar>
        </w:tblPrEx>
        <w:trPr>
          <w:trHeight w:val="480" w:hRule="atLeast"/>
          <w:jc w:val="center"/>
        </w:trPr>
        <w:tc>
          <w:tcPr>
            <w:tcW w:w="282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olor w:val="000000"/>
                <w:kern w:val="0"/>
              </w:rPr>
            </w:pPr>
          </w:p>
        </w:tc>
        <w:tc>
          <w:tcPr>
            <w:tcW w:w="2613" w:type="dxa"/>
            <w:gridSpan w:val="2"/>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862"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5"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5"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5"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6"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6"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r>
      <w:tr>
        <w:tblPrEx>
          <w:tblCellMar>
            <w:top w:w="0" w:type="dxa"/>
            <w:left w:w="108" w:type="dxa"/>
            <w:bottom w:w="0" w:type="dxa"/>
            <w:right w:w="108" w:type="dxa"/>
          </w:tblCellMar>
        </w:tblPrEx>
        <w:trPr>
          <w:trHeight w:val="480" w:hRule="atLeast"/>
          <w:jc w:val="center"/>
        </w:trPr>
        <w:tc>
          <w:tcPr>
            <w:tcW w:w="282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olor w:val="000000"/>
                <w:kern w:val="0"/>
              </w:rPr>
            </w:pPr>
          </w:p>
        </w:tc>
        <w:tc>
          <w:tcPr>
            <w:tcW w:w="2613" w:type="dxa"/>
            <w:gridSpan w:val="2"/>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862"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5"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5"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5"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6"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6"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r>
      <w:tr>
        <w:tblPrEx>
          <w:tblCellMar>
            <w:top w:w="0" w:type="dxa"/>
            <w:left w:w="108" w:type="dxa"/>
            <w:bottom w:w="0" w:type="dxa"/>
            <w:right w:w="108" w:type="dxa"/>
          </w:tblCellMar>
        </w:tblPrEx>
        <w:trPr>
          <w:trHeight w:val="480" w:hRule="atLeast"/>
          <w:jc w:val="center"/>
        </w:trPr>
        <w:tc>
          <w:tcPr>
            <w:tcW w:w="282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olor w:val="000000"/>
                <w:kern w:val="0"/>
              </w:rPr>
            </w:pPr>
          </w:p>
        </w:tc>
        <w:tc>
          <w:tcPr>
            <w:tcW w:w="2613" w:type="dxa"/>
            <w:gridSpan w:val="2"/>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862"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5"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5"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5"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6"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6"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r>
      <w:tr>
        <w:tblPrEx>
          <w:tblCellMar>
            <w:top w:w="0" w:type="dxa"/>
            <w:left w:w="108" w:type="dxa"/>
            <w:bottom w:w="0" w:type="dxa"/>
            <w:right w:w="108" w:type="dxa"/>
          </w:tblCellMar>
        </w:tblPrEx>
        <w:trPr>
          <w:trHeight w:val="480" w:hRule="atLeast"/>
          <w:jc w:val="center"/>
        </w:trPr>
        <w:tc>
          <w:tcPr>
            <w:tcW w:w="282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olor w:val="000000"/>
                <w:kern w:val="0"/>
              </w:rPr>
            </w:pPr>
          </w:p>
        </w:tc>
        <w:tc>
          <w:tcPr>
            <w:tcW w:w="2613" w:type="dxa"/>
            <w:gridSpan w:val="2"/>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862"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5"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5"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5"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6"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6"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r>
      <w:tr>
        <w:tblPrEx>
          <w:tblCellMar>
            <w:top w:w="0" w:type="dxa"/>
            <w:left w:w="108" w:type="dxa"/>
            <w:bottom w:w="0" w:type="dxa"/>
            <w:right w:w="108" w:type="dxa"/>
          </w:tblCellMar>
        </w:tblPrEx>
        <w:trPr>
          <w:trHeight w:val="480" w:hRule="atLeast"/>
          <w:jc w:val="center"/>
        </w:trPr>
        <w:tc>
          <w:tcPr>
            <w:tcW w:w="282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olor w:val="000000"/>
                <w:kern w:val="0"/>
              </w:rPr>
            </w:pPr>
          </w:p>
        </w:tc>
        <w:tc>
          <w:tcPr>
            <w:tcW w:w="2613" w:type="dxa"/>
            <w:gridSpan w:val="2"/>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862"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5"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5"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5"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6"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1286"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r>
    </w:tbl>
    <w:p>
      <w:pPr>
        <w:widowControl/>
        <w:spacing w:line="560" w:lineRule="atLeast"/>
        <w:rPr>
          <w:rFonts w:ascii="仿宋_GB2312" w:hAnsi="宋体" w:eastAsia="仿宋_GB2312"/>
          <w:kern w:val="0"/>
          <w:sz w:val="24"/>
        </w:rPr>
      </w:pPr>
    </w:p>
    <w:p>
      <w:pPr>
        <w:widowControl/>
        <w:spacing w:line="560" w:lineRule="atLeast"/>
        <w:rPr>
          <w:rFonts w:ascii="仿宋_GB2312" w:hAnsi="宋体" w:eastAsia="仿宋_GB2312"/>
          <w:kern w:val="0"/>
          <w:sz w:val="24"/>
        </w:rPr>
      </w:pPr>
      <w:r>
        <w:rPr>
          <w:rFonts w:ascii="宋体" w:hAnsi="宋体" w:cs="宋体"/>
          <w:kern w:val="0"/>
          <w:szCs w:val="21"/>
        </w:rPr>
        <w:t>注：1.本表反映部门本年度政府性基金预算财政拨款收入、支出及结转和结余情况。2.本套报表金额单位转换时可能存在尾数误差。3.如本表为空，则我部门本年度无此类资金收支余。</w:t>
      </w:r>
    </w:p>
    <w:p>
      <w:pPr>
        <w:widowControl/>
        <w:spacing w:line="560" w:lineRule="atLeast"/>
        <w:rPr>
          <w:rFonts w:ascii="仿宋_GB2312" w:hAnsi="宋体" w:eastAsia="仿宋_GB2312"/>
          <w:kern w:val="0"/>
          <w:sz w:val="24"/>
        </w:rPr>
      </w:pPr>
    </w:p>
    <w:p>
      <w:pPr>
        <w:widowControl/>
        <w:spacing w:line="560" w:lineRule="atLeast"/>
        <w:rPr>
          <w:rFonts w:ascii="仿宋_GB2312" w:hAnsi="宋体" w:eastAsia="仿宋_GB2312"/>
          <w:kern w:val="0"/>
          <w:sz w:val="24"/>
        </w:rPr>
      </w:pPr>
    </w:p>
    <w:p>
      <w:pPr>
        <w:widowControl/>
        <w:spacing w:line="560" w:lineRule="atLeast"/>
        <w:rPr>
          <w:rFonts w:ascii="仿宋_GB2312" w:hAnsi="宋体" w:eastAsia="仿宋_GB2312"/>
          <w:kern w:val="0"/>
          <w:sz w:val="24"/>
        </w:rPr>
      </w:pPr>
    </w:p>
    <w:p>
      <w:pPr>
        <w:widowControl/>
        <w:spacing w:line="560" w:lineRule="atLeast"/>
        <w:rPr>
          <w:rFonts w:ascii="仿宋_GB2312" w:hAnsi="宋体" w:eastAsia="仿宋_GB2312"/>
          <w:kern w:val="0"/>
          <w:sz w:val="24"/>
        </w:rPr>
      </w:pPr>
    </w:p>
    <w:p>
      <w:pPr>
        <w:widowControl/>
        <w:spacing w:line="560" w:lineRule="atLeast"/>
        <w:rPr>
          <w:rFonts w:ascii="仿宋_GB2312" w:hAnsi="宋体" w:eastAsia="仿宋_GB2312"/>
          <w:kern w:val="0"/>
          <w:sz w:val="24"/>
        </w:rPr>
      </w:pPr>
    </w:p>
    <w:p>
      <w:pPr>
        <w:widowControl/>
        <w:spacing w:line="560" w:lineRule="atLeast"/>
        <w:rPr>
          <w:rFonts w:hint="default" w:ascii="仿宋_GB2312" w:hAnsi="宋体" w:eastAsia="仿宋_GB2312"/>
          <w:kern w:val="0"/>
          <w:sz w:val="24"/>
        </w:rPr>
      </w:pPr>
      <w:r>
        <w:rPr>
          <w:rFonts w:ascii="仿宋_GB2312" w:hAnsi="宋体" w:eastAsia="仿宋_GB2312"/>
          <w:kern w:val="0"/>
          <w:sz w:val="24"/>
        </w:rPr>
        <w:t>附件1-</w:t>
      </w:r>
      <w:r>
        <w:rPr>
          <w:rFonts w:hint="eastAsia" w:ascii="仿宋_GB2312" w:hAnsi="宋体" w:eastAsia="仿宋_GB2312"/>
          <w:kern w:val="0"/>
          <w:sz w:val="24"/>
          <w:lang w:val="en-US" w:eastAsia="zh-CN"/>
        </w:rPr>
        <w:t>8</w:t>
      </w:r>
    </w:p>
    <w:tbl>
      <w:tblPr>
        <w:tblStyle w:val="5"/>
        <w:tblW w:w="12860" w:type="dxa"/>
        <w:jc w:val="center"/>
        <w:tblLayout w:type="fixed"/>
        <w:tblCellMar>
          <w:top w:w="0" w:type="dxa"/>
          <w:left w:w="108" w:type="dxa"/>
          <w:bottom w:w="0" w:type="dxa"/>
          <w:right w:w="108" w:type="dxa"/>
        </w:tblCellMar>
      </w:tblPr>
      <w:tblGrid>
        <w:gridCol w:w="5087"/>
        <w:gridCol w:w="4143"/>
        <w:gridCol w:w="3630"/>
      </w:tblGrid>
      <w:tr>
        <w:tblPrEx>
          <w:tblCellMar>
            <w:top w:w="0" w:type="dxa"/>
            <w:left w:w="108" w:type="dxa"/>
            <w:bottom w:w="0" w:type="dxa"/>
            <w:right w:w="108" w:type="dxa"/>
          </w:tblCellMar>
        </w:tblPrEx>
        <w:trPr>
          <w:trHeight w:val="495" w:hRule="atLeast"/>
          <w:jc w:val="center"/>
        </w:trPr>
        <w:tc>
          <w:tcPr>
            <w:tcW w:w="12860" w:type="dxa"/>
            <w:gridSpan w:val="3"/>
            <w:tcBorders>
              <w:top w:val="nil"/>
              <w:left w:val="nil"/>
              <w:bottom w:val="nil"/>
              <w:right w:val="nil"/>
            </w:tcBorders>
            <w:vAlign w:val="center"/>
          </w:tcPr>
          <w:p>
            <w:pPr>
              <w:widowControl/>
              <w:jc w:val="center"/>
              <w:rPr>
                <w:rFonts w:hint="default" w:ascii="宋体"/>
                <w:b/>
                <w:color w:val="000000"/>
                <w:kern w:val="0"/>
                <w:sz w:val="32"/>
              </w:rPr>
            </w:pPr>
            <w:r>
              <w:rPr>
                <w:rFonts w:ascii="宋体" w:hAnsi="宋体"/>
                <w:b/>
                <w:color w:val="000000"/>
                <w:kern w:val="0"/>
                <w:sz w:val="32"/>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5087" w:type="dxa"/>
            <w:tcBorders>
              <w:top w:val="nil"/>
              <w:left w:val="nil"/>
              <w:bottom w:val="nil"/>
              <w:right w:val="nil"/>
            </w:tcBorders>
            <w:shd w:val="clear" w:color="auto" w:fill="FFFFFF"/>
            <w:vAlign w:val="center"/>
          </w:tcPr>
          <w:p>
            <w:pPr>
              <w:widowControl/>
              <w:shd w:val="clear" w:color="auto" w:fill="FFFFFF"/>
              <w:jc w:val="center"/>
              <w:rPr>
                <w:rFonts w:hint="default" w:ascii="宋体"/>
                <w:color w:val="000000"/>
                <w:kern w:val="0"/>
                <w:sz w:val="20"/>
                <w:shd w:val="clear" w:color="auto" w:fill="FFFFFF"/>
              </w:rPr>
            </w:pPr>
          </w:p>
        </w:tc>
        <w:tc>
          <w:tcPr>
            <w:tcW w:w="4143" w:type="dxa"/>
            <w:tcBorders>
              <w:top w:val="nil"/>
              <w:left w:val="nil"/>
              <w:bottom w:val="nil"/>
              <w:right w:val="nil"/>
            </w:tcBorders>
            <w:shd w:val="clear" w:color="auto" w:fill="FFFFFF"/>
            <w:vAlign w:val="center"/>
          </w:tcPr>
          <w:p>
            <w:pPr>
              <w:widowControl/>
              <w:shd w:val="clear" w:color="auto" w:fill="FFFFFF"/>
              <w:jc w:val="center"/>
              <w:rPr>
                <w:rFonts w:hint="default" w:ascii="宋体"/>
                <w:color w:val="000000"/>
                <w:kern w:val="0"/>
                <w:sz w:val="20"/>
                <w:shd w:val="clear" w:color="auto" w:fill="FFFFFF"/>
              </w:rPr>
            </w:pPr>
          </w:p>
        </w:tc>
        <w:tc>
          <w:tcPr>
            <w:tcW w:w="3630"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z w:val="24"/>
                <w:shd w:val="clear" w:color="auto" w:fill="FFFFFF"/>
              </w:rPr>
            </w:pPr>
            <w:r>
              <w:rPr>
                <w:rFonts w:ascii="宋体" w:hAnsi="宋体"/>
                <w:color w:val="000000"/>
                <w:kern w:val="0"/>
                <w:sz w:val="24"/>
                <w:shd w:val="clear" w:color="auto" w:fill="FFFFFF"/>
              </w:rPr>
              <w:t>公开07表</w:t>
            </w:r>
          </w:p>
        </w:tc>
      </w:tr>
      <w:tr>
        <w:tblPrEx>
          <w:tblCellMar>
            <w:top w:w="0" w:type="dxa"/>
            <w:left w:w="108" w:type="dxa"/>
            <w:bottom w:w="0" w:type="dxa"/>
            <w:right w:w="108" w:type="dxa"/>
          </w:tblCellMar>
        </w:tblPrEx>
        <w:trPr>
          <w:trHeight w:val="300" w:hRule="atLeast"/>
          <w:jc w:val="center"/>
        </w:trPr>
        <w:tc>
          <w:tcPr>
            <w:tcW w:w="5087" w:type="dxa"/>
            <w:tcBorders>
              <w:top w:val="nil"/>
              <w:left w:val="nil"/>
              <w:bottom w:val="nil"/>
              <w:right w:val="nil"/>
            </w:tcBorders>
            <w:shd w:val="clear" w:color="auto" w:fill="FFFFFF"/>
            <w:vAlign w:val="center"/>
          </w:tcPr>
          <w:p>
            <w:pPr>
              <w:widowControl/>
              <w:shd w:val="clear" w:color="auto" w:fill="FFFFFF"/>
              <w:jc w:val="left"/>
              <w:rPr>
                <w:rFonts w:hint="default" w:ascii="宋体"/>
                <w:color w:val="000000"/>
                <w:kern w:val="0"/>
                <w:sz w:val="22"/>
                <w:shd w:val="clear" w:color="auto" w:fill="FFFFFF"/>
              </w:rPr>
            </w:pPr>
            <w:r>
              <w:rPr>
                <w:rFonts w:ascii="宋体" w:hAnsi="宋体"/>
                <w:color w:val="000000"/>
                <w:kern w:val="0"/>
                <w:sz w:val="22"/>
                <w:shd w:val="clear" w:color="auto" w:fill="FFFFFF"/>
              </w:rPr>
              <w:t>部门名称：</w:t>
            </w:r>
          </w:p>
        </w:tc>
        <w:tc>
          <w:tcPr>
            <w:tcW w:w="4143" w:type="dxa"/>
            <w:tcBorders>
              <w:top w:val="nil"/>
              <w:left w:val="nil"/>
              <w:bottom w:val="nil"/>
              <w:right w:val="nil"/>
            </w:tcBorders>
            <w:shd w:val="clear" w:color="auto" w:fill="FFFFFF"/>
            <w:vAlign w:val="center"/>
          </w:tcPr>
          <w:p>
            <w:pPr>
              <w:widowControl/>
              <w:shd w:val="clear" w:color="auto" w:fill="FFFFFF"/>
              <w:jc w:val="center"/>
              <w:rPr>
                <w:rFonts w:hint="default" w:ascii="宋体"/>
                <w:color w:val="000000"/>
                <w:kern w:val="0"/>
                <w:sz w:val="22"/>
                <w:shd w:val="clear" w:color="auto" w:fill="FFFFFF"/>
              </w:rPr>
            </w:pPr>
          </w:p>
        </w:tc>
        <w:tc>
          <w:tcPr>
            <w:tcW w:w="3630" w:type="dxa"/>
            <w:tcBorders>
              <w:top w:val="nil"/>
              <w:left w:val="nil"/>
              <w:bottom w:val="nil"/>
              <w:right w:val="nil"/>
            </w:tcBorders>
            <w:shd w:val="clear" w:color="auto" w:fill="FFFFFF"/>
            <w:vAlign w:val="center"/>
          </w:tcPr>
          <w:p>
            <w:pPr>
              <w:widowControl/>
              <w:shd w:val="clear" w:color="auto" w:fill="FFFFFF"/>
              <w:jc w:val="right"/>
              <w:rPr>
                <w:rFonts w:hint="default" w:ascii="宋体"/>
                <w:color w:val="000000"/>
                <w:kern w:val="0"/>
                <w:sz w:val="24"/>
                <w:shd w:val="clear" w:color="auto" w:fill="FFFFFF"/>
              </w:rPr>
            </w:pPr>
            <w:r>
              <w:rPr>
                <w:rFonts w:ascii="宋体" w:hAnsi="宋体"/>
                <w:color w:val="000000"/>
                <w:kern w:val="0"/>
                <w:sz w:val="24"/>
                <w:shd w:val="clear" w:color="auto" w:fill="FFFFFF"/>
              </w:rPr>
              <w:t>单位：万元</w:t>
            </w:r>
          </w:p>
        </w:tc>
      </w:tr>
      <w:tr>
        <w:tblPrEx>
          <w:tblCellMar>
            <w:top w:w="0" w:type="dxa"/>
            <w:left w:w="108" w:type="dxa"/>
            <w:bottom w:w="0" w:type="dxa"/>
            <w:right w:w="108" w:type="dxa"/>
          </w:tblCellMar>
        </w:tblPrEx>
        <w:trPr>
          <w:trHeight w:val="600" w:hRule="atLeast"/>
          <w:jc w:val="center"/>
        </w:trPr>
        <w:tc>
          <w:tcPr>
            <w:tcW w:w="50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黑体" w:hAnsi="宋体" w:eastAsia="黑体"/>
                <w:color w:val="000000"/>
                <w:kern w:val="0"/>
                <w:sz w:val="24"/>
              </w:rPr>
            </w:pPr>
            <w:r>
              <w:rPr>
                <w:rFonts w:ascii="黑体" w:hAnsi="宋体" w:eastAsia="黑体"/>
                <w:color w:val="000000"/>
                <w:kern w:val="0"/>
                <w:sz w:val="24"/>
              </w:rPr>
              <w:t>项    目</w:t>
            </w:r>
          </w:p>
        </w:tc>
        <w:tc>
          <w:tcPr>
            <w:tcW w:w="4143" w:type="dxa"/>
            <w:tcBorders>
              <w:top w:val="single" w:color="000000" w:sz="4" w:space="0"/>
              <w:left w:val="nil"/>
              <w:bottom w:val="single" w:color="000000" w:sz="4" w:space="0"/>
              <w:right w:val="single" w:color="000000" w:sz="4" w:space="0"/>
            </w:tcBorders>
            <w:vAlign w:val="center"/>
          </w:tcPr>
          <w:p>
            <w:pPr>
              <w:widowControl/>
              <w:jc w:val="center"/>
              <w:rPr>
                <w:rFonts w:hint="default" w:ascii="黑体" w:hAnsi="宋体" w:eastAsia="黑体"/>
                <w:color w:val="000000"/>
                <w:kern w:val="0"/>
                <w:sz w:val="24"/>
              </w:rPr>
            </w:pPr>
            <w:r>
              <w:rPr>
                <w:rFonts w:ascii="黑体" w:hAnsi="宋体" w:eastAsia="黑体"/>
                <w:color w:val="000000"/>
                <w:kern w:val="0"/>
                <w:sz w:val="24"/>
              </w:rPr>
              <w:t>预算数</w:t>
            </w:r>
          </w:p>
        </w:tc>
        <w:tc>
          <w:tcPr>
            <w:tcW w:w="3630" w:type="dxa"/>
            <w:tcBorders>
              <w:top w:val="single" w:color="000000" w:sz="4" w:space="0"/>
              <w:left w:val="nil"/>
              <w:bottom w:val="single" w:color="000000" w:sz="4" w:space="0"/>
              <w:right w:val="single" w:color="000000" w:sz="4" w:space="0"/>
            </w:tcBorders>
            <w:vAlign w:val="center"/>
          </w:tcPr>
          <w:p>
            <w:pPr>
              <w:widowControl/>
              <w:jc w:val="center"/>
              <w:rPr>
                <w:rFonts w:hint="default" w:ascii="黑体" w:hAnsi="宋体" w:eastAsia="黑体"/>
                <w:color w:val="000000"/>
                <w:kern w:val="0"/>
                <w:sz w:val="24"/>
              </w:rPr>
            </w:pPr>
            <w:r>
              <w:rPr>
                <w:rFonts w:ascii="黑体" w:hAnsi="宋体" w:eastAsia="黑体"/>
                <w:color w:val="000000"/>
                <w:kern w:val="0"/>
                <w:sz w:val="24"/>
              </w:rPr>
              <w:t>决算数</w:t>
            </w:r>
          </w:p>
        </w:tc>
      </w:tr>
      <w:tr>
        <w:tblPrEx>
          <w:tblCellMar>
            <w:top w:w="0" w:type="dxa"/>
            <w:left w:w="108" w:type="dxa"/>
            <w:bottom w:w="0" w:type="dxa"/>
            <w:right w:w="108" w:type="dxa"/>
          </w:tblCellMar>
        </w:tblPrEx>
        <w:trPr>
          <w:trHeight w:val="600" w:hRule="atLeast"/>
          <w:jc w:val="center"/>
        </w:trPr>
        <w:tc>
          <w:tcPr>
            <w:tcW w:w="50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color w:val="000000"/>
                <w:kern w:val="0"/>
                <w:sz w:val="24"/>
              </w:rPr>
            </w:pPr>
            <w:r>
              <w:rPr>
                <w:rFonts w:ascii="宋体" w:hAnsi="宋体"/>
                <w:color w:val="000000"/>
                <w:kern w:val="0"/>
                <w:sz w:val="24"/>
              </w:rPr>
              <w:t>合    计</w:t>
            </w:r>
          </w:p>
        </w:tc>
        <w:tc>
          <w:tcPr>
            <w:tcW w:w="414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20.63</w:t>
            </w:r>
          </w:p>
        </w:tc>
        <w:tc>
          <w:tcPr>
            <w:tcW w:w="363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3.64</w:t>
            </w:r>
          </w:p>
        </w:tc>
      </w:tr>
      <w:tr>
        <w:tblPrEx>
          <w:tblCellMar>
            <w:top w:w="0" w:type="dxa"/>
            <w:left w:w="108" w:type="dxa"/>
            <w:bottom w:w="0" w:type="dxa"/>
            <w:right w:w="108" w:type="dxa"/>
          </w:tblCellMar>
        </w:tblPrEx>
        <w:trPr>
          <w:trHeight w:val="600" w:hRule="atLeast"/>
          <w:jc w:val="center"/>
        </w:trPr>
        <w:tc>
          <w:tcPr>
            <w:tcW w:w="508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24"/>
              </w:rPr>
            </w:pPr>
            <w:r>
              <w:rPr>
                <w:rFonts w:ascii="宋体" w:hAnsi="宋体"/>
                <w:color w:val="000000"/>
                <w:kern w:val="0"/>
                <w:sz w:val="24"/>
              </w:rPr>
              <w:t>1、因公出国（境）费</w:t>
            </w:r>
          </w:p>
        </w:tc>
        <w:tc>
          <w:tcPr>
            <w:tcW w:w="4143"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sz w:val="24"/>
                <w:szCs w:val="24"/>
                <w:u w:val="none"/>
              </w:rPr>
            </w:pPr>
          </w:p>
        </w:tc>
        <w:tc>
          <w:tcPr>
            <w:tcW w:w="3630" w:type="dxa"/>
            <w:tcBorders>
              <w:top w:val="single" w:color="000000" w:sz="4" w:space="0"/>
              <w:left w:val="nil"/>
              <w:bottom w:val="single" w:color="000000" w:sz="4" w:space="0"/>
              <w:right w:val="single" w:color="000000" w:sz="4" w:space="0"/>
            </w:tcBorders>
            <w:vAlign w:val="center"/>
          </w:tcPr>
          <w:p>
            <w:pPr>
              <w:jc w:val="right"/>
              <w:rPr>
                <w:rFonts w:hint="default"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00" w:hRule="atLeast"/>
          <w:jc w:val="center"/>
        </w:trPr>
        <w:tc>
          <w:tcPr>
            <w:tcW w:w="508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24"/>
              </w:rPr>
            </w:pPr>
            <w:r>
              <w:rPr>
                <w:rFonts w:ascii="宋体" w:hAnsi="宋体"/>
                <w:color w:val="000000"/>
                <w:kern w:val="0"/>
                <w:sz w:val="24"/>
              </w:rPr>
              <w:t>2、公务接待费</w:t>
            </w:r>
          </w:p>
        </w:tc>
        <w:tc>
          <w:tcPr>
            <w:tcW w:w="414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2.63</w:t>
            </w:r>
          </w:p>
        </w:tc>
        <w:tc>
          <w:tcPr>
            <w:tcW w:w="363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0.19</w:t>
            </w:r>
          </w:p>
        </w:tc>
      </w:tr>
      <w:tr>
        <w:tblPrEx>
          <w:tblCellMar>
            <w:top w:w="0" w:type="dxa"/>
            <w:left w:w="108" w:type="dxa"/>
            <w:bottom w:w="0" w:type="dxa"/>
            <w:right w:w="108" w:type="dxa"/>
          </w:tblCellMar>
        </w:tblPrEx>
        <w:trPr>
          <w:trHeight w:val="600" w:hRule="atLeast"/>
          <w:jc w:val="center"/>
        </w:trPr>
        <w:tc>
          <w:tcPr>
            <w:tcW w:w="508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24"/>
              </w:rPr>
            </w:pPr>
            <w:r>
              <w:rPr>
                <w:rFonts w:ascii="宋体" w:hAnsi="宋体"/>
                <w:color w:val="000000"/>
                <w:kern w:val="0"/>
                <w:sz w:val="24"/>
              </w:rPr>
              <w:t>3、公务用车购置及运行费</w:t>
            </w:r>
          </w:p>
        </w:tc>
        <w:tc>
          <w:tcPr>
            <w:tcW w:w="414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18.00</w:t>
            </w:r>
          </w:p>
        </w:tc>
        <w:tc>
          <w:tcPr>
            <w:tcW w:w="363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3.45</w:t>
            </w:r>
          </w:p>
        </w:tc>
      </w:tr>
      <w:tr>
        <w:tblPrEx>
          <w:tblCellMar>
            <w:top w:w="0" w:type="dxa"/>
            <w:left w:w="108" w:type="dxa"/>
            <w:bottom w:w="0" w:type="dxa"/>
            <w:right w:w="108" w:type="dxa"/>
          </w:tblCellMar>
        </w:tblPrEx>
        <w:trPr>
          <w:trHeight w:val="600" w:hRule="atLeast"/>
          <w:jc w:val="center"/>
        </w:trPr>
        <w:tc>
          <w:tcPr>
            <w:tcW w:w="508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24"/>
              </w:rPr>
            </w:pPr>
            <w:r>
              <w:rPr>
                <w:rFonts w:ascii="宋体" w:hAnsi="宋体"/>
                <w:color w:val="000000"/>
                <w:kern w:val="0"/>
                <w:sz w:val="24"/>
              </w:rPr>
              <w:t>其中: （1）公务用车购置费</w:t>
            </w:r>
          </w:p>
        </w:tc>
        <w:tc>
          <w:tcPr>
            <w:tcW w:w="414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0</w:t>
            </w:r>
          </w:p>
        </w:tc>
        <w:tc>
          <w:tcPr>
            <w:tcW w:w="363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2"/>
                <w:sz w:val="24"/>
                <w:szCs w:val="24"/>
                <w:u w:val="none"/>
                <w:lang w:val="en-US" w:eastAsia="zh-CN" w:bidi="ar-SA"/>
              </w:rPr>
              <w:t>0</w:t>
            </w:r>
          </w:p>
        </w:tc>
      </w:tr>
      <w:tr>
        <w:tblPrEx>
          <w:tblCellMar>
            <w:top w:w="0" w:type="dxa"/>
            <w:left w:w="108" w:type="dxa"/>
            <w:bottom w:w="0" w:type="dxa"/>
            <w:right w:w="108" w:type="dxa"/>
          </w:tblCellMar>
        </w:tblPrEx>
        <w:trPr>
          <w:trHeight w:val="585" w:hRule="atLeast"/>
          <w:jc w:val="center"/>
        </w:trPr>
        <w:tc>
          <w:tcPr>
            <w:tcW w:w="508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color w:val="000000"/>
                <w:kern w:val="0"/>
                <w:sz w:val="24"/>
              </w:rPr>
            </w:pPr>
            <w:r>
              <w:rPr>
                <w:rFonts w:ascii="宋体" w:hAnsi="宋体"/>
                <w:color w:val="000000"/>
                <w:kern w:val="0"/>
                <w:sz w:val="24"/>
              </w:rPr>
              <w:t xml:space="preserve">      （2）公务用车运行维护费</w:t>
            </w:r>
          </w:p>
        </w:tc>
        <w:tc>
          <w:tcPr>
            <w:tcW w:w="4143" w:type="dxa"/>
            <w:tcBorders>
              <w:top w:val="single" w:color="000000" w:sz="4" w:space="0"/>
              <w:left w:val="nil"/>
              <w:bottom w:val="single" w:color="000000" w:sz="4" w:space="0"/>
              <w:right w:val="single" w:color="000000" w:sz="4" w:space="0"/>
            </w:tcBorders>
            <w:vAlign w:val="center"/>
          </w:tcPr>
          <w:p>
            <w:pPr>
              <w:widowControl/>
              <w:ind w:firstLine="3120" w:firstLineChars="1300"/>
              <w:jc w:val="left"/>
              <w:rPr>
                <w:rFonts w:hint="default" w:ascii="宋体" w:eastAsia="宋体"/>
                <w:b/>
                <w:color w:val="000000"/>
                <w:kern w:val="0"/>
                <w:sz w:val="22"/>
                <w:lang w:val="en-US" w:eastAsia="zh-CN"/>
              </w:rPr>
            </w:pPr>
            <w:r>
              <w:rPr>
                <w:rFonts w:hint="eastAsia" w:ascii="宋体"/>
                <w:b w:val="0"/>
                <w:bCs/>
                <w:color w:val="000000"/>
                <w:kern w:val="0"/>
                <w:sz w:val="24"/>
                <w:szCs w:val="24"/>
                <w:lang w:val="en-US" w:eastAsia="zh-CN"/>
              </w:rPr>
              <w:t>18.00</w:t>
            </w:r>
          </w:p>
        </w:tc>
        <w:tc>
          <w:tcPr>
            <w:tcW w:w="3630" w:type="dxa"/>
            <w:tcBorders>
              <w:top w:val="single" w:color="000000" w:sz="4" w:space="0"/>
              <w:left w:val="nil"/>
              <w:bottom w:val="single" w:color="000000" w:sz="4" w:space="0"/>
              <w:right w:val="single" w:color="000000" w:sz="4" w:space="0"/>
            </w:tcBorders>
            <w:vAlign w:val="center"/>
          </w:tcPr>
          <w:p>
            <w:pPr>
              <w:widowControl/>
              <w:jc w:val="center"/>
              <w:rPr>
                <w:rFonts w:hint="default" w:ascii="宋体" w:eastAsia="宋体"/>
                <w:color w:val="000000"/>
                <w:kern w:val="0"/>
                <w:sz w:val="22"/>
                <w:lang w:val="en-US" w:eastAsia="zh-CN"/>
              </w:rPr>
            </w:pPr>
            <w:r>
              <w:rPr>
                <w:rFonts w:hint="eastAsia" w:ascii="宋体"/>
                <w:color w:val="000000"/>
                <w:kern w:val="0"/>
                <w:sz w:val="22"/>
                <w:lang w:val="en-US" w:eastAsia="zh-CN"/>
              </w:rPr>
              <w:t xml:space="preserve">                         </w:t>
            </w:r>
            <w:r>
              <w:rPr>
                <w:rFonts w:hint="eastAsia" w:ascii="宋体"/>
                <w:color w:val="000000"/>
                <w:kern w:val="0"/>
                <w:sz w:val="24"/>
                <w:szCs w:val="24"/>
                <w:lang w:val="en-US" w:eastAsia="zh-CN"/>
              </w:rPr>
              <w:t xml:space="preserve"> 3.45</w:t>
            </w:r>
          </w:p>
        </w:tc>
      </w:tr>
    </w:tbl>
    <w:p>
      <w:pPr>
        <w:widowControl/>
        <w:spacing w:line="560" w:lineRule="atLeast"/>
        <w:jc w:val="left"/>
        <w:rPr>
          <w:rFonts w:hint="default" w:ascii="仿宋_GB2312" w:hAnsi="宋体" w:eastAsia="仿宋_GB2312"/>
          <w:kern w:val="0"/>
          <w:sz w:val="24"/>
        </w:rPr>
      </w:pPr>
      <w:r>
        <w:rPr>
          <w:rFonts w:ascii="宋体" w:hAnsi="宋体" w:cs="宋体"/>
          <w:kern w:val="0"/>
          <w:szCs w:val="21"/>
        </w:rPr>
        <w:t>注：1.本表反映部门本年度“三公”经费支出预决算情况。其中：预算数为“三公”经费年初预算数；决算数是包括当年一般公共预算财政拨款和以前年度结转资金安排的实际支出。2.本套报表金额单位转换时可能存在尾数误差。3.如本表为空，则我部门本年度无此类资金收支余。</w:t>
      </w:r>
    </w:p>
    <w:p>
      <w:pPr>
        <w:widowControl/>
        <w:spacing w:line="560" w:lineRule="atLeast"/>
        <w:jc w:val="left"/>
        <w:rPr>
          <w:rFonts w:ascii="宋体" w:hAnsi="宋体" w:cs="宋体"/>
          <w:kern w:val="0"/>
          <w:szCs w:val="21"/>
        </w:rPr>
      </w:pPr>
    </w:p>
    <w:p>
      <w:pPr>
        <w:widowControl/>
        <w:spacing w:line="560" w:lineRule="atLeast"/>
        <w:jc w:val="left"/>
        <w:rPr>
          <w:rFonts w:ascii="宋体" w:hAnsi="宋体" w:cs="宋体"/>
          <w:kern w:val="0"/>
          <w:szCs w:val="21"/>
        </w:rPr>
      </w:pPr>
    </w:p>
    <w:p>
      <w:pPr>
        <w:widowControl/>
        <w:spacing w:line="560" w:lineRule="atLeast"/>
        <w:jc w:val="left"/>
        <w:rPr>
          <w:rFonts w:hint="default" w:ascii="宋体" w:hAnsi="宋体" w:cs="宋体"/>
          <w:kern w:val="0"/>
          <w:szCs w:val="21"/>
        </w:rPr>
      </w:pPr>
    </w:p>
    <w:p>
      <w:pPr>
        <w:widowControl/>
        <w:spacing w:line="560" w:lineRule="atLeast"/>
        <w:rPr>
          <w:rFonts w:hint="default" w:ascii="仿宋_GB2312" w:hAnsi="宋体" w:eastAsia="仿宋_GB2312"/>
          <w:kern w:val="0"/>
          <w:sz w:val="24"/>
        </w:rPr>
      </w:pPr>
      <w:r>
        <w:rPr>
          <w:rFonts w:ascii="仿宋_GB2312" w:hAnsi="宋体" w:eastAsia="仿宋_GB2312"/>
          <w:kern w:val="0"/>
          <w:sz w:val="24"/>
        </w:rPr>
        <w:t>附件1-9</w:t>
      </w:r>
    </w:p>
    <w:tbl>
      <w:tblPr>
        <w:tblStyle w:val="5"/>
        <w:tblW w:w="14174" w:type="dxa"/>
        <w:jc w:val="center"/>
        <w:tblLayout w:type="fixed"/>
        <w:tblCellMar>
          <w:top w:w="0" w:type="dxa"/>
          <w:left w:w="108" w:type="dxa"/>
          <w:bottom w:w="0" w:type="dxa"/>
          <w:right w:w="108" w:type="dxa"/>
        </w:tblCellMar>
      </w:tblPr>
      <w:tblGrid>
        <w:gridCol w:w="2532"/>
        <w:gridCol w:w="1266"/>
        <w:gridCol w:w="1266"/>
        <w:gridCol w:w="1266"/>
        <w:gridCol w:w="1266"/>
        <w:gridCol w:w="1266"/>
        <w:gridCol w:w="1266"/>
        <w:gridCol w:w="2044"/>
        <w:gridCol w:w="2002"/>
      </w:tblGrid>
      <w:tr>
        <w:tblPrEx>
          <w:tblCellMar>
            <w:top w:w="0" w:type="dxa"/>
            <w:left w:w="108" w:type="dxa"/>
            <w:bottom w:w="0" w:type="dxa"/>
            <w:right w:w="108" w:type="dxa"/>
          </w:tblCellMar>
        </w:tblPrEx>
        <w:trPr>
          <w:trHeight w:val="370" w:hRule="atLeast"/>
          <w:jc w:val="center"/>
        </w:trPr>
        <w:tc>
          <w:tcPr>
            <w:tcW w:w="14174" w:type="dxa"/>
            <w:gridSpan w:val="9"/>
            <w:tcBorders>
              <w:top w:val="nil"/>
              <w:left w:val="nil"/>
              <w:bottom w:val="nil"/>
              <w:right w:val="nil"/>
            </w:tcBorders>
            <w:shd w:val="clear" w:color="auto" w:fill="FFFFFF"/>
            <w:vAlign w:val="center"/>
          </w:tcPr>
          <w:p>
            <w:pPr>
              <w:widowControl/>
              <w:jc w:val="center"/>
              <w:textAlignment w:val="center"/>
              <w:rPr>
                <w:rFonts w:hint="default" w:ascii="宋体"/>
                <w:b/>
                <w:color w:val="000000"/>
                <w:kern w:val="0"/>
                <w:shd w:val="clear" w:color="auto" w:fill="FFFFFF"/>
              </w:rPr>
            </w:pPr>
            <w:r>
              <w:rPr>
                <w:rFonts w:ascii="宋体" w:hAnsi="宋体" w:cs="宋体"/>
                <w:b/>
                <w:color w:val="000000"/>
                <w:kern w:val="0"/>
                <w:sz w:val="28"/>
                <w:szCs w:val="28"/>
              </w:rPr>
              <w:t>国有资本经营预算财政拨款支出决算表</w:t>
            </w:r>
          </w:p>
        </w:tc>
      </w:tr>
      <w:tr>
        <w:tblPrEx>
          <w:tblCellMar>
            <w:top w:w="0" w:type="dxa"/>
            <w:left w:w="108" w:type="dxa"/>
            <w:bottom w:w="0" w:type="dxa"/>
            <w:right w:w="108" w:type="dxa"/>
          </w:tblCellMar>
        </w:tblPrEx>
        <w:trPr>
          <w:trHeight w:val="175" w:hRule="atLeast"/>
          <w:jc w:val="center"/>
        </w:trPr>
        <w:tc>
          <w:tcPr>
            <w:tcW w:w="2532" w:type="dxa"/>
            <w:tcBorders>
              <w:top w:val="nil"/>
              <w:left w:val="nil"/>
              <w:bottom w:val="nil"/>
              <w:right w:val="nil"/>
            </w:tcBorders>
            <w:shd w:val="clear" w:color="auto" w:fill="FFFFFF"/>
            <w:vAlign w:val="bottom"/>
          </w:tcPr>
          <w:p>
            <w:pPr>
              <w:jc w:val="left"/>
              <w:rPr>
                <w:rFonts w:hint="default" w:ascii="宋体"/>
                <w:color w:val="000000"/>
                <w:kern w:val="0"/>
                <w:sz w:val="18"/>
                <w:shd w:val="clear" w:color="auto" w:fill="FFFFFF"/>
              </w:rPr>
            </w:pPr>
          </w:p>
        </w:tc>
        <w:tc>
          <w:tcPr>
            <w:tcW w:w="1266" w:type="dxa"/>
            <w:tcBorders>
              <w:top w:val="nil"/>
              <w:left w:val="nil"/>
              <w:bottom w:val="nil"/>
              <w:right w:val="nil"/>
            </w:tcBorders>
            <w:shd w:val="clear" w:color="auto" w:fill="FFFFFF"/>
            <w:vAlign w:val="bottom"/>
          </w:tcPr>
          <w:p>
            <w:pPr>
              <w:jc w:val="left"/>
              <w:rPr>
                <w:rFonts w:hint="default" w:ascii="宋体"/>
                <w:color w:val="000000"/>
                <w:kern w:val="0"/>
                <w:sz w:val="18"/>
                <w:shd w:val="clear" w:color="auto" w:fill="FFFFFF"/>
              </w:rPr>
            </w:pPr>
          </w:p>
        </w:tc>
        <w:tc>
          <w:tcPr>
            <w:tcW w:w="1266" w:type="dxa"/>
            <w:tcBorders>
              <w:top w:val="nil"/>
              <w:left w:val="nil"/>
              <w:bottom w:val="nil"/>
              <w:right w:val="nil"/>
            </w:tcBorders>
            <w:shd w:val="clear" w:color="auto" w:fill="FFFFFF"/>
            <w:vAlign w:val="bottom"/>
          </w:tcPr>
          <w:p>
            <w:pPr>
              <w:jc w:val="left"/>
              <w:rPr>
                <w:rFonts w:hint="default" w:ascii="宋体"/>
                <w:color w:val="000000"/>
                <w:kern w:val="0"/>
                <w:sz w:val="18"/>
                <w:shd w:val="clear" w:color="auto" w:fill="FFFFFF"/>
              </w:rPr>
            </w:pPr>
          </w:p>
        </w:tc>
        <w:tc>
          <w:tcPr>
            <w:tcW w:w="1266" w:type="dxa"/>
            <w:tcBorders>
              <w:top w:val="nil"/>
              <w:left w:val="nil"/>
              <w:bottom w:val="nil"/>
              <w:right w:val="nil"/>
            </w:tcBorders>
            <w:shd w:val="clear" w:color="auto" w:fill="FFFFFF"/>
            <w:vAlign w:val="bottom"/>
          </w:tcPr>
          <w:p>
            <w:pPr>
              <w:jc w:val="left"/>
              <w:rPr>
                <w:rFonts w:hint="default" w:ascii="宋体"/>
                <w:color w:val="000000"/>
                <w:kern w:val="0"/>
                <w:sz w:val="18"/>
                <w:shd w:val="clear" w:color="auto" w:fill="FFFFFF"/>
              </w:rPr>
            </w:pPr>
          </w:p>
        </w:tc>
        <w:tc>
          <w:tcPr>
            <w:tcW w:w="1266" w:type="dxa"/>
            <w:tcBorders>
              <w:top w:val="nil"/>
              <w:left w:val="nil"/>
              <w:bottom w:val="nil"/>
              <w:right w:val="nil"/>
            </w:tcBorders>
            <w:shd w:val="clear" w:color="auto" w:fill="FFFFFF"/>
            <w:vAlign w:val="bottom"/>
          </w:tcPr>
          <w:p>
            <w:pPr>
              <w:jc w:val="left"/>
              <w:rPr>
                <w:rFonts w:hint="default" w:ascii="宋体"/>
                <w:color w:val="000000"/>
                <w:kern w:val="0"/>
                <w:sz w:val="18"/>
                <w:shd w:val="clear" w:color="auto" w:fill="FFFFFF"/>
              </w:rPr>
            </w:pPr>
          </w:p>
        </w:tc>
        <w:tc>
          <w:tcPr>
            <w:tcW w:w="1266" w:type="dxa"/>
            <w:tcBorders>
              <w:top w:val="nil"/>
              <w:left w:val="nil"/>
              <w:bottom w:val="nil"/>
              <w:right w:val="nil"/>
            </w:tcBorders>
            <w:shd w:val="clear" w:color="auto" w:fill="FFFFFF"/>
            <w:vAlign w:val="bottom"/>
          </w:tcPr>
          <w:p>
            <w:pPr>
              <w:jc w:val="left"/>
              <w:rPr>
                <w:rFonts w:hint="default" w:ascii="宋体"/>
                <w:color w:val="000000"/>
                <w:kern w:val="0"/>
                <w:sz w:val="18"/>
                <w:shd w:val="clear" w:color="auto" w:fill="FFFFFF"/>
              </w:rPr>
            </w:pPr>
          </w:p>
        </w:tc>
        <w:tc>
          <w:tcPr>
            <w:tcW w:w="1266" w:type="dxa"/>
            <w:tcBorders>
              <w:top w:val="nil"/>
              <w:left w:val="nil"/>
              <w:bottom w:val="nil"/>
              <w:right w:val="nil"/>
            </w:tcBorders>
            <w:shd w:val="clear" w:color="auto" w:fill="FFFFFF"/>
            <w:vAlign w:val="bottom"/>
          </w:tcPr>
          <w:p>
            <w:pPr>
              <w:jc w:val="left"/>
              <w:rPr>
                <w:rFonts w:hint="default" w:ascii="宋体"/>
                <w:color w:val="000000"/>
                <w:kern w:val="0"/>
                <w:sz w:val="18"/>
                <w:shd w:val="clear" w:color="auto" w:fill="FFFFFF"/>
              </w:rPr>
            </w:pPr>
          </w:p>
        </w:tc>
        <w:tc>
          <w:tcPr>
            <w:tcW w:w="2044" w:type="dxa"/>
            <w:tcBorders>
              <w:top w:val="nil"/>
              <w:left w:val="nil"/>
              <w:bottom w:val="nil"/>
              <w:right w:val="nil"/>
            </w:tcBorders>
            <w:shd w:val="clear" w:color="auto" w:fill="FFFFFF"/>
            <w:vAlign w:val="bottom"/>
          </w:tcPr>
          <w:p>
            <w:pPr>
              <w:rPr>
                <w:rFonts w:hint="default" w:ascii="宋体"/>
                <w:color w:val="000000"/>
                <w:kern w:val="0"/>
                <w:shd w:val="clear" w:color="auto" w:fill="FFFFFF"/>
              </w:rPr>
            </w:pPr>
          </w:p>
        </w:tc>
        <w:tc>
          <w:tcPr>
            <w:tcW w:w="2002" w:type="dxa"/>
            <w:tcBorders>
              <w:top w:val="nil"/>
              <w:left w:val="nil"/>
              <w:bottom w:val="nil"/>
              <w:right w:val="nil"/>
            </w:tcBorders>
            <w:shd w:val="clear" w:color="auto" w:fill="FFFFFF"/>
            <w:vAlign w:val="bottom"/>
          </w:tcPr>
          <w:p>
            <w:pPr>
              <w:widowControl/>
              <w:jc w:val="center"/>
              <w:textAlignment w:val="bottom"/>
              <w:rPr>
                <w:rFonts w:hint="default"/>
              </w:rPr>
            </w:pPr>
            <w:r>
              <w:rPr>
                <w:rFonts w:ascii="宋体" w:hAnsi="宋体" w:cs="宋体"/>
                <w:color w:val="000000"/>
                <w:kern w:val="0"/>
                <w:szCs w:val="21"/>
              </w:rPr>
              <w:t>公开09表</w:t>
            </w:r>
          </w:p>
        </w:tc>
      </w:tr>
      <w:tr>
        <w:tblPrEx>
          <w:tblCellMar>
            <w:top w:w="0" w:type="dxa"/>
            <w:left w:w="108" w:type="dxa"/>
            <w:bottom w:w="0" w:type="dxa"/>
            <w:right w:w="108" w:type="dxa"/>
          </w:tblCellMar>
        </w:tblPrEx>
        <w:trPr>
          <w:trHeight w:val="285" w:hRule="atLeast"/>
          <w:jc w:val="center"/>
        </w:trPr>
        <w:tc>
          <w:tcPr>
            <w:tcW w:w="2532" w:type="dxa"/>
            <w:tcBorders>
              <w:top w:val="nil"/>
              <w:left w:val="nil"/>
              <w:bottom w:val="nil"/>
              <w:right w:val="nil"/>
            </w:tcBorders>
            <w:shd w:val="clear" w:color="auto" w:fill="FFFFFF"/>
            <w:vAlign w:val="bottom"/>
          </w:tcPr>
          <w:p>
            <w:pPr>
              <w:widowControl/>
              <w:jc w:val="left"/>
              <w:textAlignment w:val="bottom"/>
              <w:rPr>
                <w:rFonts w:hint="default" w:ascii="宋体"/>
                <w:color w:val="000000"/>
                <w:kern w:val="0"/>
                <w:shd w:val="clear" w:color="auto" w:fill="FFFFFF"/>
              </w:rPr>
            </w:pPr>
            <w:r>
              <w:rPr>
                <w:rFonts w:ascii="宋体" w:hAnsi="宋体" w:cs="宋体"/>
                <w:color w:val="000000"/>
                <w:kern w:val="0"/>
                <w:szCs w:val="21"/>
              </w:rPr>
              <w:t>部门：</w:t>
            </w:r>
          </w:p>
        </w:tc>
        <w:tc>
          <w:tcPr>
            <w:tcW w:w="1266" w:type="dxa"/>
            <w:tcBorders>
              <w:top w:val="nil"/>
              <w:left w:val="nil"/>
              <w:bottom w:val="nil"/>
              <w:right w:val="nil"/>
            </w:tcBorders>
            <w:shd w:val="clear" w:color="auto" w:fill="FFFFFF"/>
            <w:vAlign w:val="bottom"/>
          </w:tcPr>
          <w:p>
            <w:pPr>
              <w:jc w:val="left"/>
              <w:rPr>
                <w:rFonts w:hint="default" w:ascii="宋体"/>
                <w:color w:val="000000"/>
                <w:kern w:val="0"/>
                <w:shd w:val="clear" w:color="auto" w:fill="FFFFFF"/>
              </w:rPr>
            </w:pPr>
          </w:p>
        </w:tc>
        <w:tc>
          <w:tcPr>
            <w:tcW w:w="2532" w:type="dxa"/>
            <w:gridSpan w:val="2"/>
            <w:tcBorders>
              <w:top w:val="nil"/>
              <w:left w:val="nil"/>
              <w:bottom w:val="nil"/>
              <w:right w:val="nil"/>
            </w:tcBorders>
            <w:shd w:val="clear" w:color="auto" w:fill="FFFFFF"/>
            <w:vAlign w:val="bottom"/>
          </w:tcPr>
          <w:p>
            <w:pPr>
              <w:jc w:val="left"/>
              <w:rPr>
                <w:rFonts w:hint="default" w:ascii="宋体"/>
                <w:color w:val="000000"/>
                <w:kern w:val="0"/>
                <w:shd w:val="clear" w:color="auto" w:fill="FFFFFF"/>
              </w:rPr>
            </w:pPr>
          </w:p>
        </w:tc>
        <w:tc>
          <w:tcPr>
            <w:tcW w:w="1266" w:type="dxa"/>
            <w:tcBorders>
              <w:top w:val="nil"/>
              <w:left w:val="nil"/>
              <w:bottom w:val="nil"/>
              <w:right w:val="nil"/>
            </w:tcBorders>
            <w:shd w:val="clear" w:color="auto" w:fill="FFFFFF"/>
            <w:vAlign w:val="bottom"/>
          </w:tcPr>
          <w:p>
            <w:pPr>
              <w:jc w:val="left"/>
              <w:rPr>
                <w:rFonts w:hint="default" w:ascii="宋体"/>
                <w:color w:val="000000"/>
                <w:kern w:val="0"/>
                <w:shd w:val="clear" w:color="auto" w:fill="FFFFFF"/>
              </w:rPr>
            </w:pPr>
          </w:p>
        </w:tc>
        <w:tc>
          <w:tcPr>
            <w:tcW w:w="1266" w:type="dxa"/>
            <w:tcBorders>
              <w:top w:val="nil"/>
              <w:left w:val="nil"/>
              <w:bottom w:val="nil"/>
              <w:right w:val="nil"/>
            </w:tcBorders>
            <w:shd w:val="clear" w:color="auto" w:fill="FFFFFF"/>
            <w:vAlign w:val="bottom"/>
          </w:tcPr>
          <w:p>
            <w:pPr>
              <w:jc w:val="left"/>
              <w:rPr>
                <w:rFonts w:hint="default" w:ascii="宋体"/>
                <w:color w:val="000000"/>
                <w:kern w:val="0"/>
                <w:shd w:val="clear" w:color="auto" w:fill="FFFFFF"/>
              </w:rPr>
            </w:pPr>
          </w:p>
        </w:tc>
        <w:tc>
          <w:tcPr>
            <w:tcW w:w="1266" w:type="dxa"/>
            <w:tcBorders>
              <w:top w:val="nil"/>
              <w:left w:val="nil"/>
              <w:bottom w:val="nil"/>
              <w:right w:val="nil"/>
            </w:tcBorders>
            <w:shd w:val="clear" w:color="auto" w:fill="FFFFFF"/>
            <w:vAlign w:val="bottom"/>
          </w:tcPr>
          <w:p>
            <w:pPr>
              <w:jc w:val="left"/>
              <w:rPr>
                <w:rFonts w:hint="default" w:ascii="宋体"/>
                <w:color w:val="000000"/>
                <w:kern w:val="0"/>
                <w:shd w:val="clear" w:color="auto" w:fill="FFFFFF"/>
              </w:rPr>
            </w:pPr>
          </w:p>
        </w:tc>
        <w:tc>
          <w:tcPr>
            <w:tcW w:w="2044" w:type="dxa"/>
            <w:tcBorders>
              <w:top w:val="nil"/>
              <w:left w:val="nil"/>
              <w:bottom w:val="nil"/>
              <w:right w:val="nil"/>
            </w:tcBorders>
            <w:shd w:val="clear" w:color="auto" w:fill="FFFFFF"/>
            <w:vAlign w:val="bottom"/>
          </w:tcPr>
          <w:p>
            <w:pPr>
              <w:rPr>
                <w:rFonts w:hint="default" w:ascii="宋体"/>
                <w:color w:val="000000"/>
                <w:kern w:val="0"/>
                <w:shd w:val="clear" w:color="auto" w:fill="FFFFFF"/>
              </w:rPr>
            </w:pPr>
          </w:p>
        </w:tc>
        <w:tc>
          <w:tcPr>
            <w:tcW w:w="2002" w:type="dxa"/>
            <w:tcBorders>
              <w:top w:val="nil"/>
              <w:left w:val="nil"/>
              <w:bottom w:val="nil"/>
              <w:right w:val="nil"/>
            </w:tcBorders>
            <w:shd w:val="clear" w:color="auto" w:fill="FFFFFF"/>
            <w:vAlign w:val="bottom"/>
          </w:tcPr>
          <w:p>
            <w:pPr>
              <w:widowControl/>
              <w:jc w:val="center"/>
              <w:textAlignment w:val="bottom"/>
              <w:rPr>
                <w:rFonts w:hint="default"/>
              </w:rPr>
            </w:pPr>
            <w:r>
              <w:rPr>
                <w:rFonts w:ascii="宋体" w:hAnsi="宋体" w:cs="宋体"/>
                <w:color w:val="000000"/>
                <w:kern w:val="0"/>
                <w:szCs w:val="21"/>
              </w:rPr>
              <w:t>单位：万元</w:t>
            </w:r>
          </w:p>
        </w:tc>
      </w:tr>
      <w:tr>
        <w:tblPrEx>
          <w:tblCellMar>
            <w:top w:w="0" w:type="dxa"/>
            <w:left w:w="108" w:type="dxa"/>
            <w:bottom w:w="0" w:type="dxa"/>
            <w:right w:w="108" w:type="dxa"/>
          </w:tblCellMar>
        </w:tblPrEx>
        <w:trPr>
          <w:trHeight w:val="600" w:hRule="atLeast"/>
          <w:jc w:val="center"/>
        </w:trPr>
        <w:tc>
          <w:tcPr>
            <w:tcW w:w="759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olor w:val="000000"/>
                <w:kern w:val="0"/>
              </w:rPr>
            </w:pPr>
            <w:r>
              <w:rPr>
                <w:rFonts w:ascii="宋体" w:hAnsi="宋体" w:cs="宋体"/>
                <w:color w:val="000000"/>
                <w:kern w:val="0"/>
                <w:szCs w:val="21"/>
              </w:rPr>
              <w:t>项目</w:t>
            </w:r>
          </w:p>
        </w:tc>
        <w:tc>
          <w:tcPr>
            <w:tcW w:w="6578" w:type="dxa"/>
            <w:gridSpan w:val="4"/>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宋体"/>
                <w:color w:val="000000"/>
                <w:kern w:val="0"/>
              </w:rPr>
            </w:pPr>
            <w:r>
              <w:rPr>
                <w:rFonts w:ascii="宋体" w:hAnsi="宋体" w:cs="宋体"/>
                <w:color w:val="000000"/>
                <w:kern w:val="0"/>
                <w:szCs w:val="21"/>
              </w:rPr>
              <w:t>本年支出</w:t>
            </w:r>
          </w:p>
        </w:tc>
      </w:tr>
      <w:tr>
        <w:tblPrEx>
          <w:tblCellMar>
            <w:top w:w="0" w:type="dxa"/>
            <w:left w:w="108" w:type="dxa"/>
            <w:bottom w:w="0" w:type="dxa"/>
            <w:right w:w="108" w:type="dxa"/>
          </w:tblCellMar>
        </w:tblPrEx>
        <w:trPr>
          <w:trHeight w:val="635" w:hRule="atLeast"/>
          <w:jc w:val="center"/>
        </w:trPr>
        <w:tc>
          <w:tcPr>
            <w:tcW w:w="3798"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default" w:ascii="宋体"/>
                <w:color w:val="000000"/>
                <w:kern w:val="0"/>
              </w:rPr>
            </w:pPr>
            <w:r>
              <w:rPr>
                <w:rFonts w:ascii="宋体"/>
                <w:color w:val="000000"/>
                <w:kern w:val="0"/>
              </w:rPr>
              <w:t>功能分类科目编码</w:t>
            </w:r>
          </w:p>
        </w:tc>
        <w:tc>
          <w:tcPr>
            <w:tcW w:w="379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color w:val="000000"/>
                <w:kern w:val="0"/>
              </w:rPr>
            </w:pPr>
            <w:r>
              <w:rPr>
                <w:rFonts w:ascii="宋体"/>
                <w:color w:val="000000"/>
                <w:kern w:val="0"/>
              </w:rPr>
              <w:t>科目名称</w:t>
            </w:r>
          </w:p>
        </w:tc>
        <w:tc>
          <w:tcPr>
            <w:tcW w:w="2532"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default" w:ascii="宋体"/>
                <w:color w:val="000000"/>
                <w:kern w:val="0"/>
              </w:rPr>
            </w:pPr>
            <w:r>
              <w:rPr>
                <w:rFonts w:ascii="宋体" w:hAnsi="宋体" w:cs="宋体"/>
                <w:color w:val="000000"/>
                <w:kern w:val="0"/>
                <w:szCs w:val="21"/>
              </w:rPr>
              <w:t>合计</w:t>
            </w:r>
          </w:p>
        </w:tc>
        <w:tc>
          <w:tcPr>
            <w:tcW w:w="204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宋体"/>
                <w:color w:val="000000"/>
                <w:kern w:val="0"/>
              </w:rPr>
            </w:pPr>
            <w:r>
              <w:rPr>
                <w:rFonts w:ascii="宋体" w:hAnsi="宋体" w:cs="宋体"/>
                <w:color w:val="000000"/>
                <w:kern w:val="0"/>
                <w:szCs w:val="21"/>
              </w:rPr>
              <w:t>基本支出</w:t>
            </w:r>
          </w:p>
        </w:tc>
        <w:tc>
          <w:tcPr>
            <w:tcW w:w="200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宋体"/>
                <w:color w:val="000000"/>
                <w:kern w:val="0"/>
              </w:rPr>
            </w:pPr>
            <w:r>
              <w:rPr>
                <w:rFonts w:ascii="宋体" w:hAnsi="宋体" w:cs="宋体"/>
                <w:color w:val="000000"/>
                <w:kern w:val="0"/>
                <w:szCs w:val="21"/>
              </w:rPr>
              <w:t>项目支出</w:t>
            </w:r>
          </w:p>
        </w:tc>
      </w:tr>
      <w:tr>
        <w:tblPrEx>
          <w:tblCellMar>
            <w:top w:w="0" w:type="dxa"/>
            <w:left w:w="108" w:type="dxa"/>
            <w:bottom w:w="0" w:type="dxa"/>
            <w:right w:w="108" w:type="dxa"/>
          </w:tblCellMar>
        </w:tblPrEx>
        <w:trPr>
          <w:trHeight w:val="390" w:hRule="atLeast"/>
          <w:jc w:val="center"/>
        </w:trPr>
        <w:tc>
          <w:tcPr>
            <w:tcW w:w="7596" w:type="dxa"/>
            <w:gridSpan w:val="5"/>
            <w:tcBorders>
              <w:top w:val="nil"/>
              <w:left w:val="single" w:color="000000" w:sz="4" w:space="0"/>
              <w:bottom w:val="single" w:color="000000" w:sz="4" w:space="0"/>
              <w:right w:val="single" w:color="000000" w:sz="4" w:space="0"/>
            </w:tcBorders>
            <w:vAlign w:val="center"/>
          </w:tcPr>
          <w:p>
            <w:pPr>
              <w:widowControl/>
              <w:jc w:val="center"/>
              <w:textAlignment w:val="center"/>
              <w:rPr>
                <w:rFonts w:hint="default" w:ascii="宋体"/>
                <w:color w:val="000000"/>
                <w:kern w:val="0"/>
              </w:rPr>
            </w:pPr>
            <w:r>
              <w:rPr>
                <w:rFonts w:ascii="宋体" w:hAnsi="宋体" w:cs="宋体"/>
                <w:color w:val="000000"/>
                <w:kern w:val="0"/>
                <w:szCs w:val="21"/>
              </w:rPr>
              <w:t>栏次</w:t>
            </w:r>
          </w:p>
        </w:tc>
        <w:tc>
          <w:tcPr>
            <w:tcW w:w="2532"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宋体"/>
                <w:color w:val="000000"/>
                <w:kern w:val="0"/>
              </w:rPr>
            </w:pPr>
            <w:r>
              <w:rPr>
                <w:rFonts w:ascii="宋体" w:hAnsi="宋体" w:cs="宋体"/>
                <w:color w:val="000000"/>
                <w:kern w:val="0"/>
                <w:szCs w:val="21"/>
              </w:rPr>
              <w:t>1</w:t>
            </w:r>
          </w:p>
        </w:tc>
        <w:tc>
          <w:tcPr>
            <w:tcW w:w="204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宋体"/>
                <w:color w:val="000000"/>
                <w:kern w:val="0"/>
              </w:rPr>
            </w:pPr>
            <w:r>
              <w:rPr>
                <w:rFonts w:ascii="宋体" w:hAnsi="宋体" w:cs="宋体"/>
                <w:color w:val="000000"/>
                <w:kern w:val="0"/>
                <w:szCs w:val="21"/>
              </w:rPr>
              <w:t>2</w:t>
            </w:r>
          </w:p>
        </w:tc>
        <w:tc>
          <w:tcPr>
            <w:tcW w:w="200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宋体"/>
                <w:color w:val="000000"/>
                <w:kern w:val="0"/>
              </w:rPr>
            </w:pPr>
            <w:r>
              <w:rPr>
                <w:rFonts w:ascii="宋体" w:hAnsi="宋体" w:cs="宋体"/>
                <w:color w:val="000000"/>
                <w:kern w:val="0"/>
                <w:szCs w:val="21"/>
              </w:rPr>
              <w:t>3</w:t>
            </w:r>
          </w:p>
        </w:tc>
      </w:tr>
      <w:tr>
        <w:tblPrEx>
          <w:tblCellMar>
            <w:top w:w="0" w:type="dxa"/>
            <w:left w:w="108" w:type="dxa"/>
            <w:bottom w:w="0" w:type="dxa"/>
            <w:right w:w="108" w:type="dxa"/>
          </w:tblCellMar>
        </w:tblPrEx>
        <w:trPr>
          <w:trHeight w:val="480" w:hRule="atLeast"/>
          <w:jc w:val="center"/>
        </w:trPr>
        <w:tc>
          <w:tcPr>
            <w:tcW w:w="7596" w:type="dxa"/>
            <w:gridSpan w:val="5"/>
            <w:tcBorders>
              <w:top w:val="nil"/>
              <w:left w:val="single" w:color="000000" w:sz="4" w:space="0"/>
              <w:bottom w:val="single" w:color="000000" w:sz="4" w:space="0"/>
              <w:right w:val="single" w:color="000000" w:sz="4" w:space="0"/>
            </w:tcBorders>
            <w:vAlign w:val="center"/>
          </w:tcPr>
          <w:p>
            <w:pPr>
              <w:widowControl/>
              <w:jc w:val="center"/>
              <w:textAlignment w:val="center"/>
              <w:rPr>
                <w:rFonts w:hint="default" w:ascii="宋体"/>
                <w:color w:val="000000"/>
                <w:kern w:val="0"/>
              </w:rPr>
            </w:pPr>
            <w:r>
              <w:rPr>
                <w:rFonts w:ascii="宋体" w:hAnsi="宋体" w:cs="宋体"/>
                <w:color w:val="000000"/>
                <w:kern w:val="0"/>
                <w:szCs w:val="21"/>
              </w:rPr>
              <w:t>合计</w:t>
            </w:r>
          </w:p>
        </w:tc>
        <w:tc>
          <w:tcPr>
            <w:tcW w:w="2532" w:type="dxa"/>
            <w:gridSpan w:val="2"/>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2044"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2002"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r>
      <w:tr>
        <w:tblPrEx>
          <w:tblCellMar>
            <w:top w:w="0" w:type="dxa"/>
            <w:left w:w="108" w:type="dxa"/>
            <w:bottom w:w="0" w:type="dxa"/>
            <w:right w:w="108" w:type="dxa"/>
          </w:tblCellMar>
        </w:tblPrEx>
        <w:trPr>
          <w:trHeight w:val="480" w:hRule="atLeast"/>
          <w:jc w:val="center"/>
        </w:trPr>
        <w:tc>
          <w:tcPr>
            <w:tcW w:w="379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olor w:val="000000"/>
                <w:kern w:val="0"/>
              </w:rPr>
            </w:pPr>
          </w:p>
        </w:tc>
        <w:tc>
          <w:tcPr>
            <w:tcW w:w="3798" w:type="dxa"/>
            <w:gridSpan w:val="3"/>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2532" w:type="dxa"/>
            <w:gridSpan w:val="2"/>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2044"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2002"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r>
      <w:tr>
        <w:tblPrEx>
          <w:tblCellMar>
            <w:top w:w="0" w:type="dxa"/>
            <w:left w:w="108" w:type="dxa"/>
            <w:bottom w:w="0" w:type="dxa"/>
            <w:right w:w="108" w:type="dxa"/>
          </w:tblCellMar>
        </w:tblPrEx>
        <w:trPr>
          <w:trHeight w:val="480" w:hRule="atLeast"/>
          <w:jc w:val="center"/>
        </w:trPr>
        <w:tc>
          <w:tcPr>
            <w:tcW w:w="379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olor w:val="000000"/>
                <w:kern w:val="0"/>
              </w:rPr>
            </w:pPr>
          </w:p>
        </w:tc>
        <w:tc>
          <w:tcPr>
            <w:tcW w:w="3798" w:type="dxa"/>
            <w:gridSpan w:val="3"/>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2532" w:type="dxa"/>
            <w:gridSpan w:val="2"/>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2044"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2002"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r>
      <w:tr>
        <w:tblPrEx>
          <w:tblCellMar>
            <w:top w:w="0" w:type="dxa"/>
            <w:left w:w="108" w:type="dxa"/>
            <w:bottom w:w="0" w:type="dxa"/>
            <w:right w:w="108" w:type="dxa"/>
          </w:tblCellMar>
        </w:tblPrEx>
        <w:trPr>
          <w:trHeight w:val="480" w:hRule="atLeast"/>
          <w:jc w:val="center"/>
        </w:trPr>
        <w:tc>
          <w:tcPr>
            <w:tcW w:w="379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olor w:val="000000"/>
                <w:kern w:val="0"/>
              </w:rPr>
            </w:pPr>
          </w:p>
        </w:tc>
        <w:tc>
          <w:tcPr>
            <w:tcW w:w="3798" w:type="dxa"/>
            <w:gridSpan w:val="3"/>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2532" w:type="dxa"/>
            <w:gridSpan w:val="2"/>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2044"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2002"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r>
      <w:tr>
        <w:tblPrEx>
          <w:tblCellMar>
            <w:top w:w="0" w:type="dxa"/>
            <w:left w:w="108" w:type="dxa"/>
            <w:bottom w:w="0" w:type="dxa"/>
            <w:right w:w="108" w:type="dxa"/>
          </w:tblCellMar>
        </w:tblPrEx>
        <w:trPr>
          <w:trHeight w:val="480" w:hRule="atLeast"/>
          <w:jc w:val="center"/>
        </w:trPr>
        <w:tc>
          <w:tcPr>
            <w:tcW w:w="379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olor w:val="000000"/>
                <w:kern w:val="0"/>
              </w:rPr>
            </w:pPr>
          </w:p>
        </w:tc>
        <w:tc>
          <w:tcPr>
            <w:tcW w:w="3798" w:type="dxa"/>
            <w:gridSpan w:val="3"/>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2532" w:type="dxa"/>
            <w:gridSpan w:val="2"/>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2044"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2002"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r>
      <w:tr>
        <w:tblPrEx>
          <w:tblCellMar>
            <w:top w:w="0" w:type="dxa"/>
            <w:left w:w="108" w:type="dxa"/>
            <w:bottom w:w="0" w:type="dxa"/>
            <w:right w:w="108" w:type="dxa"/>
          </w:tblCellMar>
        </w:tblPrEx>
        <w:trPr>
          <w:trHeight w:val="480" w:hRule="atLeast"/>
          <w:jc w:val="center"/>
        </w:trPr>
        <w:tc>
          <w:tcPr>
            <w:tcW w:w="379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olor w:val="000000"/>
                <w:kern w:val="0"/>
              </w:rPr>
            </w:pPr>
          </w:p>
        </w:tc>
        <w:tc>
          <w:tcPr>
            <w:tcW w:w="3798" w:type="dxa"/>
            <w:gridSpan w:val="3"/>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2532" w:type="dxa"/>
            <w:gridSpan w:val="2"/>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2044"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2002"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r>
      <w:tr>
        <w:tblPrEx>
          <w:tblCellMar>
            <w:top w:w="0" w:type="dxa"/>
            <w:left w:w="108" w:type="dxa"/>
            <w:bottom w:w="0" w:type="dxa"/>
            <w:right w:w="108" w:type="dxa"/>
          </w:tblCellMar>
        </w:tblPrEx>
        <w:trPr>
          <w:trHeight w:val="480" w:hRule="atLeast"/>
          <w:jc w:val="center"/>
        </w:trPr>
        <w:tc>
          <w:tcPr>
            <w:tcW w:w="379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olor w:val="000000"/>
                <w:kern w:val="0"/>
              </w:rPr>
            </w:pPr>
          </w:p>
        </w:tc>
        <w:tc>
          <w:tcPr>
            <w:tcW w:w="3798" w:type="dxa"/>
            <w:gridSpan w:val="3"/>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2532" w:type="dxa"/>
            <w:gridSpan w:val="2"/>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2044"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c>
          <w:tcPr>
            <w:tcW w:w="2002" w:type="dxa"/>
            <w:tcBorders>
              <w:top w:val="single" w:color="000000" w:sz="4" w:space="0"/>
              <w:left w:val="nil"/>
              <w:bottom w:val="single" w:color="000000" w:sz="4" w:space="0"/>
              <w:right w:val="single" w:color="000000" w:sz="4" w:space="0"/>
            </w:tcBorders>
            <w:vAlign w:val="center"/>
          </w:tcPr>
          <w:p>
            <w:pPr>
              <w:jc w:val="center"/>
              <w:rPr>
                <w:rFonts w:hint="default" w:ascii="宋体"/>
                <w:color w:val="000000"/>
                <w:kern w:val="0"/>
              </w:rPr>
            </w:pPr>
          </w:p>
        </w:tc>
      </w:tr>
    </w:tbl>
    <w:p>
      <w:pPr>
        <w:widowControl/>
        <w:spacing w:line="560" w:lineRule="atLeast"/>
        <w:jc w:val="left"/>
        <w:rPr>
          <w:rFonts w:hint="default" w:ascii="宋体" w:hAnsi="宋体" w:cs="宋体"/>
          <w:kern w:val="0"/>
          <w:szCs w:val="21"/>
        </w:rPr>
      </w:pPr>
      <w:r>
        <w:rPr>
          <w:rFonts w:ascii="宋体" w:hAnsi="宋体" w:cs="宋体"/>
          <w:kern w:val="0"/>
          <w:szCs w:val="21"/>
        </w:rPr>
        <w:t>注：1.本表反映部门本年度国有资本经营预算财政拨款支出情况。2.本套报表金额单位转换时可能存在尾数误差。3.如本表为空，则我部门本年度无此类资金收支余。</w:t>
      </w:r>
    </w:p>
    <w:p>
      <w:pPr>
        <w:rPr>
          <w:rFonts w:hint="default"/>
        </w:rPr>
      </w:pPr>
    </w:p>
    <w:sectPr>
      <w:headerReference r:id="rId3" w:type="default"/>
      <w:footerReference r:id="rId4" w:type="default"/>
      <w:pgSz w:w="16783" w:h="11850" w:orient="landscape"/>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FD0980"/>
    <w:multiLevelType w:val="singleLevel"/>
    <w:tmpl w:val="AFFD0980"/>
    <w:lvl w:ilvl="0" w:tentative="0">
      <w:start w:val="1"/>
      <w:numFmt w:val="decimal"/>
      <w:suff w:val="nothing"/>
      <w:lvlText w:val="（%1）"/>
      <w:lvlJc w:val="left"/>
    </w:lvl>
  </w:abstractNum>
  <w:abstractNum w:abstractNumId="1">
    <w:nsid w:val="614D78AC"/>
    <w:multiLevelType w:val="singleLevel"/>
    <w:tmpl w:val="614D78AC"/>
    <w:lvl w:ilvl="0" w:tentative="0">
      <w:start w:val="18"/>
      <w:numFmt w:val="decimal"/>
      <w:lvlText w:val="%1."/>
      <w:lvlJc w:val="left"/>
      <w:pPr>
        <w:tabs>
          <w:tab w:val="left" w:pos="312"/>
        </w:tabs>
      </w:pPr>
      <w:rPr>
        <w:rFonts w:hint="default"/>
        <w:b/>
        <w:bCs/>
      </w:rPr>
    </w:lvl>
  </w:abstractNum>
  <w:abstractNum w:abstractNumId="2">
    <w:nsid w:val="614D78F5"/>
    <w:multiLevelType w:val="singleLevel"/>
    <w:tmpl w:val="614D78F5"/>
    <w:lvl w:ilvl="0" w:tentative="0">
      <w:start w:val="20"/>
      <w:numFmt w:val="decimal"/>
      <w:lvlText w:val="%1."/>
      <w:lvlJc w:val="left"/>
      <w:pPr>
        <w:tabs>
          <w:tab w:val="left" w:pos="312"/>
        </w:tabs>
      </w:pPr>
      <w:rPr>
        <w:rFonts w:hint="default"/>
        <w:b/>
        <w:bCs/>
      </w:rPr>
    </w:lvl>
  </w:abstractNum>
  <w:abstractNum w:abstractNumId="3">
    <w:nsid w:val="632C2848"/>
    <w:multiLevelType w:val="singleLevel"/>
    <w:tmpl w:val="632C2848"/>
    <w:lvl w:ilvl="0" w:tentative="0">
      <w:start w:val="4"/>
      <w:numFmt w:val="chineseCounting"/>
      <w:suff w:val="nothing"/>
      <w:lvlText w:val="第%1部"/>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VmMGQwMzMzMzYwZDkzN2NjN2JiNDQ5OGRiNWE0Y2MifQ=="/>
  </w:docVars>
  <w:rsids>
    <w:rsidRoot w:val="1C635C29"/>
    <w:rsid w:val="00060165"/>
    <w:rsid w:val="000B596F"/>
    <w:rsid w:val="00100607"/>
    <w:rsid w:val="001D0B4A"/>
    <w:rsid w:val="00320394"/>
    <w:rsid w:val="00342E31"/>
    <w:rsid w:val="0038444A"/>
    <w:rsid w:val="00387684"/>
    <w:rsid w:val="0044142C"/>
    <w:rsid w:val="00485722"/>
    <w:rsid w:val="00505889"/>
    <w:rsid w:val="005812D3"/>
    <w:rsid w:val="005814A4"/>
    <w:rsid w:val="00590A8D"/>
    <w:rsid w:val="005C4DCE"/>
    <w:rsid w:val="00753B9D"/>
    <w:rsid w:val="00756329"/>
    <w:rsid w:val="007F77B9"/>
    <w:rsid w:val="008040A1"/>
    <w:rsid w:val="00954778"/>
    <w:rsid w:val="00A17144"/>
    <w:rsid w:val="00A5357A"/>
    <w:rsid w:val="00A57A14"/>
    <w:rsid w:val="00B54181"/>
    <w:rsid w:val="00BC09C4"/>
    <w:rsid w:val="00DC3915"/>
    <w:rsid w:val="00E4305D"/>
    <w:rsid w:val="00F16B2B"/>
    <w:rsid w:val="00F67249"/>
    <w:rsid w:val="00F724E9"/>
    <w:rsid w:val="01451EDB"/>
    <w:rsid w:val="0308140F"/>
    <w:rsid w:val="04462F6D"/>
    <w:rsid w:val="045D560C"/>
    <w:rsid w:val="09C4782E"/>
    <w:rsid w:val="0D611C68"/>
    <w:rsid w:val="0D8C0601"/>
    <w:rsid w:val="0E0A6E9E"/>
    <w:rsid w:val="11D743F0"/>
    <w:rsid w:val="13C07CB5"/>
    <w:rsid w:val="18A62429"/>
    <w:rsid w:val="1C635C29"/>
    <w:rsid w:val="29236D14"/>
    <w:rsid w:val="2D3B604A"/>
    <w:rsid w:val="2D9F6169"/>
    <w:rsid w:val="2DE53309"/>
    <w:rsid w:val="3037459A"/>
    <w:rsid w:val="31406160"/>
    <w:rsid w:val="31E854AB"/>
    <w:rsid w:val="347C7BD9"/>
    <w:rsid w:val="358D1F34"/>
    <w:rsid w:val="36230505"/>
    <w:rsid w:val="37AA096E"/>
    <w:rsid w:val="3EE625B1"/>
    <w:rsid w:val="423F1E90"/>
    <w:rsid w:val="4A9A4FFB"/>
    <w:rsid w:val="4AA5020B"/>
    <w:rsid w:val="4C931420"/>
    <w:rsid w:val="4CE44ADF"/>
    <w:rsid w:val="54F6469B"/>
    <w:rsid w:val="5AED7B29"/>
    <w:rsid w:val="5CC85CD2"/>
    <w:rsid w:val="5FB46FCB"/>
    <w:rsid w:val="62574E31"/>
    <w:rsid w:val="62C4357F"/>
    <w:rsid w:val="6636673E"/>
    <w:rsid w:val="673C6F2C"/>
    <w:rsid w:val="685843F4"/>
    <w:rsid w:val="6AAD6647"/>
    <w:rsid w:val="73090EC9"/>
    <w:rsid w:val="732B52E4"/>
    <w:rsid w:val="75355D21"/>
    <w:rsid w:val="7D0248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Times New Roman" w:hAnsi="Times New Roman" w:eastAsia="宋体"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
    <w:name w:val="p0"/>
    <w:basedOn w:val="1"/>
    <w:qFormat/>
    <w:uiPriority w:val="0"/>
    <w:pPr>
      <w:widowControl/>
    </w:pPr>
    <w:rPr>
      <w:rFonts w:ascii="宋体" w:hAnsi="宋体"/>
    </w:rPr>
  </w:style>
  <w:style w:type="character" w:customStyle="1" w:styleId="8">
    <w:name w:val="页眉 Char"/>
    <w:basedOn w:val="6"/>
    <w:link w:val="3"/>
    <w:qFormat/>
    <w:uiPriority w:val="0"/>
    <w:rPr>
      <w:rFonts w:ascii="Times New Roman" w:hAnsi="Times New Roman" w:eastAsia="宋体"/>
      <w:kern w:val="2"/>
      <w:sz w:val="18"/>
      <w:szCs w:val="18"/>
    </w:rPr>
  </w:style>
  <w:style w:type="character" w:customStyle="1" w:styleId="9">
    <w:name w:val="页脚 Char"/>
    <w:basedOn w:val="6"/>
    <w:link w:val="2"/>
    <w:qFormat/>
    <w:uiPriority w:val="0"/>
    <w:rPr>
      <w:rFonts w:ascii="Times New Roman" w:hAnsi="Times New Roman" w:eastAsia="宋体"/>
      <w:kern w:val="2"/>
      <w:sz w:val="18"/>
      <w:szCs w:val="18"/>
    </w:rPr>
  </w:style>
  <w:style w:type="paragraph" w:customStyle="1" w:styleId="10">
    <w:name w:val="p15"/>
    <w:basedOn w:val="1"/>
    <w:qFormat/>
    <w:uiPriority w:val="0"/>
    <w:pPr>
      <w:widowControl/>
    </w:pPr>
    <w:rPr>
      <w:rFonts w:hint="default" w:ascii="宋体" w:hAnsi="宋体" w:cs="宋体"/>
      <w:kern w:val="0"/>
      <w:szCs w:val="21"/>
    </w:rPr>
  </w:style>
  <w:style w:type="character" w:customStyle="1" w:styleId="11">
    <w:name w:val="font11"/>
    <w:basedOn w:val="6"/>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60</Pages>
  <Words>15644</Words>
  <Characters>18528</Characters>
  <Lines>37</Lines>
  <Paragraphs>10</Paragraphs>
  <TotalTime>52</TotalTime>
  <ScaleCrop>false</ScaleCrop>
  <LinksUpToDate>false</LinksUpToDate>
  <CharactersWithSpaces>19218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2022-09-16T02:31:00Z</dcterms:created>
  <dc:creator>国库处-王艳秋</dc:creator>
  <cp:lastModifiedBy>刘小庆</cp:lastModifiedBy>
  <cp:lastPrinted>2022-09-19T10:34:00Z</cp:lastPrinted>
  <dcterms:modified xsi:type="dcterms:W3CDTF">2023-09-20T01:52:36Z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39B2C8D542104BA283748C0CC7F42BBF</vt:lpwstr>
  </property>
</Properties>
</file>