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hint="default"/>
          <w:b/>
          <w:sz w:val="44"/>
        </w:rPr>
      </w:pPr>
    </w:p>
    <w:p>
      <w:pPr>
        <w:pStyle w:val="7"/>
        <w:rPr>
          <w:rFonts w:hint="default"/>
          <w:b/>
          <w:sz w:val="44"/>
        </w:rPr>
      </w:pPr>
    </w:p>
    <w:p>
      <w:pPr>
        <w:pStyle w:val="7"/>
        <w:rPr>
          <w:rFonts w:hint="default"/>
          <w:b/>
          <w:sz w:val="44"/>
        </w:rPr>
      </w:pPr>
    </w:p>
    <w:p>
      <w:pPr>
        <w:pStyle w:val="7"/>
        <w:rPr>
          <w:rFonts w:hint="default"/>
          <w:b/>
          <w:sz w:val="44"/>
        </w:rPr>
      </w:pPr>
    </w:p>
    <w:p>
      <w:pPr>
        <w:pStyle w:val="7"/>
        <w:rPr>
          <w:rFonts w:hint="default"/>
          <w:b/>
          <w:sz w:val="44"/>
        </w:rPr>
      </w:pPr>
    </w:p>
    <w:p>
      <w:pPr>
        <w:pStyle w:val="7"/>
        <w:rPr>
          <w:rFonts w:hint="default"/>
          <w:b/>
          <w:sz w:val="44"/>
        </w:rPr>
      </w:pPr>
    </w:p>
    <w:p>
      <w:pPr>
        <w:pStyle w:val="7"/>
        <w:rPr>
          <w:rFonts w:hint="default"/>
          <w:b/>
          <w:sz w:val="44"/>
        </w:rPr>
      </w:pPr>
    </w:p>
    <w:p>
      <w:pPr>
        <w:pStyle w:val="7"/>
        <w:jc w:val="center"/>
        <w:rPr>
          <w:rFonts w:hint="eastAsia" w:ascii="仿宋_GB2312" w:eastAsia="仿宋_GB2312"/>
          <w:b/>
          <w:sz w:val="52"/>
          <w:lang w:eastAsia="zh-CN"/>
        </w:rPr>
      </w:pPr>
      <w:r>
        <w:rPr>
          <w:rFonts w:hint="eastAsia" w:ascii="仿宋_GB2312" w:eastAsia="仿宋_GB2312"/>
          <w:b/>
          <w:sz w:val="52"/>
          <w:lang w:eastAsia="zh-CN"/>
        </w:rPr>
        <w:t>沈阳市人力资源和社会保障局</w:t>
      </w:r>
    </w:p>
    <w:p>
      <w:pPr>
        <w:pStyle w:val="7"/>
        <w:jc w:val="center"/>
        <w:rPr>
          <w:rFonts w:hint="default" w:ascii="仿宋_GB2312" w:eastAsia="仿宋_GB2312"/>
          <w:b/>
          <w:sz w:val="52"/>
        </w:rPr>
      </w:pPr>
      <w:r>
        <w:rPr>
          <w:rFonts w:ascii="仿宋_GB2312" w:eastAsia="仿宋_GB2312"/>
          <w:b/>
          <w:sz w:val="52"/>
        </w:rPr>
        <w:t>2021年度决算（</w:t>
      </w:r>
      <w:r>
        <w:rPr>
          <w:rFonts w:hint="eastAsia" w:ascii="仿宋_GB2312" w:eastAsia="仿宋_GB2312"/>
          <w:b/>
          <w:sz w:val="52"/>
          <w:lang w:eastAsia="zh-CN"/>
        </w:rPr>
        <w:t>含三公经费决算</w:t>
      </w:r>
      <w:r>
        <w:rPr>
          <w:rFonts w:ascii="仿宋_GB2312" w:eastAsia="仿宋_GB2312"/>
          <w:b/>
          <w:sz w:val="52"/>
        </w:rPr>
        <w:t>）</w:t>
      </w:r>
    </w:p>
    <w:p>
      <w:pPr>
        <w:pStyle w:val="7"/>
        <w:jc w:val="center"/>
        <w:rPr>
          <w:rFonts w:hint="default" w:ascii="仿宋_GB2312" w:eastAsia="仿宋_GB2312"/>
          <w:b/>
          <w:sz w:val="52"/>
        </w:rPr>
      </w:pPr>
    </w:p>
    <w:p>
      <w:pPr>
        <w:pStyle w:val="7"/>
        <w:jc w:val="center"/>
        <w:rPr>
          <w:rFonts w:hint="default" w:ascii="Times New Roman" w:eastAsia="Times New Roman"/>
          <w:b/>
          <w:sz w:val="44"/>
          <w:u w:val="single"/>
        </w:rPr>
      </w:pPr>
    </w:p>
    <w:p>
      <w:pPr>
        <w:pStyle w:val="7"/>
        <w:jc w:val="center"/>
        <w:rPr>
          <w:rFonts w:hint="default" w:ascii="Times New Roman" w:eastAsia="Times New Roman"/>
          <w:b/>
          <w:sz w:val="44"/>
          <w:u w:val="single"/>
        </w:rPr>
      </w:pPr>
    </w:p>
    <w:p>
      <w:pPr>
        <w:pStyle w:val="7"/>
        <w:jc w:val="center"/>
        <w:rPr>
          <w:rFonts w:hint="default" w:ascii="Times New Roman" w:eastAsia="Times New Roman"/>
          <w:b/>
          <w:sz w:val="44"/>
          <w:u w:val="single"/>
        </w:rPr>
      </w:pPr>
    </w:p>
    <w:p>
      <w:pPr>
        <w:pStyle w:val="7"/>
        <w:jc w:val="center"/>
        <w:rPr>
          <w:rFonts w:hint="default" w:ascii="Times New Roman" w:eastAsia="Times New Roman"/>
          <w:b/>
          <w:sz w:val="44"/>
          <w:u w:val="single"/>
        </w:rPr>
      </w:pPr>
    </w:p>
    <w:p>
      <w:pPr>
        <w:pStyle w:val="7"/>
        <w:jc w:val="center"/>
        <w:rPr>
          <w:rFonts w:hint="default" w:ascii="Times New Roman" w:eastAsia="Times New Roman"/>
          <w:b/>
          <w:sz w:val="44"/>
          <w:u w:val="single"/>
        </w:rPr>
      </w:pPr>
    </w:p>
    <w:p>
      <w:pPr>
        <w:pStyle w:val="7"/>
        <w:jc w:val="center"/>
        <w:rPr>
          <w:rFonts w:hint="default" w:ascii="Times New Roman" w:eastAsia="Times New Roman"/>
          <w:b/>
          <w:sz w:val="44"/>
          <w:u w:val="single"/>
        </w:rPr>
      </w:pPr>
    </w:p>
    <w:p>
      <w:pPr>
        <w:pStyle w:val="7"/>
        <w:jc w:val="both"/>
        <w:rPr>
          <w:rFonts w:hint="default" w:ascii="Times New Roman" w:eastAsia="Times New Roman"/>
          <w:b/>
          <w:sz w:val="44"/>
          <w:u w:val="single"/>
        </w:rPr>
      </w:pPr>
    </w:p>
    <w:p>
      <w:pPr>
        <w:pStyle w:val="7"/>
        <w:jc w:val="center"/>
        <w:rPr>
          <w:rFonts w:hint="default" w:ascii="Times New Roman" w:eastAsia="Times New Roman"/>
          <w:b/>
          <w:sz w:val="44"/>
          <w:u w:val="single"/>
        </w:rPr>
      </w:pPr>
    </w:p>
    <w:p>
      <w:pPr>
        <w:pStyle w:val="7"/>
        <w:spacing w:line="560" w:lineRule="exact"/>
        <w:jc w:val="both"/>
        <w:rPr>
          <w:rFonts w:hint="default"/>
          <w:b/>
          <w:sz w:val="44"/>
        </w:rPr>
      </w:pPr>
    </w:p>
    <w:p>
      <w:pPr>
        <w:pStyle w:val="7"/>
        <w:spacing w:line="560" w:lineRule="exact"/>
        <w:jc w:val="center"/>
        <w:rPr>
          <w:rFonts w:hint="default"/>
          <w:b/>
          <w:sz w:val="44"/>
        </w:rPr>
      </w:pPr>
    </w:p>
    <w:p>
      <w:pPr>
        <w:pStyle w:val="7"/>
        <w:spacing w:line="560" w:lineRule="exact"/>
        <w:jc w:val="center"/>
        <w:rPr>
          <w:rFonts w:hint="default" w:ascii="Times New Roman" w:eastAsia="Times New Roman"/>
          <w:b/>
          <w:sz w:val="44"/>
          <w:u w:val="single"/>
        </w:rPr>
      </w:pPr>
      <w:r>
        <w:rPr>
          <w:b/>
          <w:sz w:val="44"/>
        </w:rPr>
        <w:t>目</w:t>
      </w:r>
      <w:r>
        <w:rPr>
          <w:rFonts w:hint="default" w:ascii="Times New Roman" w:hAnsi="Times New Roman"/>
          <w:b/>
          <w:sz w:val="44"/>
        </w:rPr>
        <w:t xml:space="preserve">    </w:t>
      </w:r>
      <w:r>
        <w:rPr>
          <w:b/>
          <w:sz w:val="44"/>
        </w:rPr>
        <w:t>录</w:t>
      </w:r>
    </w:p>
    <w:p>
      <w:pPr>
        <w:pStyle w:val="7"/>
        <w:spacing w:line="560" w:lineRule="exact"/>
        <w:rPr>
          <w:rFonts w:hint="default" w:ascii="黑体" w:eastAsia="黑体"/>
          <w:sz w:val="32"/>
        </w:rPr>
      </w:pPr>
      <w:r>
        <w:rPr>
          <w:rFonts w:ascii="黑体" w:eastAsia="黑体"/>
          <w:sz w:val="32"/>
        </w:rPr>
        <w:t>第一部分    概况</w:t>
      </w:r>
    </w:p>
    <w:p>
      <w:pPr>
        <w:pStyle w:val="7"/>
        <w:spacing w:line="560" w:lineRule="exact"/>
        <w:ind w:left="720" w:hanging="720"/>
        <w:rPr>
          <w:rFonts w:hint="default" w:ascii="仿宋_GB2312" w:eastAsia="仿宋_GB2312"/>
          <w:sz w:val="32"/>
        </w:rPr>
      </w:pPr>
      <w:r>
        <w:rPr>
          <w:rFonts w:ascii="Times New Roman" w:hAnsi="Times New Roman"/>
          <w:sz w:val="32"/>
        </w:rPr>
        <w:t>一、</w:t>
      </w:r>
      <w:r>
        <w:rPr>
          <w:rFonts w:ascii="仿宋_GB2312" w:eastAsia="仿宋_GB2312"/>
          <w:sz w:val="32"/>
        </w:rPr>
        <w:t>主要职责</w:t>
      </w:r>
    </w:p>
    <w:p>
      <w:pPr>
        <w:pStyle w:val="7"/>
        <w:spacing w:line="560" w:lineRule="exact"/>
        <w:rPr>
          <w:rFonts w:hint="default" w:ascii="仿宋_GB2312" w:eastAsia="仿宋_GB2312"/>
          <w:sz w:val="32"/>
        </w:rPr>
      </w:pPr>
      <w:r>
        <w:rPr>
          <w:rFonts w:ascii="仿宋_GB2312" w:eastAsia="仿宋_GB2312"/>
          <w:sz w:val="32"/>
        </w:rPr>
        <w:t>二、部门决算单位构成</w:t>
      </w:r>
    </w:p>
    <w:p>
      <w:pPr>
        <w:pStyle w:val="7"/>
        <w:spacing w:line="560" w:lineRule="exact"/>
        <w:rPr>
          <w:rFonts w:hint="default" w:ascii="黑体" w:eastAsia="黑体"/>
          <w:sz w:val="32"/>
        </w:rPr>
      </w:pPr>
      <w:r>
        <w:rPr>
          <w:rFonts w:ascii="黑体" w:eastAsia="黑体"/>
          <w:sz w:val="32"/>
        </w:rPr>
        <w:t>第二部分    2021年部门决算情况说明</w:t>
      </w:r>
    </w:p>
    <w:p>
      <w:pPr>
        <w:pStyle w:val="7"/>
        <w:spacing w:line="560" w:lineRule="exact"/>
        <w:rPr>
          <w:rFonts w:hint="default" w:ascii="仿宋_GB2312" w:eastAsia="仿宋_GB2312"/>
          <w:sz w:val="32"/>
        </w:rPr>
      </w:pPr>
      <w:r>
        <w:rPr>
          <w:rFonts w:ascii="仿宋_GB2312" w:eastAsia="仿宋_GB2312"/>
          <w:sz w:val="32"/>
        </w:rPr>
        <w:t>一、收入支出决算总体情况说明</w:t>
      </w:r>
    </w:p>
    <w:p>
      <w:pPr>
        <w:pStyle w:val="7"/>
        <w:spacing w:line="560" w:lineRule="exact"/>
        <w:rPr>
          <w:rFonts w:hint="default" w:ascii="仿宋_GB2312" w:eastAsia="仿宋_GB2312"/>
          <w:sz w:val="32"/>
        </w:rPr>
      </w:pPr>
      <w:r>
        <w:rPr>
          <w:rFonts w:ascii="仿宋_GB2312" w:eastAsia="仿宋_GB2312"/>
          <w:sz w:val="32"/>
        </w:rPr>
        <w:t>二、财政拨款收入支出决算情况说明</w:t>
      </w:r>
    </w:p>
    <w:p>
      <w:pPr>
        <w:pStyle w:val="7"/>
        <w:spacing w:line="560" w:lineRule="exact"/>
        <w:rPr>
          <w:rFonts w:hint="default" w:ascii="仿宋_GB2312" w:eastAsia="仿宋_GB2312"/>
          <w:sz w:val="32"/>
        </w:rPr>
      </w:pPr>
      <w:r>
        <w:rPr>
          <w:rFonts w:ascii="仿宋_GB2312" w:eastAsia="仿宋_GB2312"/>
          <w:sz w:val="32"/>
        </w:rPr>
        <w:t>三、一般公共预算财政拨款“三公”经费支出决算情况说明</w:t>
      </w:r>
    </w:p>
    <w:p>
      <w:pPr>
        <w:pStyle w:val="7"/>
        <w:spacing w:line="560" w:lineRule="exact"/>
        <w:rPr>
          <w:rFonts w:hint="default" w:ascii="仿宋_GB2312" w:eastAsia="仿宋_GB2312"/>
          <w:sz w:val="32"/>
        </w:rPr>
      </w:pPr>
      <w:r>
        <w:rPr>
          <w:rFonts w:ascii="仿宋_GB2312" w:eastAsia="仿宋_GB2312"/>
          <w:sz w:val="32"/>
        </w:rPr>
        <w:t>四、一般公共预算财政拨款基本支出决算情况说明</w:t>
      </w:r>
    </w:p>
    <w:p>
      <w:pPr>
        <w:pStyle w:val="7"/>
        <w:spacing w:line="560" w:lineRule="exact"/>
        <w:rPr>
          <w:rFonts w:hint="default" w:ascii="黑体" w:eastAsia="黑体"/>
          <w:sz w:val="32"/>
        </w:rPr>
      </w:pPr>
      <w:r>
        <w:rPr>
          <w:rFonts w:ascii="仿宋_GB2312" w:eastAsia="仿宋_GB2312"/>
          <w:sz w:val="32"/>
        </w:rPr>
        <w:t>五、其他重要事项的情况说明</w:t>
      </w:r>
    </w:p>
    <w:p>
      <w:pPr>
        <w:pStyle w:val="7"/>
        <w:spacing w:line="560" w:lineRule="exact"/>
        <w:rPr>
          <w:rFonts w:hint="default" w:ascii="黑体" w:eastAsia="黑体"/>
          <w:sz w:val="32"/>
        </w:rPr>
      </w:pPr>
      <w:r>
        <w:rPr>
          <w:rFonts w:ascii="黑体" w:eastAsia="黑体"/>
          <w:sz w:val="32"/>
        </w:rPr>
        <w:t>第三部分    名词解释</w:t>
      </w:r>
    </w:p>
    <w:p>
      <w:pPr>
        <w:pStyle w:val="7"/>
        <w:spacing w:line="560" w:lineRule="exact"/>
        <w:rPr>
          <w:rFonts w:hint="default" w:ascii="黑体" w:eastAsia="黑体"/>
          <w:sz w:val="32"/>
        </w:rPr>
      </w:pPr>
      <w:r>
        <w:rPr>
          <w:rFonts w:ascii="黑体" w:eastAsia="黑体"/>
          <w:sz w:val="32"/>
        </w:rPr>
        <w:t xml:space="preserve">第四部分   </w:t>
      </w:r>
      <w:r>
        <w:rPr>
          <w:rFonts w:hint="eastAsia" w:ascii="黑体" w:eastAsia="黑体"/>
          <w:sz w:val="32"/>
          <w:lang w:val="en-US" w:eastAsia="zh-CN"/>
        </w:rPr>
        <w:t xml:space="preserve"> </w:t>
      </w:r>
      <w:r>
        <w:rPr>
          <w:rFonts w:ascii="黑体" w:eastAsia="黑体"/>
          <w:sz w:val="32"/>
        </w:rPr>
        <w:t>2021年部门决算报表</w:t>
      </w:r>
    </w:p>
    <w:p>
      <w:pPr>
        <w:pStyle w:val="7"/>
        <w:spacing w:line="560" w:lineRule="exact"/>
        <w:rPr>
          <w:rFonts w:hint="default" w:ascii="仿宋_GB2312" w:eastAsia="仿宋_GB2312"/>
          <w:sz w:val="32"/>
        </w:rPr>
      </w:pPr>
      <w:r>
        <w:rPr>
          <w:rFonts w:ascii="仿宋_GB2312" w:eastAsia="仿宋_GB2312"/>
          <w:sz w:val="32"/>
        </w:rPr>
        <w:t>一、2021年度收入支出决算总表</w:t>
      </w:r>
    </w:p>
    <w:p>
      <w:pPr>
        <w:pStyle w:val="7"/>
        <w:spacing w:line="560" w:lineRule="exact"/>
        <w:rPr>
          <w:rFonts w:hint="default" w:ascii="仿宋_GB2312" w:eastAsia="仿宋_GB2312"/>
          <w:sz w:val="32"/>
        </w:rPr>
      </w:pPr>
      <w:r>
        <w:rPr>
          <w:rFonts w:ascii="仿宋_GB2312" w:eastAsia="仿宋_GB2312"/>
          <w:sz w:val="32"/>
        </w:rPr>
        <w:t>二、2021年度收入决算表</w:t>
      </w:r>
    </w:p>
    <w:p>
      <w:pPr>
        <w:pStyle w:val="7"/>
        <w:spacing w:line="560" w:lineRule="exact"/>
        <w:rPr>
          <w:rFonts w:hint="default" w:ascii="仿宋_GB2312" w:eastAsia="仿宋_GB2312"/>
          <w:sz w:val="32"/>
        </w:rPr>
      </w:pPr>
      <w:r>
        <w:rPr>
          <w:rFonts w:ascii="仿宋_GB2312" w:eastAsia="仿宋_GB2312"/>
          <w:sz w:val="32"/>
        </w:rPr>
        <w:t>三、2021年度支出决算表</w:t>
      </w:r>
    </w:p>
    <w:p>
      <w:pPr>
        <w:pStyle w:val="7"/>
        <w:spacing w:line="560" w:lineRule="exact"/>
        <w:rPr>
          <w:rFonts w:hint="default" w:ascii="仿宋_GB2312" w:eastAsia="仿宋_GB2312"/>
          <w:sz w:val="32"/>
        </w:rPr>
      </w:pPr>
      <w:r>
        <w:rPr>
          <w:rFonts w:ascii="仿宋_GB2312" w:eastAsia="仿宋_GB2312"/>
          <w:sz w:val="32"/>
        </w:rPr>
        <w:t>四、2021年度财政拨款收入支出决算总表</w:t>
      </w:r>
    </w:p>
    <w:p>
      <w:pPr>
        <w:pStyle w:val="7"/>
        <w:spacing w:line="560" w:lineRule="exact"/>
        <w:rPr>
          <w:rFonts w:hint="default" w:ascii="仿宋_GB2312" w:eastAsia="仿宋_GB2312"/>
          <w:sz w:val="32"/>
        </w:rPr>
      </w:pPr>
      <w:r>
        <w:rPr>
          <w:rFonts w:ascii="仿宋_GB2312" w:eastAsia="仿宋_GB2312"/>
          <w:sz w:val="32"/>
        </w:rPr>
        <w:t>五、2021年度一般公共预算财政拨款支出决算表</w:t>
      </w:r>
    </w:p>
    <w:p>
      <w:pPr>
        <w:pStyle w:val="7"/>
        <w:spacing w:line="560" w:lineRule="exact"/>
        <w:rPr>
          <w:rFonts w:hint="default" w:ascii="仿宋_GB2312" w:eastAsia="仿宋_GB2312"/>
          <w:sz w:val="32"/>
        </w:rPr>
      </w:pPr>
      <w:r>
        <w:rPr>
          <w:rFonts w:ascii="仿宋_GB2312" w:eastAsia="仿宋_GB2312"/>
          <w:sz w:val="32"/>
        </w:rPr>
        <w:t>六、2021年度一般公共预算财政拨款基本支出决算表</w:t>
      </w:r>
    </w:p>
    <w:p>
      <w:pPr>
        <w:pStyle w:val="7"/>
        <w:spacing w:line="560" w:lineRule="exact"/>
        <w:rPr>
          <w:rFonts w:hint="default" w:ascii="仿宋_GB2312" w:eastAsia="仿宋_GB2312"/>
          <w:sz w:val="32"/>
        </w:rPr>
      </w:pPr>
      <w:r>
        <w:rPr>
          <w:rFonts w:ascii="仿宋_GB2312" w:eastAsia="仿宋_GB2312"/>
          <w:sz w:val="32"/>
        </w:rPr>
        <w:t>七、2021年度政府性基金预算财政拨款收入支出决算表</w:t>
      </w:r>
    </w:p>
    <w:p>
      <w:pPr>
        <w:pStyle w:val="7"/>
        <w:spacing w:line="560" w:lineRule="exact"/>
        <w:rPr>
          <w:rFonts w:hint="default" w:ascii="仿宋_GB2312" w:eastAsia="仿宋_GB2312"/>
          <w:sz w:val="32"/>
        </w:rPr>
      </w:pPr>
      <w:r>
        <w:rPr>
          <w:rFonts w:ascii="仿宋_GB2312" w:eastAsia="仿宋_GB2312"/>
          <w:sz w:val="32"/>
        </w:rPr>
        <w:t>八、2021年度一般公共预算财政拨款“三公”经费支出决算表</w:t>
      </w:r>
    </w:p>
    <w:p>
      <w:pPr>
        <w:pStyle w:val="7"/>
        <w:spacing w:line="560" w:lineRule="exact"/>
        <w:rPr>
          <w:rFonts w:hint="default" w:ascii="仿宋_GB2312" w:eastAsia="仿宋_GB2312"/>
          <w:sz w:val="32"/>
        </w:rPr>
      </w:pPr>
      <w:r>
        <w:rPr>
          <w:rFonts w:ascii="仿宋_GB2312" w:eastAsia="仿宋_GB2312"/>
          <w:sz w:val="32"/>
        </w:rPr>
        <w:t>九、2021年度国有资本经营预算财政拨款支出决算表</w:t>
      </w:r>
    </w:p>
    <w:p>
      <w:pPr>
        <w:pStyle w:val="7"/>
        <w:spacing w:line="560" w:lineRule="exact"/>
        <w:jc w:val="center"/>
        <w:rPr>
          <w:rFonts w:hint="default"/>
          <w:b/>
          <w:sz w:val="36"/>
        </w:rPr>
      </w:pPr>
    </w:p>
    <w:p>
      <w:pPr>
        <w:pStyle w:val="7"/>
        <w:spacing w:line="560" w:lineRule="exact"/>
        <w:jc w:val="center"/>
        <w:rPr>
          <w:rFonts w:hint="default"/>
          <w:b/>
          <w:sz w:val="36"/>
        </w:rPr>
      </w:pPr>
      <w:r>
        <w:rPr>
          <w:b/>
          <w:sz w:val="36"/>
        </w:rPr>
        <w:t>第一部分 概况</w:t>
      </w:r>
    </w:p>
    <w:p>
      <w:pPr>
        <w:pStyle w:val="7"/>
        <w:spacing w:line="560" w:lineRule="exact"/>
        <w:ind w:firstLine="640"/>
        <w:rPr>
          <w:rFonts w:hint="default" w:ascii="黑体" w:eastAsia="黑体"/>
          <w:sz w:val="32"/>
        </w:rPr>
      </w:pPr>
    </w:p>
    <w:p>
      <w:pPr>
        <w:pStyle w:val="7"/>
        <w:spacing w:line="560" w:lineRule="exact"/>
        <w:ind w:firstLine="640"/>
        <w:rPr>
          <w:rFonts w:hint="default" w:ascii="黑体" w:eastAsia="黑体"/>
          <w:sz w:val="32"/>
        </w:rPr>
      </w:pPr>
      <w:r>
        <w:rPr>
          <w:rFonts w:ascii="黑体" w:eastAsia="黑体"/>
          <w:sz w:val="32"/>
        </w:rPr>
        <w:t>一、主要职责</w:t>
      </w:r>
    </w:p>
    <w:p>
      <w:pPr>
        <w:pStyle w:val="7"/>
        <w:keepNext w:val="0"/>
        <w:keepLines w:val="0"/>
        <w:pageBreakBefore w:val="0"/>
        <w:widowControl/>
        <w:kinsoku/>
        <w:wordWrap/>
        <w:overflowPunct/>
        <w:topLinePunct w:val="0"/>
        <w:autoSpaceDE/>
        <w:autoSpaceDN/>
        <w:bidi w:val="0"/>
        <w:adjustRightInd/>
        <w:snapToGrid/>
        <w:spacing w:before="0" w:beforeLines="0" w:after="0" w:afterLines="0" w:line="560" w:lineRule="exact"/>
        <w:ind w:left="0" w:leftChars="0" w:right="0" w:rightChars="0" w:firstLine="640" w:firstLineChars="0"/>
        <w:jc w:val="both"/>
        <w:textAlignment w:val="auto"/>
        <w:outlineLvl w:val="9"/>
        <w:rPr>
          <w:rFonts w:hint="eastAsia" w:ascii="仿宋_GB2312" w:hAnsi="Calibri" w:eastAsia="仿宋_GB2312" w:cs="Times New Roman"/>
          <w:sz w:val="32"/>
          <w:szCs w:val="32"/>
        </w:rPr>
      </w:pPr>
      <w:r>
        <w:rPr>
          <w:rFonts w:hint="eastAsia" w:ascii="仿宋_GB2312" w:hAnsi="Calibri" w:eastAsia="仿宋_GB2312" w:cs="Times New Roman"/>
          <w:sz w:val="32"/>
          <w:szCs w:val="32"/>
        </w:rPr>
        <w:t>沈阳市人力资源和社会保障局贯彻落实党中央、省委关于人力资源和社会保障工作的方针政策和决策部署，在履行职责过程中坚持和加强党对人力资源和社会保障工作的集中统一领导。主要职责是：</w:t>
      </w:r>
    </w:p>
    <w:p>
      <w:pPr>
        <w:pStyle w:val="7"/>
        <w:keepNext w:val="0"/>
        <w:keepLines w:val="0"/>
        <w:pageBreakBefore w:val="0"/>
        <w:widowControl/>
        <w:kinsoku/>
        <w:wordWrap/>
        <w:overflowPunct/>
        <w:topLinePunct w:val="0"/>
        <w:autoSpaceDE/>
        <w:autoSpaceDN/>
        <w:bidi w:val="0"/>
        <w:adjustRightInd/>
        <w:snapToGrid/>
        <w:spacing w:before="0" w:beforeLines="0" w:after="0" w:afterLines="0" w:line="560" w:lineRule="exact"/>
        <w:ind w:left="0" w:leftChars="0" w:right="0" w:rightChars="0" w:firstLine="640" w:firstLineChars="0"/>
        <w:jc w:val="both"/>
        <w:textAlignment w:val="auto"/>
        <w:outlineLvl w:val="9"/>
        <w:rPr>
          <w:rFonts w:hint="eastAsia" w:ascii="仿宋_GB2312" w:hAnsi="Calibri" w:eastAsia="仿宋_GB2312" w:cs="Times New Roman"/>
          <w:sz w:val="32"/>
          <w:szCs w:val="32"/>
        </w:rPr>
      </w:pPr>
      <w:r>
        <w:rPr>
          <w:rFonts w:hint="eastAsia" w:ascii="仿宋_GB2312" w:hAnsi="Calibri" w:eastAsia="仿宋_GB2312" w:cs="Times New Roman"/>
          <w:sz w:val="32"/>
          <w:szCs w:val="32"/>
        </w:rPr>
        <w:t>（一）贯彻执行国家、省有关人力资源和社会保障的方针、</w:t>
      </w:r>
    </w:p>
    <w:p>
      <w:pPr>
        <w:pStyle w:val="7"/>
        <w:keepNext w:val="0"/>
        <w:keepLines w:val="0"/>
        <w:pageBreakBefore w:val="0"/>
        <w:widowControl/>
        <w:kinsoku/>
        <w:wordWrap/>
        <w:overflowPunct/>
        <w:topLinePunct w:val="0"/>
        <w:autoSpaceDE/>
        <w:autoSpaceDN/>
        <w:bidi w:val="0"/>
        <w:adjustRightInd/>
        <w:snapToGrid/>
        <w:spacing w:before="0" w:beforeLines="0" w:after="0" w:afterLines="0" w:line="560" w:lineRule="exact"/>
        <w:ind w:right="0" w:rightChars="0"/>
        <w:jc w:val="both"/>
        <w:textAlignment w:val="auto"/>
        <w:outlineLvl w:val="9"/>
        <w:rPr>
          <w:rFonts w:hint="eastAsia" w:ascii="仿宋_GB2312" w:hAnsi="Calibri" w:eastAsia="仿宋_GB2312" w:cs="Times New Roman"/>
          <w:sz w:val="32"/>
          <w:szCs w:val="32"/>
        </w:rPr>
      </w:pPr>
      <w:r>
        <w:rPr>
          <w:rFonts w:hint="eastAsia" w:ascii="仿宋_GB2312" w:hAnsi="Calibri" w:eastAsia="仿宋_GB2312" w:cs="Times New Roman"/>
          <w:sz w:val="32"/>
          <w:szCs w:val="32"/>
        </w:rPr>
        <w:t>政策和法律、法规、规章，拟订全市人力资源和社会保障事业发展规划，组织起草人力资源和社会保障（不含医疗保障，下同） 地方性法规草案、规章、政策并组织实施和监督检查。</w:t>
      </w:r>
    </w:p>
    <w:p>
      <w:pPr>
        <w:pStyle w:val="7"/>
        <w:keepNext w:val="0"/>
        <w:keepLines w:val="0"/>
        <w:pageBreakBefore w:val="0"/>
        <w:widowControl/>
        <w:kinsoku/>
        <w:wordWrap/>
        <w:overflowPunct/>
        <w:topLinePunct w:val="0"/>
        <w:autoSpaceDE/>
        <w:autoSpaceDN/>
        <w:bidi w:val="0"/>
        <w:adjustRightInd/>
        <w:snapToGrid/>
        <w:spacing w:before="0" w:beforeLines="0" w:after="0" w:afterLines="0" w:line="560" w:lineRule="exact"/>
        <w:ind w:left="0" w:leftChars="0" w:right="0" w:rightChars="0" w:firstLine="640" w:firstLineChars="0"/>
        <w:jc w:val="both"/>
        <w:textAlignment w:val="auto"/>
        <w:outlineLvl w:val="9"/>
        <w:rPr>
          <w:rFonts w:hint="eastAsia" w:ascii="仿宋_GB2312" w:hAnsi="Calibri" w:eastAsia="仿宋_GB2312" w:cs="Times New Roman"/>
          <w:sz w:val="32"/>
          <w:szCs w:val="32"/>
        </w:rPr>
      </w:pPr>
      <w:r>
        <w:rPr>
          <w:rFonts w:hint="eastAsia" w:ascii="仿宋_GB2312" w:hAnsi="Calibri" w:eastAsia="仿宋_GB2312" w:cs="Times New Roman"/>
          <w:sz w:val="32"/>
          <w:szCs w:val="32"/>
        </w:rPr>
        <w:t>（二）拟订并组织实施全市人力资源市场发展规划和人力资源流动政策，指导全市人力资源市场建设，规范人才、劳动力、高等院校毕业生就业市场。</w:t>
      </w:r>
    </w:p>
    <w:p>
      <w:pPr>
        <w:pStyle w:val="7"/>
        <w:keepNext w:val="0"/>
        <w:keepLines w:val="0"/>
        <w:pageBreakBefore w:val="0"/>
        <w:widowControl/>
        <w:kinsoku/>
        <w:wordWrap/>
        <w:overflowPunct/>
        <w:topLinePunct w:val="0"/>
        <w:autoSpaceDE/>
        <w:autoSpaceDN/>
        <w:bidi w:val="0"/>
        <w:adjustRightInd/>
        <w:snapToGrid/>
        <w:spacing w:before="0" w:beforeLines="0" w:after="0" w:afterLines="0" w:line="560" w:lineRule="exact"/>
        <w:ind w:left="0" w:leftChars="0" w:right="0" w:rightChars="0" w:firstLine="640" w:firstLineChars="0"/>
        <w:jc w:val="both"/>
        <w:textAlignment w:val="auto"/>
        <w:outlineLvl w:val="9"/>
        <w:rPr>
          <w:rFonts w:hint="eastAsia" w:ascii="仿宋_GB2312" w:hAnsi="Calibri" w:eastAsia="仿宋_GB2312" w:cs="Times New Roman"/>
          <w:sz w:val="32"/>
          <w:szCs w:val="32"/>
        </w:rPr>
      </w:pPr>
      <w:r>
        <w:rPr>
          <w:rFonts w:hint="eastAsia" w:ascii="仿宋_GB2312" w:hAnsi="Calibri" w:eastAsia="仿宋_GB2312" w:cs="Times New Roman"/>
          <w:sz w:val="32"/>
          <w:szCs w:val="32"/>
        </w:rPr>
        <w:t>（三）负责促进就业工作，拟订统筹城乡的就业发展规划和政策，完善公共就业服务体系；拟订就业援助制度；完善职业资格制度相关政策，建立面向城乡劳动者的职业培训制度；牵头拟订高校毕业生就业政策；统筹协调选拔高等院校优秀毕业生赴基层工作；会同有关部门拟订高技能人才、农村实用人才培养和激励政策；贯彻落实国家、省、市关于国（境）外人员（不含专家）就业管理政策，做好组织实施工作。</w:t>
      </w:r>
    </w:p>
    <w:p>
      <w:pPr>
        <w:pStyle w:val="7"/>
        <w:keepNext w:val="0"/>
        <w:keepLines w:val="0"/>
        <w:pageBreakBefore w:val="0"/>
        <w:widowControl/>
        <w:kinsoku/>
        <w:wordWrap/>
        <w:overflowPunct/>
        <w:topLinePunct w:val="0"/>
        <w:autoSpaceDE/>
        <w:autoSpaceDN/>
        <w:bidi w:val="0"/>
        <w:adjustRightInd/>
        <w:snapToGrid/>
        <w:spacing w:before="0" w:beforeLines="0" w:after="0" w:afterLines="0" w:line="560" w:lineRule="exact"/>
        <w:ind w:left="0" w:leftChars="0" w:right="0" w:rightChars="0" w:firstLine="640" w:firstLineChars="0"/>
        <w:jc w:val="both"/>
        <w:textAlignment w:val="auto"/>
        <w:outlineLvl w:val="9"/>
        <w:rPr>
          <w:rFonts w:hint="eastAsia" w:ascii="仿宋_GB2312" w:hAnsi="Calibri" w:eastAsia="仿宋_GB2312" w:cs="Times New Roman"/>
          <w:sz w:val="32"/>
          <w:szCs w:val="32"/>
        </w:rPr>
      </w:pPr>
      <w:r>
        <w:rPr>
          <w:rFonts w:hint="eastAsia" w:ascii="仿宋_GB2312" w:hAnsi="Calibri" w:eastAsia="仿宋_GB2312" w:cs="Times New Roman"/>
          <w:sz w:val="32"/>
          <w:szCs w:val="32"/>
        </w:rPr>
        <w:t>（四）会同有关部门拟订事业单位人员工资收入分配制度改革实施意见，建立企事业单位人员工资正常增长和支付保障机制，拟订企事业单位人员福利政策和机关企事业单位离退休政策。代市政府承办有关人事任免事项；组织实施国家功勋荣誉制度；拟订表彰奖励制度，指导和协调表彰奖励工作。</w:t>
      </w:r>
    </w:p>
    <w:p>
      <w:pPr>
        <w:pStyle w:val="7"/>
        <w:keepNext w:val="0"/>
        <w:keepLines w:val="0"/>
        <w:pageBreakBefore w:val="0"/>
        <w:widowControl/>
        <w:kinsoku/>
        <w:wordWrap/>
        <w:overflowPunct/>
        <w:topLinePunct w:val="0"/>
        <w:autoSpaceDE/>
        <w:autoSpaceDN/>
        <w:bidi w:val="0"/>
        <w:adjustRightInd/>
        <w:snapToGrid/>
        <w:spacing w:before="0" w:beforeLines="0" w:after="0" w:afterLines="0" w:line="560" w:lineRule="exact"/>
        <w:ind w:left="0" w:leftChars="0" w:right="0" w:rightChars="0" w:firstLine="640" w:firstLineChars="0"/>
        <w:jc w:val="both"/>
        <w:textAlignment w:val="auto"/>
        <w:outlineLvl w:val="9"/>
        <w:rPr>
          <w:rFonts w:hint="eastAsia" w:ascii="仿宋_GB2312" w:hAnsi="Calibri" w:eastAsia="仿宋_GB2312" w:cs="Times New Roman"/>
          <w:sz w:val="32"/>
          <w:szCs w:val="32"/>
        </w:rPr>
      </w:pPr>
      <w:r>
        <w:rPr>
          <w:rFonts w:hint="eastAsia" w:ascii="仿宋_GB2312" w:hAnsi="Calibri" w:eastAsia="仿宋_GB2312" w:cs="Times New Roman"/>
          <w:sz w:val="32"/>
          <w:szCs w:val="32"/>
        </w:rPr>
        <w:t>（五）会同有关部门负责事业单位人事制度改革；拟订事业</w:t>
      </w:r>
    </w:p>
    <w:p>
      <w:pPr>
        <w:pStyle w:val="7"/>
        <w:keepNext w:val="0"/>
        <w:keepLines w:val="0"/>
        <w:pageBreakBefore w:val="0"/>
        <w:widowControl/>
        <w:kinsoku/>
        <w:wordWrap/>
        <w:overflowPunct/>
        <w:topLinePunct w:val="0"/>
        <w:autoSpaceDE/>
        <w:autoSpaceDN/>
        <w:bidi w:val="0"/>
        <w:adjustRightInd/>
        <w:snapToGrid/>
        <w:spacing w:before="0" w:beforeLines="0" w:after="0" w:afterLines="0" w:line="560" w:lineRule="exact"/>
        <w:ind w:right="0" w:rightChars="0"/>
        <w:jc w:val="both"/>
        <w:textAlignment w:val="auto"/>
        <w:outlineLvl w:val="9"/>
        <w:rPr>
          <w:rFonts w:hint="eastAsia" w:ascii="仿宋_GB2312" w:hAnsi="Calibri" w:eastAsia="仿宋_GB2312" w:cs="Times New Roman"/>
          <w:sz w:val="32"/>
          <w:szCs w:val="32"/>
        </w:rPr>
      </w:pPr>
      <w:r>
        <w:rPr>
          <w:rFonts w:hint="eastAsia" w:ascii="仿宋_GB2312" w:hAnsi="Calibri" w:eastAsia="仿宋_GB2312" w:cs="Times New Roman"/>
          <w:sz w:val="32"/>
          <w:szCs w:val="32"/>
        </w:rPr>
        <w:t>单位人员管理政策；参与人才管理工作，制定专业技术人员管理和继续教育政策；牵头推进深化职称制度改革工作；健全博士后管理办法，负责高层次专业技术人才选拔、培养和引进工作。</w:t>
      </w:r>
    </w:p>
    <w:p>
      <w:pPr>
        <w:pStyle w:val="7"/>
        <w:keepNext w:val="0"/>
        <w:keepLines w:val="0"/>
        <w:pageBreakBefore w:val="0"/>
        <w:widowControl/>
        <w:kinsoku/>
        <w:wordWrap/>
        <w:overflowPunct/>
        <w:topLinePunct w:val="0"/>
        <w:autoSpaceDE/>
        <w:autoSpaceDN/>
        <w:bidi w:val="0"/>
        <w:adjustRightInd/>
        <w:snapToGrid/>
        <w:spacing w:before="0" w:beforeLines="0" w:after="0" w:afterLines="0" w:line="560" w:lineRule="exact"/>
        <w:ind w:left="0" w:leftChars="0" w:right="0" w:rightChars="0" w:firstLine="640" w:firstLineChars="0"/>
        <w:jc w:val="both"/>
        <w:textAlignment w:val="auto"/>
        <w:outlineLvl w:val="9"/>
        <w:rPr>
          <w:rFonts w:hint="eastAsia" w:ascii="仿宋_GB2312" w:hAnsi="Calibri" w:eastAsia="仿宋_GB2312" w:cs="Times New Roman"/>
          <w:sz w:val="32"/>
          <w:szCs w:val="32"/>
        </w:rPr>
      </w:pPr>
      <w:r>
        <w:rPr>
          <w:rFonts w:hint="eastAsia" w:ascii="仿宋_GB2312" w:hAnsi="Calibri" w:eastAsia="仿宋_GB2312" w:cs="Times New Roman"/>
          <w:sz w:val="32"/>
          <w:szCs w:val="32"/>
        </w:rPr>
        <w:t>（六）贯彻落实国家、省、市关于农民工工作的决策部署，</w:t>
      </w:r>
    </w:p>
    <w:p>
      <w:pPr>
        <w:pStyle w:val="7"/>
        <w:keepNext w:val="0"/>
        <w:keepLines w:val="0"/>
        <w:pageBreakBefore w:val="0"/>
        <w:widowControl/>
        <w:kinsoku/>
        <w:wordWrap/>
        <w:overflowPunct/>
        <w:topLinePunct w:val="0"/>
        <w:autoSpaceDE/>
        <w:autoSpaceDN/>
        <w:bidi w:val="0"/>
        <w:adjustRightInd/>
        <w:snapToGrid/>
        <w:spacing w:before="0" w:beforeLines="0" w:after="0" w:afterLines="0" w:line="560" w:lineRule="exact"/>
        <w:ind w:right="0" w:rightChars="0"/>
        <w:jc w:val="both"/>
        <w:textAlignment w:val="auto"/>
        <w:outlineLvl w:val="9"/>
        <w:rPr>
          <w:rFonts w:hint="eastAsia" w:ascii="仿宋_GB2312" w:hAnsi="Calibri" w:eastAsia="仿宋_GB2312" w:cs="Times New Roman"/>
          <w:sz w:val="32"/>
          <w:szCs w:val="32"/>
        </w:rPr>
      </w:pPr>
      <w:r>
        <w:rPr>
          <w:rFonts w:hint="eastAsia" w:ascii="仿宋_GB2312" w:hAnsi="Calibri" w:eastAsia="仿宋_GB2312" w:cs="Times New Roman"/>
          <w:sz w:val="32"/>
          <w:szCs w:val="32"/>
        </w:rPr>
        <w:t>组织制定和审议全市农民工工作的重大方针政策措施，组织推动全市农民工工作；督促检查各地区、各部门相关政策落实情况和任务完成情况，协调解决政策落实中的重点难点问题；统筹协调落实国家、省、市关于家庭服务业工作重大决策和部署。</w:t>
      </w:r>
    </w:p>
    <w:p>
      <w:pPr>
        <w:pStyle w:val="7"/>
        <w:keepNext w:val="0"/>
        <w:keepLines w:val="0"/>
        <w:pageBreakBefore w:val="0"/>
        <w:widowControl/>
        <w:kinsoku/>
        <w:wordWrap/>
        <w:overflowPunct/>
        <w:topLinePunct w:val="0"/>
        <w:autoSpaceDE/>
        <w:autoSpaceDN/>
        <w:bidi w:val="0"/>
        <w:adjustRightInd/>
        <w:snapToGrid/>
        <w:spacing w:before="0" w:beforeLines="0" w:after="0" w:afterLines="0" w:line="560" w:lineRule="exact"/>
        <w:ind w:left="0" w:leftChars="0" w:right="0" w:rightChars="0" w:firstLine="640" w:firstLineChars="0"/>
        <w:jc w:val="both"/>
        <w:textAlignment w:val="auto"/>
        <w:outlineLvl w:val="9"/>
        <w:rPr>
          <w:rFonts w:hint="eastAsia" w:ascii="仿宋_GB2312" w:hAnsi="Calibri" w:eastAsia="仿宋_GB2312" w:cs="Times New Roman"/>
          <w:sz w:val="32"/>
          <w:szCs w:val="32"/>
        </w:rPr>
      </w:pPr>
      <w:r>
        <w:rPr>
          <w:rFonts w:hint="eastAsia" w:ascii="仿宋_GB2312" w:hAnsi="Calibri" w:eastAsia="仿宋_GB2312" w:cs="Times New Roman"/>
          <w:sz w:val="32"/>
          <w:szCs w:val="32"/>
        </w:rPr>
        <w:t>（七）统筹实施劳动、人事争议调解仲裁制度；拟订劳动关</w:t>
      </w:r>
    </w:p>
    <w:p>
      <w:pPr>
        <w:pStyle w:val="7"/>
        <w:keepNext w:val="0"/>
        <w:keepLines w:val="0"/>
        <w:pageBreakBefore w:val="0"/>
        <w:widowControl/>
        <w:kinsoku/>
        <w:wordWrap/>
        <w:overflowPunct/>
        <w:topLinePunct w:val="0"/>
        <w:autoSpaceDE/>
        <w:autoSpaceDN/>
        <w:bidi w:val="0"/>
        <w:adjustRightInd/>
        <w:snapToGrid/>
        <w:spacing w:before="0" w:beforeLines="0" w:after="0" w:afterLines="0" w:line="560" w:lineRule="exact"/>
        <w:ind w:right="0" w:rightChars="0"/>
        <w:jc w:val="both"/>
        <w:textAlignment w:val="auto"/>
        <w:outlineLvl w:val="9"/>
        <w:rPr>
          <w:rFonts w:hint="eastAsia" w:ascii="仿宋_GB2312" w:hAnsi="Calibri" w:eastAsia="仿宋_GB2312" w:cs="Times New Roman"/>
          <w:sz w:val="32"/>
          <w:szCs w:val="32"/>
        </w:rPr>
      </w:pPr>
      <w:r>
        <w:rPr>
          <w:rFonts w:hint="eastAsia" w:ascii="仿宋_GB2312" w:hAnsi="Calibri" w:eastAsia="仿宋_GB2312" w:cs="Times New Roman"/>
          <w:sz w:val="32"/>
          <w:szCs w:val="32"/>
        </w:rPr>
        <w:t>系政策，完善劳动关系协调机制；拟订和监督落实非法使用童工 政策和女工、未成年工的特殊劳动保护政策；组织实施劳动监察</w:t>
      </w:r>
      <w:r>
        <w:rPr>
          <w:rFonts w:hint="eastAsia" w:ascii="仿宋_GB2312" w:hAnsi="Calibri" w:eastAsia="仿宋_GB2312" w:cs="Times New Roman"/>
          <w:sz w:val="32"/>
          <w:szCs w:val="32"/>
          <w:lang w:val="en-US" w:eastAsia="zh-CN"/>
        </w:rPr>
        <w:t>,</w:t>
      </w:r>
      <w:r>
        <w:rPr>
          <w:rFonts w:hint="eastAsia" w:ascii="仿宋_GB2312" w:hAnsi="Calibri" w:eastAsia="仿宋_GB2312" w:cs="Times New Roman"/>
          <w:sz w:val="32"/>
          <w:szCs w:val="32"/>
        </w:rPr>
        <w:t>协调劳动者维权工作，依法查处重大案件；完善人力资源和社会保障系统信访工作制度。</w:t>
      </w:r>
    </w:p>
    <w:p>
      <w:pPr>
        <w:pStyle w:val="7"/>
        <w:keepNext w:val="0"/>
        <w:keepLines w:val="0"/>
        <w:pageBreakBefore w:val="0"/>
        <w:widowControl/>
        <w:kinsoku/>
        <w:wordWrap/>
        <w:overflowPunct/>
        <w:topLinePunct w:val="0"/>
        <w:autoSpaceDE/>
        <w:autoSpaceDN/>
        <w:bidi w:val="0"/>
        <w:adjustRightInd/>
        <w:snapToGrid/>
        <w:spacing w:before="0" w:beforeLines="0" w:after="0" w:afterLines="0" w:line="560" w:lineRule="exact"/>
        <w:ind w:left="0" w:leftChars="0" w:right="0" w:rightChars="0" w:firstLine="640" w:firstLineChars="0"/>
        <w:jc w:val="both"/>
        <w:textAlignment w:val="auto"/>
        <w:outlineLvl w:val="9"/>
        <w:rPr>
          <w:rFonts w:hint="eastAsia" w:ascii="仿宋_GB2312" w:hAnsi="Calibri" w:eastAsia="仿宋_GB2312" w:cs="Times New Roman"/>
          <w:sz w:val="32"/>
          <w:szCs w:val="32"/>
        </w:rPr>
      </w:pPr>
      <w:r>
        <w:rPr>
          <w:rFonts w:hint="eastAsia" w:ascii="仿宋_GB2312" w:hAnsi="Calibri" w:eastAsia="仿宋_GB2312" w:cs="Times New Roman"/>
          <w:sz w:val="32"/>
          <w:szCs w:val="32"/>
        </w:rPr>
        <w:t>（八）统筹建立覆盖城乡的社会保障体系</w:t>
      </w:r>
      <w:r>
        <w:rPr>
          <w:rFonts w:hint="eastAsia" w:ascii="仿宋_GB2312" w:hAnsi="Calibri" w:eastAsia="仿宋_GB2312" w:cs="Times New Roman"/>
          <w:sz w:val="32"/>
          <w:szCs w:val="32"/>
          <w:lang w:eastAsia="zh-CN"/>
        </w:rPr>
        <w:t>，</w:t>
      </w:r>
      <w:r>
        <w:rPr>
          <w:rFonts w:hint="eastAsia" w:ascii="仿宋_GB2312" w:hAnsi="Calibri" w:eastAsia="仿宋_GB2312" w:cs="Times New Roman"/>
          <w:sz w:val="32"/>
          <w:szCs w:val="32"/>
        </w:rPr>
        <w:t>统筹拟订并组织实施城乡社会保险及其补充保险政策和标准；拟订并组织实施城乡社会保险及其补充保险政策和标准，组织拟订全市统一的社会保险关系转移接续办法，统筹拟订机关企事业单位基本养老保险政策，会同有关部门拟订全市社会保险及其补充保险基金的管理和监督办法，编制全市社会保险基金预决算草案，拟订全市社会保险基金投资运营政策。</w:t>
      </w:r>
    </w:p>
    <w:p>
      <w:pPr>
        <w:pStyle w:val="7"/>
        <w:keepNext w:val="0"/>
        <w:keepLines w:val="0"/>
        <w:pageBreakBefore w:val="0"/>
        <w:widowControl/>
        <w:kinsoku/>
        <w:wordWrap/>
        <w:overflowPunct/>
        <w:topLinePunct w:val="0"/>
        <w:autoSpaceDE/>
        <w:autoSpaceDN/>
        <w:bidi w:val="0"/>
        <w:adjustRightInd/>
        <w:snapToGrid/>
        <w:spacing w:before="0" w:beforeLines="0" w:after="0" w:afterLines="0" w:line="560" w:lineRule="exact"/>
        <w:ind w:left="0" w:leftChars="0" w:right="0" w:rightChars="0" w:firstLine="640" w:firstLineChars="0"/>
        <w:jc w:val="both"/>
        <w:textAlignment w:val="auto"/>
        <w:outlineLvl w:val="9"/>
        <w:rPr>
          <w:rFonts w:hint="eastAsia" w:ascii="仿宋_GB2312" w:hAnsi="Calibri" w:eastAsia="仿宋_GB2312" w:cs="Times New Roman"/>
          <w:sz w:val="32"/>
          <w:szCs w:val="32"/>
        </w:rPr>
      </w:pPr>
      <w:r>
        <w:rPr>
          <w:rFonts w:hint="eastAsia" w:ascii="仿宋_GB2312" w:hAnsi="Calibri" w:eastAsia="仿宋_GB2312" w:cs="Times New Roman"/>
          <w:sz w:val="32"/>
          <w:szCs w:val="32"/>
        </w:rPr>
        <w:t>（九）负责就业、失业、社会保险基金预测预警和信息引导，</w:t>
      </w:r>
    </w:p>
    <w:p>
      <w:pPr>
        <w:pStyle w:val="7"/>
        <w:keepNext w:val="0"/>
        <w:keepLines w:val="0"/>
        <w:pageBreakBefore w:val="0"/>
        <w:widowControl/>
        <w:kinsoku/>
        <w:wordWrap/>
        <w:overflowPunct/>
        <w:topLinePunct w:val="0"/>
        <w:autoSpaceDE/>
        <w:autoSpaceDN/>
        <w:bidi w:val="0"/>
        <w:adjustRightInd/>
        <w:snapToGrid/>
        <w:spacing w:before="0" w:beforeLines="0" w:after="0" w:afterLines="0" w:line="560" w:lineRule="exact"/>
        <w:ind w:right="0" w:rightChars="0"/>
        <w:jc w:val="both"/>
        <w:textAlignment w:val="auto"/>
        <w:outlineLvl w:val="9"/>
        <w:rPr>
          <w:rFonts w:hint="eastAsia" w:ascii="仿宋_GB2312" w:hAnsi="Calibri" w:eastAsia="仿宋_GB2312" w:cs="Times New Roman"/>
          <w:sz w:val="32"/>
          <w:szCs w:val="32"/>
        </w:rPr>
      </w:pPr>
      <w:r>
        <w:rPr>
          <w:rFonts w:hint="eastAsia" w:ascii="仿宋_GB2312" w:hAnsi="Calibri" w:eastAsia="仿宋_GB2312" w:cs="Times New Roman"/>
          <w:sz w:val="32"/>
          <w:szCs w:val="32"/>
        </w:rPr>
        <w:t>拟订应对预案，实施预防、调节和控制，保持就业形势稳定和社会保险基金总体收支平衡。</w:t>
      </w:r>
    </w:p>
    <w:p>
      <w:pPr>
        <w:pStyle w:val="7"/>
        <w:keepNext w:val="0"/>
        <w:keepLines w:val="0"/>
        <w:pageBreakBefore w:val="0"/>
        <w:widowControl/>
        <w:kinsoku/>
        <w:wordWrap/>
        <w:overflowPunct/>
        <w:topLinePunct w:val="0"/>
        <w:autoSpaceDE/>
        <w:autoSpaceDN/>
        <w:bidi w:val="0"/>
        <w:adjustRightInd/>
        <w:snapToGrid/>
        <w:spacing w:before="0" w:beforeLines="0" w:after="0" w:afterLines="0" w:line="560" w:lineRule="exact"/>
        <w:ind w:left="0" w:leftChars="0" w:right="0" w:rightChars="0" w:firstLine="640" w:firstLineChars="0"/>
        <w:jc w:val="both"/>
        <w:textAlignment w:val="auto"/>
        <w:outlineLvl w:val="9"/>
        <w:rPr>
          <w:rFonts w:hint="eastAsia" w:ascii="仿宋_GB2312" w:hAnsi="Calibri" w:eastAsia="仿宋_GB2312" w:cs="Times New Roman"/>
          <w:sz w:val="32"/>
          <w:szCs w:val="32"/>
        </w:rPr>
      </w:pPr>
      <w:r>
        <w:rPr>
          <w:rFonts w:hint="eastAsia" w:ascii="仿宋_GB2312" w:hAnsi="Calibri" w:eastAsia="仿宋_GB2312" w:cs="Times New Roman"/>
          <w:sz w:val="32"/>
          <w:szCs w:val="32"/>
        </w:rPr>
        <w:t>（十）承担本部门及所属单位党组织建设相关工作。</w:t>
      </w:r>
    </w:p>
    <w:p>
      <w:pPr>
        <w:pStyle w:val="7"/>
        <w:keepNext w:val="0"/>
        <w:keepLines w:val="0"/>
        <w:pageBreakBefore w:val="0"/>
        <w:widowControl/>
        <w:kinsoku/>
        <w:wordWrap/>
        <w:overflowPunct/>
        <w:topLinePunct w:val="0"/>
        <w:autoSpaceDE/>
        <w:autoSpaceDN/>
        <w:bidi w:val="0"/>
        <w:adjustRightInd/>
        <w:snapToGrid/>
        <w:spacing w:before="0" w:beforeLines="0" w:after="0" w:afterLines="0" w:line="560" w:lineRule="exact"/>
        <w:ind w:left="0" w:leftChars="0" w:right="0" w:rightChars="0" w:firstLine="640" w:firstLineChars="0"/>
        <w:jc w:val="both"/>
        <w:textAlignment w:val="auto"/>
        <w:outlineLvl w:val="9"/>
        <w:rPr>
          <w:rFonts w:hint="eastAsia" w:ascii="仿宋_GB2312" w:hAnsi="Calibri" w:eastAsia="仿宋_GB2312" w:cs="Times New Roman"/>
          <w:sz w:val="32"/>
          <w:szCs w:val="32"/>
        </w:rPr>
      </w:pPr>
      <w:r>
        <w:rPr>
          <w:rFonts w:hint="eastAsia" w:ascii="仿宋_GB2312" w:hAnsi="Calibri" w:eastAsia="仿宋_GB2312" w:cs="Times New Roman"/>
          <w:sz w:val="32"/>
          <w:szCs w:val="32"/>
        </w:rPr>
        <w:t>（十一）指导全市技工学校、职业培训机构的安全生产和职 业健康工作。负责相关部门将安全生产和职业健康内容纳入政府工作人员培训教育计划，并作为奖惩、考核重要内容之一。</w:t>
      </w:r>
    </w:p>
    <w:p>
      <w:pPr>
        <w:pStyle w:val="7"/>
        <w:keepNext w:val="0"/>
        <w:keepLines w:val="0"/>
        <w:pageBreakBefore w:val="0"/>
        <w:widowControl/>
        <w:kinsoku/>
        <w:wordWrap/>
        <w:overflowPunct/>
        <w:topLinePunct w:val="0"/>
        <w:autoSpaceDE/>
        <w:autoSpaceDN/>
        <w:bidi w:val="0"/>
        <w:adjustRightInd/>
        <w:snapToGrid/>
        <w:spacing w:before="0" w:beforeLines="0" w:after="0" w:afterLines="0" w:line="560" w:lineRule="exact"/>
        <w:ind w:left="0" w:leftChars="0" w:right="0" w:rightChars="0" w:firstLine="640" w:firstLineChars="0"/>
        <w:jc w:val="both"/>
        <w:textAlignment w:val="auto"/>
        <w:outlineLvl w:val="9"/>
        <w:rPr>
          <w:rFonts w:hint="eastAsia" w:ascii="仿宋_GB2312" w:hAnsi="Calibri" w:eastAsia="仿宋_GB2312" w:cs="Times New Roman"/>
          <w:sz w:val="32"/>
          <w:szCs w:val="32"/>
        </w:rPr>
      </w:pPr>
      <w:r>
        <w:rPr>
          <w:rFonts w:hint="eastAsia" w:ascii="仿宋_GB2312" w:hAnsi="Calibri" w:eastAsia="仿宋_GB2312" w:cs="Times New Roman"/>
          <w:sz w:val="32"/>
          <w:szCs w:val="32"/>
        </w:rPr>
        <w:t>（十二）将环境保护法律法规纳入有关行政部门专业培训内 容和事业单位工作人员培训内容。</w:t>
      </w:r>
    </w:p>
    <w:p>
      <w:pPr>
        <w:pStyle w:val="7"/>
        <w:keepNext w:val="0"/>
        <w:keepLines w:val="0"/>
        <w:pageBreakBefore w:val="0"/>
        <w:widowControl/>
        <w:kinsoku/>
        <w:wordWrap/>
        <w:overflowPunct/>
        <w:topLinePunct w:val="0"/>
        <w:autoSpaceDE/>
        <w:autoSpaceDN/>
        <w:bidi w:val="0"/>
        <w:adjustRightInd/>
        <w:snapToGrid/>
        <w:spacing w:before="0" w:beforeLines="0" w:after="0" w:afterLines="0" w:line="560" w:lineRule="exact"/>
        <w:ind w:left="0" w:leftChars="0" w:right="0" w:rightChars="0" w:firstLine="640" w:firstLineChars="0"/>
        <w:jc w:val="both"/>
        <w:textAlignment w:val="auto"/>
        <w:outlineLvl w:val="9"/>
        <w:rPr>
          <w:rFonts w:hint="eastAsia" w:ascii="仿宋_GB2312" w:hAnsi="Calibri" w:eastAsia="仿宋_GB2312" w:cs="Times New Roman"/>
          <w:sz w:val="32"/>
          <w:szCs w:val="32"/>
        </w:rPr>
      </w:pPr>
      <w:r>
        <w:rPr>
          <w:rFonts w:hint="eastAsia" w:ascii="仿宋_GB2312" w:hAnsi="Calibri" w:eastAsia="仿宋_GB2312" w:cs="Times New Roman"/>
          <w:sz w:val="32"/>
          <w:szCs w:val="32"/>
        </w:rPr>
        <w:t>（十三）按分工负责企业帮扶工作。</w:t>
      </w:r>
    </w:p>
    <w:p>
      <w:pPr>
        <w:pStyle w:val="7"/>
        <w:keepNext w:val="0"/>
        <w:keepLines w:val="0"/>
        <w:pageBreakBefore w:val="0"/>
        <w:widowControl/>
        <w:kinsoku/>
        <w:wordWrap/>
        <w:overflowPunct/>
        <w:topLinePunct w:val="0"/>
        <w:autoSpaceDE/>
        <w:autoSpaceDN/>
        <w:bidi w:val="0"/>
        <w:adjustRightInd/>
        <w:snapToGrid/>
        <w:spacing w:before="0" w:beforeLines="0" w:after="0" w:afterLines="0" w:line="560" w:lineRule="exact"/>
        <w:ind w:left="0" w:leftChars="0" w:right="0" w:rightChars="0" w:firstLine="640" w:firstLineChars="0"/>
        <w:jc w:val="both"/>
        <w:textAlignment w:val="auto"/>
        <w:outlineLvl w:val="9"/>
        <w:rPr>
          <w:rFonts w:hint="eastAsia" w:ascii="仿宋_GB2312" w:hAnsi="Calibri" w:eastAsia="仿宋_GB2312" w:cs="Times New Roman"/>
          <w:sz w:val="32"/>
          <w:szCs w:val="32"/>
        </w:rPr>
      </w:pPr>
      <w:r>
        <w:rPr>
          <w:rFonts w:hint="eastAsia" w:ascii="仿宋_GB2312" w:hAnsi="Calibri" w:eastAsia="仿宋_GB2312" w:cs="Times New Roman"/>
          <w:sz w:val="32"/>
          <w:szCs w:val="32"/>
        </w:rPr>
        <w:t>（十四）本部门具体行政职权见政府门户网站公布的权责清 单和政务服务事项清单。</w:t>
      </w:r>
    </w:p>
    <w:p>
      <w:pPr>
        <w:pStyle w:val="7"/>
        <w:keepNext w:val="0"/>
        <w:keepLines w:val="0"/>
        <w:pageBreakBefore w:val="0"/>
        <w:widowControl/>
        <w:kinsoku/>
        <w:wordWrap/>
        <w:overflowPunct/>
        <w:topLinePunct w:val="0"/>
        <w:autoSpaceDE/>
        <w:autoSpaceDN/>
        <w:bidi w:val="0"/>
        <w:adjustRightInd/>
        <w:snapToGrid/>
        <w:spacing w:before="0" w:beforeLines="0" w:after="0" w:afterLines="0" w:line="560" w:lineRule="exact"/>
        <w:ind w:left="0" w:leftChars="0" w:right="0" w:rightChars="0" w:firstLine="640" w:firstLineChars="0"/>
        <w:jc w:val="both"/>
        <w:textAlignment w:val="auto"/>
        <w:outlineLvl w:val="9"/>
        <w:rPr>
          <w:rFonts w:hint="eastAsia" w:ascii="仿宋_GB2312" w:hAnsi="Calibri" w:eastAsia="仿宋_GB2312" w:cs="Times New Roman"/>
          <w:sz w:val="32"/>
          <w:szCs w:val="32"/>
        </w:rPr>
      </w:pPr>
      <w:r>
        <w:rPr>
          <w:rFonts w:hint="eastAsia" w:ascii="仿宋_GB2312" w:hAnsi="Calibri" w:eastAsia="仿宋_GB2312" w:cs="Times New Roman"/>
          <w:sz w:val="32"/>
          <w:szCs w:val="32"/>
        </w:rPr>
        <w:t>（十五）完成市委、市政府交办的其他任务。</w:t>
      </w:r>
    </w:p>
    <w:p>
      <w:pPr>
        <w:pStyle w:val="7"/>
        <w:keepNext w:val="0"/>
        <w:keepLines w:val="0"/>
        <w:pageBreakBefore w:val="0"/>
        <w:widowControl/>
        <w:kinsoku/>
        <w:wordWrap/>
        <w:overflowPunct/>
        <w:topLinePunct w:val="0"/>
        <w:autoSpaceDE/>
        <w:autoSpaceDN/>
        <w:bidi w:val="0"/>
        <w:adjustRightInd/>
        <w:snapToGrid/>
        <w:spacing w:before="0" w:beforeLines="0" w:after="0" w:afterLines="0" w:line="560" w:lineRule="exact"/>
        <w:ind w:left="0" w:leftChars="0" w:right="0" w:rightChars="0" w:firstLine="640" w:firstLineChars="0"/>
        <w:jc w:val="both"/>
        <w:textAlignment w:val="auto"/>
        <w:outlineLvl w:val="9"/>
        <w:rPr>
          <w:rFonts w:hint="eastAsia" w:ascii="仿宋_GB2312" w:hAnsi="Calibri" w:eastAsia="仿宋_GB2312" w:cs="Times New Roman"/>
          <w:sz w:val="32"/>
          <w:szCs w:val="32"/>
        </w:rPr>
      </w:pPr>
      <w:r>
        <w:rPr>
          <w:rFonts w:hint="eastAsia" w:ascii="仿宋_GB2312" w:hAnsi="Calibri" w:eastAsia="仿宋_GB2312" w:cs="Times New Roman"/>
          <w:sz w:val="32"/>
          <w:szCs w:val="32"/>
        </w:rPr>
        <w:t>（十六）职能转变。沈阳市人力资源和社会保障局应加强促进就业创业、确保就业局势稳定，持续推进养老保险制度改革，做好治欠保支工作、保障农民工权益，适应现代化经济体系需要、激发人才创新创造活力等职责。</w:t>
      </w:r>
    </w:p>
    <w:p>
      <w:pPr>
        <w:pStyle w:val="7"/>
        <w:keepNext w:val="0"/>
        <w:keepLines w:val="0"/>
        <w:pageBreakBefore w:val="0"/>
        <w:widowControl/>
        <w:kinsoku/>
        <w:wordWrap/>
        <w:overflowPunct/>
        <w:topLinePunct w:val="0"/>
        <w:autoSpaceDE/>
        <w:autoSpaceDN/>
        <w:bidi w:val="0"/>
        <w:adjustRightInd/>
        <w:snapToGrid/>
        <w:spacing w:before="0" w:beforeLines="0" w:after="0" w:afterLines="0" w:line="560" w:lineRule="exact"/>
        <w:ind w:left="0" w:leftChars="0" w:right="0" w:rightChars="0" w:firstLine="640" w:firstLineChars="0"/>
        <w:jc w:val="both"/>
        <w:textAlignment w:val="auto"/>
        <w:outlineLvl w:val="9"/>
        <w:rPr>
          <w:rFonts w:hint="eastAsia" w:ascii="仿宋_GB2312" w:hAnsi="Calibri" w:eastAsia="仿宋_GB2312" w:cs="Times New Roman"/>
          <w:sz w:val="32"/>
          <w:szCs w:val="32"/>
        </w:rPr>
      </w:pPr>
      <w:r>
        <w:rPr>
          <w:rFonts w:hint="eastAsia" w:ascii="仿宋_GB2312" w:hAnsi="Calibri" w:eastAsia="仿宋_GB2312" w:cs="Times New Roman"/>
          <w:sz w:val="32"/>
          <w:szCs w:val="32"/>
        </w:rPr>
        <w:t>（十七）与市教育局的有关职责分工。毕业生就业政策由市人力资源和社会保障局牵头，会同市教育局等部门拟订。毕业生离校前的就业指导和服务工作，由市教育局负责，毕业生离校后的就业指导和服务工作，由市人力资源和社会保障局负责。</w:t>
      </w:r>
    </w:p>
    <w:p>
      <w:pPr>
        <w:pStyle w:val="7"/>
        <w:spacing w:line="560" w:lineRule="exact"/>
        <w:ind w:firstLine="640"/>
        <w:rPr>
          <w:rFonts w:hint="default" w:ascii="黑体" w:eastAsia="黑体"/>
          <w:sz w:val="32"/>
        </w:rPr>
      </w:pPr>
      <w:r>
        <w:rPr>
          <w:rFonts w:ascii="黑体" w:eastAsia="黑体"/>
          <w:sz w:val="32"/>
        </w:rPr>
        <w:t>二、</w:t>
      </w:r>
      <w:r>
        <w:rPr>
          <w:rFonts w:hint="eastAsia" w:ascii="黑体" w:eastAsia="黑体"/>
          <w:sz w:val="32"/>
          <w:lang w:eastAsia="zh-CN"/>
        </w:rPr>
        <w:t>沈阳市人力资源和社会保障局</w:t>
      </w:r>
      <w:r>
        <w:rPr>
          <w:rFonts w:ascii="黑体" w:eastAsia="黑体"/>
          <w:sz w:val="32"/>
        </w:rPr>
        <w:t>决算单位构成</w:t>
      </w:r>
    </w:p>
    <w:p>
      <w:pPr>
        <w:pStyle w:val="7"/>
        <w:spacing w:line="560" w:lineRule="exact"/>
        <w:ind w:firstLine="64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纳入</w:t>
      </w:r>
      <w:r>
        <w:rPr>
          <w:rFonts w:hint="eastAsia" w:ascii="黑体" w:hAnsi="黑体" w:eastAsia="黑体" w:cs="黑体"/>
          <w:sz w:val="32"/>
          <w:lang w:eastAsia="zh-CN"/>
        </w:rPr>
        <w:t>沈阳市人力资源和社会保障局</w:t>
      </w:r>
      <w:r>
        <w:rPr>
          <w:rFonts w:hint="eastAsia" w:ascii="仿宋_GB2312" w:hAnsi="仿宋_GB2312" w:eastAsia="仿宋_GB2312" w:cs="仿宋_GB2312"/>
          <w:b/>
          <w:sz w:val="32"/>
          <w:szCs w:val="32"/>
        </w:rPr>
        <w:t>2021年部门决算编制范围的二级预算单位包括：</w:t>
      </w:r>
    </w:p>
    <w:p>
      <w:pPr>
        <w:pStyle w:val="7"/>
        <w:numPr>
          <w:ilvl w:val="0"/>
          <w:numId w:val="1"/>
        </w:numPr>
        <w:spacing w:line="560" w:lineRule="exact"/>
        <w:ind w:firstLine="640" w:firstLineChars="200"/>
        <w:rPr>
          <w:rFonts w:hint="eastAsia" w:ascii="仿宋_GB2312" w:hAnsi="仿宋_GB2312" w:eastAsia="仿宋_GB2312" w:cs="仿宋_GB2312"/>
          <w:sz w:val="32"/>
          <w:lang w:eastAsia="zh-CN"/>
        </w:rPr>
      </w:pPr>
      <w:r>
        <w:rPr>
          <w:rFonts w:hint="eastAsia" w:ascii="仿宋_GB2312" w:hAnsi="仿宋_GB2312" w:eastAsia="仿宋_GB2312" w:cs="仿宋_GB2312"/>
          <w:sz w:val="32"/>
          <w:lang w:eastAsia="zh-CN"/>
        </w:rPr>
        <w:t>沈阳市人力资源和社会保障局本级。</w:t>
      </w:r>
    </w:p>
    <w:p>
      <w:pPr>
        <w:pStyle w:val="7"/>
        <w:numPr>
          <w:ilvl w:val="0"/>
          <w:numId w:val="1"/>
        </w:numPr>
        <w:spacing w:line="560" w:lineRule="exact"/>
        <w:ind w:firstLine="640" w:firstLineChars="200"/>
        <w:rPr>
          <w:rFonts w:hint="eastAsia" w:ascii="仿宋_GB2312" w:hAnsi="仿宋_GB2312" w:eastAsia="仿宋_GB2312" w:cs="仿宋_GB2312"/>
          <w:sz w:val="32"/>
          <w:lang w:eastAsia="zh-CN"/>
        </w:rPr>
      </w:pPr>
      <w:r>
        <w:rPr>
          <w:rFonts w:hint="eastAsia" w:ascii="仿宋_GB2312" w:hAnsi="仿宋_GB2312" w:eastAsia="仿宋_GB2312" w:cs="仿宋_GB2312"/>
          <w:sz w:val="32"/>
          <w:lang w:eastAsia="zh-CN"/>
        </w:rPr>
        <w:t>沈阳市人力资源服务与行政执法中心。</w:t>
      </w:r>
    </w:p>
    <w:p>
      <w:pPr>
        <w:pStyle w:val="7"/>
        <w:numPr>
          <w:ilvl w:val="0"/>
          <w:numId w:val="1"/>
        </w:numPr>
        <w:spacing w:line="560" w:lineRule="exact"/>
        <w:ind w:firstLine="640" w:firstLineChars="200"/>
        <w:rPr>
          <w:rFonts w:hint="eastAsia" w:ascii="仿宋_GB2312" w:hAnsi="仿宋_GB2312" w:eastAsia="仿宋_GB2312" w:cs="仿宋_GB2312"/>
          <w:sz w:val="32"/>
          <w:lang w:eastAsia="zh-CN"/>
        </w:rPr>
      </w:pPr>
      <w:r>
        <w:rPr>
          <w:rFonts w:hint="eastAsia" w:ascii="仿宋_GB2312" w:hAnsi="仿宋_GB2312" w:eastAsia="仿宋_GB2312" w:cs="仿宋_GB2312"/>
          <w:sz w:val="32"/>
          <w:lang w:eastAsia="zh-CN"/>
        </w:rPr>
        <w:t>沈阳市社会保险事业服务中心。</w:t>
      </w:r>
    </w:p>
    <w:p>
      <w:pPr>
        <w:pStyle w:val="7"/>
        <w:spacing w:line="560" w:lineRule="exact"/>
        <w:jc w:val="center"/>
        <w:rPr>
          <w:rFonts w:hint="default"/>
          <w:b/>
          <w:sz w:val="36"/>
        </w:rPr>
      </w:pPr>
      <w:r>
        <w:rPr>
          <w:b/>
          <w:sz w:val="36"/>
        </w:rPr>
        <w:t>第二部分 2021年部门决算情况说明</w:t>
      </w:r>
    </w:p>
    <w:p>
      <w:pPr>
        <w:pStyle w:val="7"/>
        <w:spacing w:line="560" w:lineRule="exact"/>
        <w:ind w:firstLine="640" w:firstLineChars="200"/>
        <w:rPr>
          <w:rFonts w:hint="default" w:ascii="黑体" w:eastAsia="黑体"/>
          <w:sz w:val="32"/>
        </w:rPr>
      </w:pPr>
    </w:p>
    <w:p>
      <w:pPr>
        <w:pStyle w:val="7"/>
        <w:spacing w:line="560" w:lineRule="exact"/>
        <w:ind w:firstLine="640" w:firstLineChars="200"/>
        <w:rPr>
          <w:rFonts w:hint="default" w:ascii="黑体" w:eastAsia="黑体"/>
          <w:sz w:val="32"/>
        </w:rPr>
      </w:pPr>
      <w:r>
        <w:rPr>
          <w:rFonts w:ascii="黑体" w:eastAsia="黑体"/>
          <w:sz w:val="32"/>
        </w:rPr>
        <w:t>一、收入支出决算总体情况说明</w:t>
      </w:r>
    </w:p>
    <w:p>
      <w:pPr>
        <w:pStyle w:val="7"/>
        <w:spacing w:line="560" w:lineRule="exact"/>
        <w:ind w:firstLine="660"/>
        <w:rPr>
          <w:rFonts w:hint="default" w:ascii="楷体_GB2312" w:eastAsia="楷体_GB2312"/>
          <w:b/>
          <w:sz w:val="32"/>
        </w:rPr>
      </w:pPr>
      <w:r>
        <w:rPr>
          <w:rFonts w:ascii="楷体_GB2312" w:eastAsia="楷体_GB2312"/>
          <w:b/>
          <w:sz w:val="32"/>
        </w:rPr>
        <w:t>（一）收入总计</w:t>
      </w:r>
      <w:r>
        <w:rPr>
          <w:rFonts w:hint="eastAsia" w:ascii="楷体_GB2312" w:eastAsia="楷体_GB2312"/>
          <w:b/>
          <w:sz w:val="32"/>
          <w:lang w:val="en-US" w:eastAsia="zh-CN"/>
        </w:rPr>
        <w:t>68739.65</w:t>
      </w:r>
      <w:r>
        <w:rPr>
          <w:rFonts w:ascii="楷体_GB2312" w:eastAsia="楷体_GB2312"/>
          <w:b/>
          <w:sz w:val="32"/>
        </w:rPr>
        <w:t>万元，包括：</w:t>
      </w:r>
    </w:p>
    <w:p>
      <w:pPr>
        <w:pStyle w:val="7"/>
        <w:spacing w:line="560" w:lineRule="exact"/>
        <w:ind w:firstLine="660"/>
        <w:rPr>
          <w:rFonts w:hint="default" w:ascii="仿宋_GB2312" w:eastAsia="仿宋_GB2312"/>
          <w:sz w:val="32"/>
        </w:rPr>
      </w:pPr>
      <w:r>
        <w:rPr>
          <w:rFonts w:ascii="仿宋_GB2312" w:eastAsia="仿宋_GB2312"/>
          <w:sz w:val="32"/>
        </w:rPr>
        <w:t>1.财政拨款收入</w:t>
      </w:r>
      <w:r>
        <w:rPr>
          <w:rFonts w:hint="eastAsia" w:ascii="仿宋_GB2312" w:eastAsia="仿宋_GB2312"/>
          <w:sz w:val="32"/>
          <w:lang w:val="en-US" w:eastAsia="zh-CN"/>
        </w:rPr>
        <w:t>59223.93</w:t>
      </w:r>
      <w:r>
        <w:rPr>
          <w:rFonts w:ascii="仿宋_GB2312" w:eastAsia="仿宋_GB2312"/>
          <w:sz w:val="32"/>
        </w:rPr>
        <w:t>万元，占收入总计的</w:t>
      </w:r>
      <w:r>
        <w:rPr>
          <w:rFonts w:hint="eastAsia" w:ascii="仿宋_GB2312" w:eastAsia="仿宋_GB2312"/>
          <w:sz w:val="32"/>
          <w:lang w:val="en-US" w:eastAsia="zh-CN"/>
        </w:rPr>
        <w:t>86.16</w:t>
      </w:r>
      <w:r>
        <w:rPr>
          <w:rFonts w:ascii="仿宋_GB2312" w:eastAsia="仿宋_GB2312"/>
          <w:sz w:val="32"/>
        </w:rPr>
        <w:t>%。其中：一般公共预算财政拨款收入</w:t>
      </w:r>
      <w:r>
        <w:rPr>
          <w:rFonts w:hint="eastAsia" w:ascii="仿宋_GB2312" w:eastAsia="仿宋_GB2312"/>
          <w:sz w:val="32"/>
          <w:lang w:val="en-US" w:eastAsia="zh-CN"/>
        </w:rPr>
        <w:t>59223.93</w:t>
      </w:r>
      <w:r>
        <w:rPr>
          <w:rFonts w:ascii="仿宋_GB2312" w:eastAsia="仿宋_GB2312"/>
          <w:sz w:val="32"/>
        </w:rPr>
        <w:t>万元，政府性基金收入</w:t>
      </w:r>
      <w:r>
        <w:rPr>
          <w:rFonts w:hint="eastAsia" w:ascii="仿宋_GB2312" w:eastAsia="仿宋_GB2312"/>
          <w:sz w:val="32"/>
          <w:lang w:val="en-US" w:eastAsia="zh-CN"/>
        </w:rPr>
        <w:t>0</w:t>
      </w:r>
      <w:r>
        <w:rPr>
          <w:rFonts w:ascii="仿宋_GB2312" w:eastAsia="仿宋_GB2312"/>
          <w:sz w:val="32"/>
        </w:rPr>
        <w:t>万元，国有资本经营预算财政拨款收入</w:t>
      </w:r>
      <w:r>
        <w:rPr>
          <w:rFonts w:hint="eastAsia" w:ascii="仿宋_GB2312" w:eastAsia="仿宋_GB2312"/>
          <w:sz w:val="32"/>
          <w:lang w:val="en-US" w:eastAsia="zh-CN"/>
        </w:rPr>
        <w:t>0</w:t>
      </w:r>
      <w:r>
        <w:rPr>
          <w:rFonts w:ascii="仿宋_GB2312" w:eastAsia="仿宋_GB2312"/>
          <w:sz w:val="32"/>
        </w:rPr>
        <w:t>万元。</w:t>
      </w:r>
    </w:p>
    <w:p>
      <w:pPr>
        <w:pStyle w:val="7"/>
        <w:spacing w:line="560" w:lineRule="exact"/>
        <w:ind w:firstLine="660"/>
        <w:rPr>
          <w:rFonts w:ascii="仿宋_GB2312" w:eastAsia="仿宋_GB2312"/>
          <w:sz w:val="32"/>
        </w:rPr>
      </w:pPr>
      <w:r>
        <w:rPr>
          <w:rFonts w:ascii="仿宋_GB2312" w:eastAsia="仿宋_GB2312"/>
          <w:sz w:val="32"/>
        </w:rPr>
        <w:t>2.上年结转和结余</w:t>
      </w:r>
      <w:r>
        <w:rPr>
          <w:rFonts w:hint="eastAsia" w:ascii="仿宋_GB2312" w:eastAsia="仿宋_GB2312"/>
          <w:sz w:val="32"/>
          <w:lang w:val="en-US" w:eastAsia="zh-CN"/>
        </w:rPr>
        <w:t>9515.72</w:t>
      </w:r>
      <w:r>
        <w:rPr>
          <w:rFonts w:ascii="仿宋_GB2312" w:eastAsia="仿宋_GB2312"/>
          <w:sz w:val="32"/>
        </w:rPr>
        <w:t>万元，占收入总计的</w:t>
      </w:r>
      <w:r>
        <w:rPr>
          <w:rFonts w:hint="eastAsia" w:ascii="仿宋_GB2312" w:eastAsia="仿宋_GB2312"/>
          <w:sz w:val="32"/>
          <w:lang w:val="en-US" w:eastAsia="zh-CN"/>
        </w:rPr>
        <w:t>13.84</w:t>
      </w:r>
      <w:r>
        <w:rPr>
          <w:rFonts w:ascii="仿宋_GB2312" w:eastAsia="仿宋_GB2312"/>
          <w:sz w:val="32"/>
        </w:rPr>
        <w:t>%。主要是基本支出结转</w:t>
      </w:r>
      <w:r>
        <w:rPr>
          <w:rFonts w:hint="eastAsia" w:ascii="仿宋_GB2312" w:eastAsia="仿宋_GB2312"/>
          <w:sz w:val="32"/>
          <w:lang w:val="en-US" w:eastAsia="zh-CN"/>
        </w:rPr>
        <w:t>1124.31</w:t>
      </w:r>
      <w:r>
        <w:rPr>
          <w:rFonts w:ascii="仿宋_GB2312" w:eastAsia="仿宋_GB2312"/>
          <w:sz w:val="32"/>
        </w:rPr>
        <w:t>万元，项目支出结转</w:t>
      </w:r>
      <w:r>
        <w:rPr>
          <w:rFonts w:hint="eastAsia" w:ascii="仿宋_GB2312" w:eastAsia="仿宋_GB2312"/>
          <w:sz w:val="32"/>
          <w:lang w:val="en-US" w:eastAsia="zh-CN"/>
        </w:rPr>
        <w:t>8391.41</w:t>
      </w:r>
      <w:r>
        <w:rPr>
          <w:rFonts w:ascii="仿宋_GB2312" w:eastAsia="仿宋_GB2312"/>
          <w:sz w:val="32"/>
        </w:rPr>
        <w:t>万元。</w:t>
      </w:r>
    </w:p>
    <w:p>
      <w:pPr>
        <w:pStyle w:val="7"/>
        <w:spacing w:line="560" w:lineRule="exact"/>
        <w:ind w:firstLine="640" w:firstLineChars="200"/>
        <w:rPr>
          <w:rFonts w:hint="default" w:ascii="仿宋_GB2312" w:eastAsia="仿宋_GB2312"/>
          <w:color w:val="auto"/>
          <w:sz w:val="32"/>
        </w:rPr>
      </w:pPr>
      <w:r>
        <w:rPr>
          <w:rFonts w:ascii="仿宋_GB2312" w:eastAsia="仿宋_GB2312"/>
          <w:sz w:val="32"/>
        </w:rPr>
        <w:t>与上年相比，今年收入</w:t>
      </w:r>
      <w:r>
        <w:rPr>
          <w:rFonts w:hint="eastAsia" w:ascii="仿宋_GB2312" w:eastAsia="仿宋_GB2312"/>
          <w:sz w:val="32"/>
          <w:lang w:eastAsia="zh-CN"/>
        </w:rPr>
        <w:t>增加</w:t>
      </w:r>
      <w:r>
        <w:rPr>
          <w:rFonts w:hint="eastAsia" w:ascii="仿宋_GB2312" w:eastAsia="仿宋_GB2312"/>
          <w:sz w:val="32"/>
          <w:lang w:val="en-US" w:eastAsia="zh-CN"/>
        </w:rPr>
        <w:t>5661.13</w:t>
      </w:r>
      <w:r>
        <w:rPr>
          <w:rFonts w:ascii="仿宋_GB2312" w:eastAsia="仿宋_GB2312"/>
          <w:sz w:val="32"/>
        </w:rPr>
        <w:t>万元，增长9</w:t>
      </w:r>
      <w:r>
        <w:rPr>
          <w:rFonts w:hint="eastAsia" w:ascii="仿宋_GB2312" w:eastAsia="仿宋_GB2312"/>
          <w:sz w:val="32"/>
          <w:lang w:val="en-US" w:eastAsia="zh-CN"/>
        </w:rPr>
        <w:t>.00</w:t>
      </w:r>
      <w:r>
        <w:rPr>
          <w:rFonts w:ascii="仿宋_GB2312" w:eastAsia="仿宋_GB2312"/>
          <w:sz w:val="32"/>
        </w:rPr>
        <w:t>%，主要原因：</w:t>
      </w:r>
      <w:r>
        <w:rPr>
          <w:rFonts w:ascii="黑体" w:eastAsia="黑体"/>
          <w:color w:val="auto"/>
          <w:sz w:val="32"/>
        </w:rPr>
        <w:t>一是</w:t>
      </w:r>
      <w:r>
        <w:rPr>
          <w:rFonts w:hint="eastAsia" w:ascii="仿宋_GB2312" w:eastAsia="仿宋_GB2312"/>
          <w:color w:val="auto"/>
          <w:sz w:val="32"/>
          <w:lang w:eastAsia="zh-CN"/>
        </w:rPr>
        <w:t>财政“一体化”支付平台实施收付实现制，年底资金全部收回财政，结余资金未确认收入；</w:t>
      </w:r>
      <w:r>
        <w:rPr>
          <w:rFonts w:ascii="黑体" w:eastAsia="黑体"/>
          <w:color w:val="auto"/>
          <w:sz w:val="32"/>
        </w:rPr>
        <w:t>二是</w:t>
      </w:r>
      <w:r>
        <w:rPr>
          <w:rFonts w:hint="eastAsia" w:ascii="仿宋_GB2312" w:eastAsia="仿宋_GB2312"/>
          <w:color w:val="auto"/>
          <w:sz w:val="32"/>
          <w:lang w:eastAsia="zh-CN"/>
        </w:rPr>
        <w:t>就业稳企等专项资金取消</w:t>
      </w:r>
      <w:r>
        <w:rPr>
          <w:rFonts w:ascii="仿宋_GB2312" w:eastAsia="仿宋_GB2312"/>
          <w:color w:val="auto"/>
          <w:sz w:val="32"/>
        </w:rPr>
        <w:t>。</w:t>
      </w:r>
    </w:p>
    <w:p>
      <w:pPr>
        <w:pStyle w:val="7"/>
        <w:spacing w:line="560" w:lineRule="exact"/>
        <w:ind w:firstLine="660"/>
        <w:rPr>
          <w:rFonts w:hint="default" w:ascii="楷体_GB2312" w:eastAsia="楷体_GB2312"/>
          <w:b/>
          <w:sz w:val="32"/>
        </w:rPr>
      </w:pPr>
      <w:r>
        <w:rPr>
          <w:rFonts w:ascii="楷体_GB2312" w:eastAsia="楷体_GB2312"/>
          <w:b/>
          <w:sz w:val="32"/>
        </w:rPr>
        <w:t>（二）支出总计</w:t>
      </w:r>
      <w:r>
        <w:rPr>
          <w:rFonts w:hint="eastAsia" w:ascii="楷体_GB2312" w:eastAsia="楷体_GB2312"/>
          <w:b/>
          <w:sz w:val="32"/>
          <w:lang w:val="en-US" w:eastAsia="zh-CN"/>
        </w:rPr>
        <w:t>67367.74</w:t>
      </w:r>
      <w:r>
        <w:rPr>
          <w:rFonts w:ascii="楷体_GB2312" w:eastAsia="楷体_GB2312"/>
          <w:b/>
          <w:sz w:val="32"/>
        </w:rPr>
        <w:t>万元，包括：</w:t>
      </w:r>
    </w:p>
    <w:p>
      <w:pPr>
        <w:pStyle w:val="7"/>
        <w:spacing w:line="560" w:lineRule="exact"/>
        <w:ind w:firstLine="660"/>
        <w:rPr>
          <w:rFonts w:hint="default" w:ascii="仿宋_GB2312" w:eastAsia="仿宋_GB2312"/>
          <w:sz w:val="32"/>
        </w:rPr>
      </w:pPr>
      <w:r>
        <w:rPr>
          <w:rFonts w:ascii="仿宋_GB2312" w:eastAsia="仿宋_GB2312"/>
          <w:sz w:val="32"/>
        </w:rPr>
        <w:t>1.基本支出</w:t>
      </w:r>
      <w:r>
        <w:rPr>
          <w:rFonts w:hint="eastAsia" w:ascii="仿宋_GB2312" w:eastAsia="仿宋_GB2312"/>
          <w:sz w:val="32"/>
          <w:lang w:val="en-US" w:eastAsia="zh-CN"/>
        </w:rPr>
        <w:t>19616.16</w:t>
      </w:r>
      <w:r>
        <w:rPr>
          <w:rFonts w:ascii="仿宋_GB2312" w:eastAsia="仿宋_GB2312"/>
          <w:sz w:val="32"/>
        </w:rPr>
        <w:t>万元，占支出总计的</w:t>
      </w:r>
      <w:r>
        <w:rPr>
          <w:rFonts w:hint="eastAsia" w:ascii="仿宋_GB2312" w:eastAsia="仿宋_GB2312"/>
          <w:sz w:val="32"/>
          <w:lang w:val="en-US" w:eastAsia="zh-CN"/>
        </w:rPr>
        <w:t>29.1</w:t>
      </w:r>
      <w:r>
        <w:rPr>
          <w:rFonts w:ascii="仿宋_GB2312" w:eastAsia="仿宋_GB2312"/>
          <w:sz w:val="32"/>
        </w:rPr>
        <w:t>%。主要是为保障机构正常运转、完成日常工作任务而发生的各项支出，其中：工资福利支出</w:t>
      </w:r>
      <w:r>
        <w:rPr>
          <w:rFonts w:hint="eastAsia" w:ascii="仿宋_GB2312" w:eastAsia="仿宋_GB2312"/>
          <w:sz w:val="32"/>
          <w:lang w:val="en-US" w:eastAsia="zh-CN"/>
        </w:rPr>
        <w:t>11018.11</w:t>
      </w:r>
      <w:r>
        <w:rPr>
          <w:rFonts w:ascii="仿宋_GB2312" w:eastAsia="仿宋_GB2312"/>
          <w:sz w:val="32"/>
        </w:rPr>
        <w:t>万元，对个人和家庭的补助支出</w:t>
      </w:r>
      <w:r>
        <w:rPr>
          <w:rFonts w:hint="eastAsia" w:ascii="仿宋_GB2312" w:eastAsia="仿宋_GB2312"/>
          <w:sz w:val="32"/>
          <w:lang w:val="en-US" w:eastAsia="zh-CN"/>
        </w:rPr>
        <w:t>5393.44</w:t>
      </w:r>
      <w:r>
        <w:rPr>
          <w:rFonts w:ascii="仿宋_GB2312" w:eastAsia="仿宋_GB2312"/>
          <w:sz w:val="32"/>
        </w:rPr>
        <w:t>万元，商品和服务支出</w:t>
      </w:r>
      <w:r>
        <w:rPr>
          <w:rFonts w:hint="eastAsia" w:ascii="仿宋_GB2312" w:eastAsia="仿宋_GB2312"/>
          <w:sz w:val="32"/>
          <w:lang w:val="en-US" w:eastAsia="zh-CN"/>
        </w:rPr>
        <w:t>3144.06</w:t>
      </w:r>
      <w:r>
        <w:rPr>
          <w:rFonts w:ascii="仿宋_GB2312" w:eastAsia="仿宋_GB2312"/>
          <w:sz w:val="32"/>
        </w:rPr>
        <w:t>万元，</w:t>
      </w:r>
      <w:r>
        <w:rPr>
          <w:rFonts w:hint="eastAsia" w:ascii="仿宋_GB2312" w:eastAsia="仿宋_GB2312"/>
          <w:sz w:val="32"/>
          <w:highlight w:val="none"/>
        </w:rPr>
        <w:t>资本性支出</w:t>
      </w:r>
      <w:r>
        <w:rPr>
          <w:rFonts w:hint="eastAsia" w:ascii="仿宋_GB2312" w:eastAsia="仿宋_GB2312"/>
          <w:sz w:val="32"/>
          <w:highlight w:val="none"/>
          <w:lang w:val="en-US" w:eastAsia="zh-CN"/>
        </w:rPr>
        <w:t>60.54万元</w:t>
      </w:r>
      <w:r>
        <w:rPr>
          <w:rFonts w:ascii="仿宋_GB2312" w:eastAsia="仿宋_GB2312"/>
          <w:sz w:val="32"/>
        </w:rPr>
        <w:t>。</w:t>
      </w:r>
    </w:p>
    <w:p>
      <w:pPr>
        <w:pStyle w:val="7"/>
        <w:spacing w:line="560" w:lineRule="exact"/>
        <w:ind w:firstLine="660"/>
        <w:rPr>
          <w:rFonts w:hint="default" w:ascii="仿宋_GB2312" w:eastAsia="仿宋_GB2312"/>
          <w:color w:val="auto"/>
          <w:sz w:val="32"/>
        </w:rPr>
      </w:pPr>
      <w:r>
        <w:rPr>
          <w:rFonts w:ascii="仿宋_GB2312" w:eastAsia="仿宋_GB2312"/>
          <w:sz w:val="32"/>
        </w:rPr>
        <w:t>2.项目支出</w:t>
      </w:r>
      <w:r>
        <w:rPr>
          <w:rFonts w:hint="eastAsia" w:ascii="仿宋_GB2312" w:eastAsia="仿宋_GB2312"/>
          <w:sz w:val="32"/>
          <w:lang w:val="en-US" w:eastAsia="zh-CN"/>
        </w:rPr>
        <w:t>47751.58</w:t>
      </w:r>
      <w:r>
        <w:rPr>
          <w:rFonts w:ascii="仿宋_GB2312" w:eastAsia="仿宋_GB2312"/>
          <w:sz w:val="32"/>
        </w:rPr>
        <w:t>万元，占支出总计的</w:t>
      </w:r>
      <w:r>
        <w:rPr>
          <w:rFonts w:hint="eastAsia" w:ascii="仿宋_GB2312" w:eastAsia="仿宋_GB2312"/>
          <w:sz w:val="32"/>
          <w:lang w:val="en-US" w:eastAsia="zh-CN"/>
        </w:rPr>
        <w:t>70.9</w:t>
      </w:r>
      <w:r>
        <w:rPr>
          <w:rFonts w:ascii="仿宋_GB2312" w:eastAsia="仿宋_GB2312"/>
          <w:sz w:val="32"/>
        </w:rPr>
        <w:t>%。主要包括</w:t>
      </w:r>
      <w:r>
        <w:rPr>
          <w:rFonts w:hint="eastAsia" w:ascii="仿宋_GB2312" w:eastAsia="仿宋_GB2312"/>
          <w:sz w:val="32"/>
          <w:lang w:eastAsia="zh-CN"/>
        </w:rPr>
        <w:t>一是</w:t>
      </w:r>
      <w:r>
        <w:rPr>
          <w:rFonts w:hint="eastAsia" w:ascii="仿宋_GB2312" w:eastAsia="仿宋_GB2312"/>
          <w:color w:val="auto"/>
          <w:sz w:val="32"/>
        </w:rPr>
        <w:t>教育支出</w:t>
      </w:r>
      <w:r>
        <w:rPr>
          <w:rFonts w:hint="eastAsia" w:ascii="仿宋_GB2312" w:eastAsia="仿宋_GB2312"/>
          <w:color w:val="auto"/>
          <w:sz w:val="32"/>
          <w:lang w:val="en-US" w:eastAsia="zh-CN"/>
        </w:rPr>
        <w:t>7469.77万元，用于职业技术学校的免学费和助学金的补助费用；二是社会保障和就业支出35777.64万元，用于人力资源和社会保障管理事务20706.01万元， 企业关闭破产补助1391.72万元，就业补助支出13321.81万元，抚恤金65.66万元，其他社会保障和就业支出292.44万元，三是其</w:t>
      </w:r>
      <w:r>
        <w:rPr>
          <w:rFonts w:hint="eastAsia" w:ascii="仿宋_GB2312" w:eastAsia="仿宋_GB2312"/>
          <w:color w:val="auto"/>
          <w:sz w:val="32"/>
          <w:highlight w:val="none"/>
          <w:lang w:val="en-US" w:eastAsia="zh-CN"/>
        </w:rPr>
        <w:t>他节能环保支出4504.15万元等</w:t>
      </w:r>
      <w:r>
        <w:rPr>
          <w:rFonts w:hint="eastAsia" w:ascii="仿宋_GB2312" w:eastAsia="仿宋_GB2312"/>
          <w:color w:val="auto"/>
          <w:sz w:val="32"/>
          <w:highlight w:val="none"/>
        </w:rPr>
        <w:t>业务支出</w:t>
      </w:r>
      <w:r>
        <w:rPr>
          <w:rFonts w:ascii="仿宋_GB2312" w:eastAsia="仿宋_GB2312"/>
          <w:color w:val="auto"/>
          <w:sz w:val="32"/>
        </w:rPr>
        <w:t>。</w:t>
      </w:r>
    </w:p>
    <w:p>
      <w:pPr>
        <w:pStyle w:val="7"/>
        <w:spacing w:line="560" w:lineRule="exact"/>
        <w:ind w:firstLine="660"/>
        <w:rPr>
          <w:rFonts w:ascii="仿宋_GB2312" w:eastAsia="仿宋_GB2312"/>
          <w:sz w:val="32"/>
        </w:rPr>
      </w:pPr>
      <w:r>
        <w:rPr>
          <w:rFonts w:ascii="仿宋_GB2312" w:eastAsia="仿宋_GB2312"/>
          <w:sz w:val="32"/>
        </w:rPr>
        <w:t>3.上缴上级支出</w:t>
      </w:r>
      <w:r>
        <w:rPr>
          <w:rFonts w:hint="eastAsia" w:ascii="仿宋_GB2312" w:eastAsia="仿宋_GB2312"/>
          <w:sz w:val="32"/>
          <w:lang w:val="en-US" w:eastAsia="zh-CN"/>
        </w:rPr>
        <w:t>0</w:t>
      </w:r>
      <w:r>
        <w:rPr>
          <w:rFonts w:ascii="仿宋_GB2312" w:eastAsia="仿宋_GB2312"/>
          <w:sz w:val="32"/>
        </w:rPr>
        <w:t>万元，占支出总计的</w:t>
      </w:r>
      <w:r>
        <w:rPr>
          <w:rFonts w:hint="eastAsia" w:ascii="仿宋_GB2312" w:eastAsia="仿宋_GB2312"/>
          <w:sz w:val="32"/>
          <w:lang w:val="en-US" w:eastAsia="zh-CN"/>
        </w:rPr>
        <w:t>0</w:t>
      </w:r>
      <w:r>
        <w:rPr>
          <w:rFonts w:ascii="仿宋_GB2312" w:eastAsia="仿宋_GB2312"/>
          <w:sz w:val="32"/>
        </w:rPr>
        <w:t>%。</w:t>
      </w:r>
    </w:p>
    <w:p>
      <w:pPr>
        <w:pStyle w:val="7"/>
        <w:spacing w:line="560" w:lineRule="exact"/>
        <w:ind w:firstLine="660"/>
        <w:rPr>
          <w:rFonts w:ascii="仿宋_GB2312" w:eastAsia="仿宋_GB2312"/>
          <w:sz w:val="32"/>
        </w:rPr>
      </w:pPr>
      <w:r>
        <w:rPr>
          <w:rFonts w:ascii="仿宋_GB2312" w:eastAsia="仿宋_GB2312"/>
          <w:sz w:val="32"/>
        </w:rPr>
        <w:t>4.经营支出</w:t>
      </w:r>
      <w:r>
        <w:rPr>
          <w:rFonts w:hint="eastAsia" w:ascii="仿宋_GB2312" w:eastAsia="仿宋_GB2312"/>
          <w:sz w:val="32"/>
          <w:lang w:val="en-US" w:eastAsia="zh-CN"/>
        </w:rPr>
        <w:t>0</w:t>
      </w:r>
      <w:r>
        <w:rPr>
          <w:rFonts w:ascii="仿宋_GB2312" w:eastAsia="仿宋_GB2312"/>
          <w:sz w:val="32"/>
        </w:rPr>
        <w:t>万元，占支出总计的</w:t>
      </w:r>
      <w:r>
        <w:rPr>
          <w:rFonts w:hint="eastAsia" w:ascii="仿宋_GB2312" w:eastAsia="仿宋_GB2312"/>
          <w:sz w:val="32"/>
          <w:lang w:val="en-US" w:eastAsia="zh-CN"/>
        </w:rPr>
        <w:t>0</w:t>
      </w:r>
      <w:r>
        <w:rPr>
          <w:rFonts w:ascii="仿宋_GB2312" w:eastAsia="仿宋_GB2312"/>
          <w:sz w:val="32"/>
        </w:rPr>
        <w:t>%。</w:t>
      </w:r>
    </w:p>
    <w:p>
      <w:pPr>
        <w:pStyle w:val="7"/>
        <w:spacing w:line="560" w:lineRule="exact"/>
        <w:ind w:firstLine="660"/>
        <w:rPr>
          <w:rFonts w:ascii="仿宋_GB2312" w:eastAsia="仿宋_GB2312"/>
          <w:sz w:val="32"/>
        </w:rPr>
      </w:pPr>
      <w:r>
        <w:rPr>
          <w:rFonts w:ascii="仿宋_GB2312" w:eastAsia="仿宋_GB2312"/>
          <w:sz w:val="32"/>
        </w:rPr>
        <w:t>5.对附属单位补助支出</w:t>
      </w:r>
      <w:r>
        <w:rPr>
          <w:rFonts w:hint="eastAsia" w:ascii="仿宋_GB2312" w:eastAsia="仿宋_GB2312"/>
          <w:sz w:val="32"/>
          <w:lang w:val="en-US" w:eastAsia="zh-CN"/>
        </w:rPr>
        <w:t>0</w:t>
      </w:r>
      <w:r>
        <w:rPr>
          <w:rFonts w:ascii="仿宋_GB2312" w:eastAsia="仿宋_GB2312"/>
          <w:sz w:val="32"/>
        </w:rPr>
        <w:t>万元，占支出总计的</w:t>
      </w:r>
      <w:r>
        <w:rPr>
          <w:rFonts w:hint="eastAsia" w:ascii="仿宋_GB2312" w:eastAsia="仿宋_GB2312"/>
          <w:sz w:val="32"/>
          <w:lang w:val="en-US" w:eastAsia="zh-CN"/>
        </w:rPr>
        <w:t>0</w:t>
      </w:r>
      <w:r>
        <w:rPr>
          <w:rFonts w:ascii="仿宋_GB2312" w:eastAsia="仿宋_GB2312"/>
          <w:sz w:val="32"/>
        </w:rPr>
        <w:t>%。</w:t>
      </w:r>
    </w:p>
    <w:p>
      <w:pPr>
        <w:pStyle w:val="7"/>
        <w:keepNext w:val="0"/>
        <w:keepLines w:val="0"/>
        <w:pageBreakBefore w:val="0"/>
        <w:widowControl/>
        <w:kinsoku/>
        <w:wordWrap/>
        <w:overflowPunct/>
        <w:topLinePunct w:val="0"/>
        <w:autoSpaceDE/>
        <w:bidi w:val="0"/>
        <w:adjustRightInd/>
        <w:snapToGrid/>
        <w:spacing w:before="0" w:beforeLines="0" w:after="0" w:afterLines="0" w:line="560" w:lineRule="exact"/>
        <w:ind w:left="0" w:leftChars="0" w:right="0" w:rightChars="0" w:firstLine="660"/>
        <w:jc w:val="both"/>
        <w:textAlignment w:val="auto"/>
        <w:outlineLvl w:val="9"/>
        <w:rPr>
          <w:rFonts w:hint="default" w:ascii="仿宋_GB2312" w:eastAsia="仿宋_GB2312"/>
          <w:sz w:val="32"/>
          <w:highlight w:val="none"/>
        </w:rPr>
      </w:pPr>
      <w:r>
        <w:rPr>
          <w:rFonts w:ascii="仿宋_GB2312" w:eastAsia="仿宋_GB2312"/>
          <w:sz w:val="32"/>
        </w:rPr>
        <w:t>与上年相比，今年支出增加</w:t>
      </w:r>
      <w:r>
        <w:rPr>
          <w:rFonts w:hint="eastAsia" w:ascii="仿宋_GB2312" w:eastAsia="仿宋_GB2312"/>
          <w:sz w:val="32"/>
          <w:lang w:val="en-US" w:eastAsia="zh-CN"/>
        </w:rPr>
        <w:t>18941.36</w:t>
      </w:r>
      <w:r>
        <w:rPr>
          <w:rFonts w:ascii="仿宋_GB2312" w:eastAsia="仿宋_GB2312"/>
          <w:sz w:val="32"/>
        </w:rPr>
        <w:t>万元，增长</w:t>
      </w:r>
      <w:r>
        <w:rPr>
          <w:rFonts w:hint="eastAsia" w:ascii="仿宋_GB2312" w:eastAsia="仿宋_GB2312"/>
          <w:sz w:val="32"/>
          <w:lang w:val="en-US" w:eastAsia="zh-CN"/>
        </w:rPr>
        <w:t>39.1</w:t>
      </w:r>
      <w:r>
        <w:rPr>
          <w:rFonts w:ascii="仿宋_GB2312" w:eastAsia="仿宋_GB2312"/>
          <w:sz w:val="32"/>
        </w:rPr>
        <w:t>%，主要原因：</w:t>
      </w:r>
      <w:r>
        <w:rPr>
          <w:rFonts w:hint="eastAsia" w:ascii="黑体" w:eastAsia="黑体"/>
          <w:sz w:val="32"/>
          <w:highlight w:val="none"/>
        </w:rPr>
        <w:t>一是</w:t>
      </w:r>
      <w:r>
        <w:rPr>
          <w:rFonts w:hint="eastAsia" w:ascii="仿宋" w:hAnsi="仿宋" w:eastAsia="仿宋" w:cs="仿宋"/>
          <w:sz w:val="32"/>
          <w:highlight w:val="none"/>
          <w:lang w:eastAsia="zh-CN"/>
        </w:rPr>
        <w:t>基本支出增加</w:t>
      </w:r>
      <w:r>
        <w:rPr>
          <w:rFonts w:hint="eastAsia" w:ascii="仿宋" w:hAnsi="仿宋" w:eastAsia="仿宋" w:cs="仿宋"/>
          <w:sz w:val="32"/>
          <w:highlight w:val="none"/>
          <w:lang w:val="en-US" w:eastAsia="zh-CN"/>
        </w:rPr>
        <w:t>699.27万元，其中人员经费增加392.12万元，公用经费增加307.13万元；</w:t>
      </w:r>
      <w:r>
        <w:rPr>
          <w:rFonts w:hint="eastAsia" w:ascii="黑体" w:eastAsia="黑体"/>
          <w:sz w:val="32"/>
          <w:highlight w:val="none"/>
        </w:rPr>
        <w:t>二是</w:t>
      </w:r>
      <w:r>
        <w:rPr>
          <w:rFonts w:hint="eastAsia" w:ascii="仿宋" w:hAnsi="仿宋" w:eastAsia="仿宋" w:cs="仿宋"/>
          <w:sz w:val="32"/>
          <w:highlight w:val="none"/>
          <w:lang w:eastAsia="zh-CN"/>
        </w:rPr>
        <w:t>项目支出增加</w:t>
      </w:r>
      <w:r>
        <w:rPr>
          <w:rFonts w:hint="eastAsia" w:ascii="仿宋" w:hAnsi="仿宋" w:eastAsia="仿宋" w:cs="仿宋"/>
          <w:sz w:val="32"/>
          <w:highlight w:val="none"/>
          <w:lang w:val="en-US" w:eastAsia="zh-CN"/>
        </w:rPr>
        <w:t>18242.09万元，主要包括</w:t>
      </w:r>
      <w:r>
        <w:rPr>
          <w:rFonts w:hint="eastAsia" w:ascii="仿宋_GB2312" w:eastAsia="仿宋_GB2312"/>
          <w:color w:val="auto"/>
          <w:sz w:val="32"/>
        </w:rPr>
        <w:t>教育支出</w:t>
      </w:r>
      <w:r>
        <w:rPr>
          <w:rFonts w:hint="eastAsia" w:ascii="仿宋" w:hAnsi="仿宋" w:eastAsia="仿宋" w:cs="仿宋"/>
          <w:sz w:val="32"/>
          <w:highlight w:val="none"/>
          <w:lang w:eastAsia="zh-CN"/>
        </w:rPr>
        <w:t>增加</w:t>
      </w:r>
      <w:r>
        <w:rPr>
          <w:rFonts w:hint="eastAsia" w:ascii="仿宋_GB2312" w:eastAsia="仿宋_GB2312"/>
          <w:sz w:val="32"/>
          <w:highlight w:val="none"/>
          <w:lang w:val="en-US" w:eastAsia="zh-CN"/>
        </w:rPr>
        <w:t>4755.42万元，</w:t>
      </w:r>
      <w:r>
        <w:rPr>
          <w:rFonts w:hint="eastAsia" w:ascii="仿宋_GB2312" w:eastAsia="仿宋_GB2312"/>
          <w:color w:val="auto"/>
          <w:sz w:val="32"/>
          <w:lang w:val="en-US" w:eastAsia="zh-CN"/>
        </w:rPr>
        <w:t>社会保障和就业支出增加30656.16万元，</w:t>
      </w:r>
      <w:r>
        <w:rPr>
          <w:rFonts w:hint="eastAsia" w:ascii="仿宋_GB2312" w:eastAsia="仿宋_GB2312"/>
          <w:sz w:val="32"/>
          <w:highlight w:val="none"/>
          <w:lang w:val="en-US" w:eastAsia="zh-CN"/>
        </w:rPr>
        <w:t>其他节能环保支出减少2108.32万元等。</w:t>
      </w:r>
    </w:p>
    <w:p>
      <w:pPr>
        <w:pStyle w:val="7"/>
        <w:spacing w:line="560" w:lineRule="exact"/>
        <w:ind w:firstLine="660"/>
        <w:rPr>
          <w:rFonts w:hint="default" w:ascii="楷体_GB2312" w:eastAsia="楷体_GB2312"/>
          <w:b/>
          <w:sz w:val="32"/>
        </w:rPr>
      </w:pPr>
      <w:r>
        <w:rPr>
          <w:rFonts w:ascii="楷体_GB2312" w:eastAsia="楷体_GB2312"/>
          <w:b/>
          <w:sz w:val="32"/>
        </w:rPr>
        <w:t>（三）年末结转和结余</w:t>
      </w:r>
      <w:r>
        <w:rPr>
          <w:rFonts w:hint="eastAsia" w:ascii="楷体_GB2312" w:eastAsia="楷体_GB2312"/>
          <w:b/>
          <w:sz w:val="32"/>
          <w:lang w:val="en-US" w:eastAsia="zh-CN"/>
        </w:rPr>
        <w:t>1371.91</w:t>
      </w:r>
      <w:r>
        <w:rPr>
          <w:rFonts w:ascii="楷体_GB2312" w:eastAsia="楷体_GB2312"/>
          <w:b/>
          <w:sz w:val="32"/>
        </w:rPr>
        <w:t>万元</w:t>
      </w:r>
    </w:p>
    <w:p>
      <w:pPr>
        <w:pStyle w:val="7"/>
        <w:spacing w:line="560" w:lineRule="exact"/>
        <w:ind w:firstLine="660"/>
        <w:rPr>
          <w:rFonts w:hint="default" w:ascii="仿宋_GB2312" w:eastAsia="仿宋_GB2312"/>
          <w:color w:val="auto"/>
          <w:sz w:val="32"/>
        </w:rPr>
      </w:pPr>
      <w:r>
        <w:rPr>
          <w:rFonts w:ascii="仿宋_GB2312" w:eastAsia="仿宋_GB2312"/>
          <w:sz w:val="32"/>
        </w:rPr>
        <w:t>主要是项目支出结转结余。与上年相比，今年结转结余减少</w:t>
      </w:r>
      <w:r>
        <w:rPr>
          <w:rFonts w:hint="eastAsia" w:ascii="仿宋_GB2312" w:eastAsia="仿宋_GB2312"/>
          <w:sz w:val="32"/>
          <w:lang w:val="en-US" w:eastAsia="zh-CN"/>
        </w:rPr>
        <w:t>13280.17</w:t>
      </w:r>
      <w:r>
        <w:rPr>
          <w:rFonts w:ascii="仿宋_GB2312" w:eastAsia="仿宋_GB2312"/>
          <w:sz w:val="32"/>
        </w:rPr>
        <w:t>万元，降低</w:t>
      </w:r>
      <w:r>
        <w:rPr>
          <w:rFonts w:hint="eastAsia" w:ascii="仿宋_GB2312" w:eastAsia="仿宋_GB2312"/>
          <w:sz w:val="32"/>
          <w:lang w:val="en-US" w:eastAsia="zh-CN"/>
        </w:rPr>
        <w:t>90.6</w:t>
      </w:r>
      <w:r>
        <w:rPr>
          <w:rFonts w:ascii="仿宋_GB2312" w:eastAsia="仿宋_GB2312"/>
          <w:sz w:val="32"/>
        </w:rPr>
        <w:t>%，主要原因：</w:t>
      </w:r>
      <w:r>
        <w:rPr>
          <w:rFonts w:ascii="黑体" w:eastAsia="黑体"/>
          <w:color w:val="auto"/>
          <w:sz w:val="32"/>
        </w:rPr>
        <w:t>一是</w:t>
      </w:r>
      <w:r>
        <w:rPr>
          <w:rFonts w:hint="eastAsia" w:ascii="仿宋" w:hAnsi="仿宋" w:eastAsia="仿宋" w:cs="仿宋"/>
          <w:color w:val="auto"/>
          <w:sz w:val="32"/>
        </w:rPr>
        <w:t>财政“一体化”支付平台实施收付实现制，年底资金全部收回财政</w:t>
      </w:r>
      <w:r>
        <w:rPr>
          <w:rFonts w:hint="eastAsia" w:ascii="仿宋" w:hAnsi="仿宋" w:eastAsia="仿宋" w:cs="仿宋"/>
          <w:color w:val="auto"/>
          <w:sz w:val="32"/>
          <w:lang w:eastAsia="zh-CN"/>
        </w:rPr>
        <w:t>，</w:t>
      </w:r>
      <w:r>
        <w:rPr>
          <w:rFonts w:ascii="仿宋_GB2312" w:eastAsia="仿宋_GB2312"/>
          <w:sz w:val="32"/>
        </w:rPr>
        <w:t>只保留农民工应急周转金及维稳金项目支出结转1100.00万元</w:t>
      </w:r>
      <w:r>
        <w:rPr>
          <w:rFonts w:hint="eastAsia" w:ascii="仿宋" w:hAnsi="仿宋" w:eastAsia="仿宋" w:cs="仿宋"/>
          <w:color w:val="auto"/>
          <w:sz w:val="32"/>
        </w:rPr>
        <w:t>；</w:t>
      </w:r>
      <w:r>
        <w:rPr>
          <w:rFonts w:ascii="黑体" w:eastAsia="黑体"/>
          <w:color w:val="auto"/>
          <w:sz w:val="32"/>
        </w:rPr>
        <w:t>二是</w:t>
      </w:r>
      <w:r>
        <w:rPr>
          <w:rFonts w:hint="eastAsia" w:ascii="仿宋" w:hAnsi="仿宋" w:eastAsia="仿宋" w:cs="仿宋"/>
          <w:color w:val="auto"/>
          <w:sz w:val="32"/>
          <w:lang w:eastAsia="zh-CN"/>
        </w:rPr>
        <w:t>受</w:t>
      </w:r>
      <w:r>
        <w:rPr>
          <w:rFonts w:hint="eastAsia" w:ascii="仿宋_GB2312" w:eastAsia="仿宋_GB2312"/>
          <w:color w:val="auto"/>
          <w:sz w:val="32"/>
          <w:highlight w:val="none"/>
          <w:lang w:eastAsia="zh-CN"/>
        </w:rPr>
        <w:t>疫情影响的上年未支付的专项资金在本年开展项目并实现支付</w:t>
      </w:r>
      <w:r>
        <w:rPr>
          <w:rFonts w:ascii="仿宋_GB2312" w:eastAsia="仿宋_GB2312"/>
          <w:color w:val="auto"/>
          <w:sz w:val="32"/>
        </w:rPr>
        <w:t>。</w:t>
      </w:r>
    </w:p>
    <w:p>
      <w:pPr>
        <w:pStyle w:val="7"/>
        <w:spacing w:line="560" w:lineRule="exact"/>
        <w:ind w:firstLine="660"/>
        <w:rPr>
          <w:rFonts w:hint="default" w:ascii="黑体" w:eastAsia="黑体"/>
          <w:sz w:val="32"/>
        </w:rPr>
      </w:pPr>
      <w:r>
        <w:rPr>
          <w:rFonts w:ascii="黑体" w:eastAsia="黑体"/>
          <w:sz w:val="32"/>
        </w:rPr>
        <w:t>二、财政拨款收入支出决算情况说明</w:t>
      </w:r>
    </w:p>
    <w:p>
      <w:pPr>
        <w:pStyle w:val="7"/>
        <w:spacing w:line="560" w:lineRule="exact"/>
        <w:ind w:firstLine="660"/>
        <w:rPr>
          <w:rFonts w:hint="default" w:ascii="楷体_GB2312" w:eastAsia="楷体_GB2312"/>
          <w:b/>
          <w:sz w:val="32"/>
        </w:rPr>
      </w:pPr>
      <w:r>
        <w:rPr>
          <w:rFonts w:ascii="楷体_GB2312" w:eastAsia="楷体_GB2312"/>
          <w:b/>
          <w:sz w:val="32"/>
        </w:rPr>
        <w:t>（一）总体情况</w:t>
      </w:r>
    </w:p>
    <w:p>
      <w:pPr>
        <w:pStyle w:val="7"/>
        <w:keepNext w:val="0"/>
        <w:keepLines w:val="0"/>
        <w:pageBreakBefore w:val="0"/>
        <w:widowControl/>
        <w:kinsoku/>
        <w:wordWrap/>
        <w:overflowPunct/>
        <w:topLinePunct w:val="0"/>
        <w:autoSpaceDE/>
        <w:bidi w:val="0"/>
        <w:adjustRightInd/>
        <w:snapToGrid/>
        <w:spacing w:before="0" w:beforeLines="0" w:after="0" w:afterLines="0" w:line="560" w:lineRule="exact"/>
        <w:ind w:left="0" w:leftChars="0" w:right="0" w:rightChars="0" w:firstLine="660"/>
        <w:jc w:val="both"/>
        <w:textAlignment w:val="auto"/>
        <w:outlineLvl w:val="9"/>
        <w:rPr>
          <w:rFonts w:hint="default" w:ascii="仿宋_GB2312" w:eastAsia="仿宋_GB2312"/>
          <w:sz w:val="32"/>
          <w:highlight w:val="none"/>
        </w:rPr>
      </w:pPr>
      <w:r>
        <w:rPr>
          <w:rFonts w:ascii="仿宋_GB2312" w:eastAsia="仿宋_GB2312"/>
          <w:sz w:val="32"/>
        </w:rPr>
        <w:t>2021年度财政拨款支出</w:t>
      </w:r>
      <w:r>
        <w:rPr>
          <w:rFonts w:hint="eastAsia" w:ascii="仿宋_GB2312" w:eastAsia="仿宋_GB2312"/>
          <w:sz w:val="32"/>
          <w:lang w:val="en-US" w:eastAsia="zh-CN"/>
        </w:rPr>
        <w:t>67367.74</w:t>
      </w:r>
      <w:r>
        <w:rPr>
          <w:rFonts w:ascii="仿宋_GB2312" w:eastAsia="仿宋_GB2312"/>
          <w:sz w:val="32"/>
        </w:rPr>
        <w:t>万元，其中：基本支出</w:t>
      </w:r>
      <w:r>
        <w:rPr>
          <w:rFonts w:hint="eastAsia" w:ascii="仿宋_GB2312" w:eastAsia="仿宋_GB2312"/>
          <w:sz w:val="32"/>
          <w:lang w:val="en-US" w:eastAsia="zh-CN"/>
        </w:rPr>
        <w:t>19616.16</w:t>
      </w:r>
      <w:r>
        <w:rPr>
          <w:rFonts w:ascii="仿宋_GB2312" w:eastAsia="仿宋_GB2312"/>
          <w:sz w:val="32"/>
        </w:rPr>
        <w:t>万元，项目支出</w:t>
      </w:r>
      <w:r>
        <w:rPr>
          <w:rFonts w:hint="eastAsia" w:ascii="仿宋_GB2312" w:eastAsia="仿宋_GB2312"/>
          <w:sz w:val="32"/>
          <w:lang w:val="en-US" w:eastAsia="zh-CN"/>
        </w:rPr>
        <w:t>47751.58</w:t>
      </w:r>
      <w:r>
        <w:rPr>
          <w:rFonts w:ascii="仿宋_GB2312" w:eastAsia="仿宋_GB2312"/>
          <w:sz w:val="32"/>
        </w:rPr>
        <w:t>万元。与上年相比，财政拨款支出增加</w:t>
      </w:r>
      <w:r>
        <w:rPr>
          <w:rFonts w:hint="eastAsia" w:ascii="仿宋_GB2312" w:eastAsia="仿宋_GB2312"/>
          <w:sz w:val="32"/>
          <w:lang w:val="en-US" w:eastAsia="zh-CN"/>
        </w:rPr>
        <w:t>18941.36</w:t>
      </w:r>
      <w:r>
        <w:rPr>
          <w:rFonts w:ascii="仿宋_GB2312" w:eastAsia="仿宋_GB2312"/>
          <w:sz w:val="32"/>
        </w:rPr>
        <w:t>万元，增长</w:t>
      </w:r>
      <w:r>
        <w:rPr>
          <w:rFonts w:hint="eastAsia" w:ascii="仿宋_GB2312" w:eastAsia="仿宋_GB2312"/>
          <w:sz w:val="32"/>
          <w:lang w:val="en-US" w:eastAsia="zh-CN"/>
        </w:rPr>
        <w:t>39.1</w:t>
      </w:r>
      <w:r>
        <w:rPr>
          <w:rFonts w:ascii="仿宋_GB2312" w:eastAsia="仿宋_GB2312"/>
          <w:sz w:val="32"/>
        </w:rPr>
        <w:t>%，主要原因：</w:t>
      </w:r>
      <w:r>
        <w:rPr>
          <w:rFonts w:hint="eastAsia" w:ascii="黑体" w:eastAsia="黑体"/>
          <w:sz w:val="32"/>
          <w:highlight w:val="none"/>
        </w:rPr>
        <w:t>一是</w:t>
      </w:r>
      <w:r>
        <w:rPr>
          <w:rFonts w:hint="eastAsia" w:ascii="仿宋" w:hAnsi="仿宋" w:eastAsia="仿宋" w:cs="仿宋"/>
          <w:sz w:val="32"/>
          <w:highlight w:val="none"/>
          <w:lang w:eastAsia="zh-CN"/>
        </w:rPr>
        <w:t>基本支出增加</w:t>
      </w:r>
      <w:r>
        <w:rPr>
          <w:rFonts w:hint="eastAsia" w:ascii="仿宋" w:hAnsi="仿宋" w:eastAsia="仿宋" w:cs="仿宋"/>
          <w:sz w:val="32"/>
          <w:highlight w:val="none"/>
          <w:lang w:val="en-US" w:eastAsia="zh-CN"/>
        </w:rPr>
        <w:t>699.27万元，其中人员经费增加392.12万元，公用经费增加307.13万元；</w:t>
      </w:r>
      <w:r>
        <w:rPr>
          <w:rFonts w:hint="eastAsia" w:ascii="黑体" w:eastAsia="黑体"/>
          <w:sz w:val="32"/>
          <w:highlight w:val="none"/>
        </w:rPr>
        <w:t>二是</w:t>
      </w:r>
      <w:r>
        <w:rPr>
          <w:rFonts w:hint="eastAsia" w:ascii="仿宋" w:hAnsi="仿宋" w:eastAsia="仿宋" w:cs="仿宋"/>
          <w:sz w:val="32"/>
          <w:highlight w:val="none"/>
          <w:lang w:eastAsia="zh-CN"/>
        </w:rPr>
        <w:t>项目支出增加</w:t>
      </w:r>
      <w:r>
        <w:rPr>
          <w:rFonts w:hint="eastAsia" w:ascii="仿宋" w:hAnsi="仿宋" w:eastAsia="仿宋" w:cs="仿宋"/>
          <w:sz w:val="32"/>
          <w:highlight w:val="none"/>
          <w:lang w:val="en-US" w:eastAsia="zh-CN"/>
        </w:rPr>
        <w:t>18242.09万元，主要包括</w:t>
      </w:r>
      <w:r>
        <w:rPr>
          <w:rFonts w:hint="eastAsia" w:ascii="仿宋_GB2312" w:eastAsia="仿宋_GB2312"/>
          <w:color w:val="auto"/>
          <w:sz w:val="32"/>
        </w:rPr>
        <w:t>教育支出</w:t>
      </w:r>
      <w:r>
        <w:rPr>
          <w:rFonts w:hint="eastAsia" w:ascii="仿宋" w:hAnsi="仿宋" w:eastAsia="仿宋" w:cs="仿宋"/>
          <w:sz w:val="32"/>
          <w:highlight w:val="none"/>
          <w:lang w:eastAsia="zh-CN"/>
        </w:rPr>
        <w:t>增加</w:t>
      </w:r>
      <w:r>
        <w:rPr>
          <w:rFonts w:hint="eastAsia" w:ascii="仿宋_GB2312" w:eastAsia="仿宋_GB2312"/>
          <w:sz w:val="32"/>
          <w:highlight w:val="none"/>
          <w:lang w:val="en-US" w:eastAsia="zh-CN"/>
        </w:rPr>
        <w:t>4755.42万元，</w:t>
      </w:r>
      <w:r>
        <w:rPr>
          <w:rFonts w:hint="eastAsia" w:ascii="仿宋_GB2312" w:eastAsia="仿宋_GB2312"/>
          <w:color w:val="auto"/>
          <w:sz w:val="32"/>
          <w:lang w:val="en-US" w:eastAsia="zh-CN"/>
        </w:rPr>
        <w:t>社会保障和就业支出增加30656.16万元，</w:t>
      </w:r>
      <w:r>
        <w:rPr>
          <w:rFonts w:hint="eastAsia" w:ascii="仿宋_GB2312" w:eastAsia="仿宋_GB2312"/>
          <w:sz w:val="32"/>
          <w:highlight w:val="none"/>
          <w:lang w:val="en-US" w:eastAsia="zh-CN"/>
        </w:rPr>
        <w:t>其他节能环保支出减少2108.32万元等。</w:t>
      </w:r>
    </w:p>
    <w:p>
      <w:pPr>
        <w:pStyle w:val="7"/>
        <w:spacing w:line="560" w:lineRule="exact"/>
        <w:ind w:firstLine="660"/>
        <w:rPr>
          <w:rFonts w:ascii="仿宋_GB2312" w:eastAsia="仿宋_GB2312"/>
          <w:color w:val="auto"/>
          <w:sz w:val="32"/>
        </w:rPr>
      </w:pPr>
      <w:r>
        <w:rPr>
          <w:rFonts w:ascii="仿宋_GB2312" w:eastAsia="仿宋_GB2312"/>
          <w:sz w:val="32"/>
        </w:rPr>
        <w:t>与年初预算相比，</w:t>
      </w:r>
      <w:r>
        <w:rPr>
          <w:rFonts w:ascii="仿宋_GB2312" w:eastAsia="仿宋_GB2312"/>
          <w:color w:val="auto"/>
          <w:sz w:val="32"/>
        </w:rPr>
        <w:t>2021年度财政拨款支出完成年初预算的</w:t>
      </w:r>
    </w:p>
    <w:p>
      <w:pPr>
        <w:pStyle w:val="7"/>
        <w:spacing w:line="560" w:lineRule="exact"/>
        <w:rPr>
          <w:rFonts w:hint="default" w:ascii="仿宋_GB2312" w:eastAsia="仿宋_GB2312"/>
          <w:color w:val="auto"/>
          <w:sz w:val="32"/>
        </w:rPr>
      </w:pPr>
      <w:r>
        <w:rPr>
          <w:rFonts w:hint="eastAsia" w:ascii="仿宋_GB2312" w:eastAsia="仿宋_GB2312"/>
          <w:color w:val="auto"/>
          <w:sz w:val="32"/>
          <w:lang w:val="en-US" w:eastAsia="zh-CN"/>
        </w:rPr>
        <w:t>96.5</w:t>
      </w:r>
      <w:r>
        <w:rPr>
          <w:rFonts w:ascii="仿宋_GB2312" w:eastAsia="仿宋_GB2312"/>
          <w:color w:val="auto"/>
          <w:sz w:val="32"/>
        </w:rPr>
        <w:t>%，其中：基本支出完成年初预算的</w:t>
      </w:r>
      <w:r>
        <w:rPr>
          <w:rFonts w:hint="eastAsia" w:ascii="仿宋_GB2312" w:eastAsia="仿宋_GB2312"/>
          <w:color w:val="auto"/>
          <w:sz w:val="32"/>
          <w:lang w:val="en-US" w:eastAsia="zh-CN"/>
        </w:rPr>
        <w:t>120.9</w:t>
      </w:r>
      <w:r>
        <w:rPr>
          <w:rFonts w:ascii="仿宋_GB2312" w:eastAsia="仿宋_GB2312"/>
          <w:color w:val="auto"/>
          <w:sz w:val="32"/>
        </w:rPr>
        <w:t>%，项目支出完成年初预算的</w:t>
      </w:r>
      <w:r>
        <w:rPr>
          <w:rFonts w:hint="eastAsia" w:ascii="仿宋_GB2312" w:eastAsia="仿宋_GB2312"/>
          <w:color w:val="auto"/>
          <w:sz w:val="32"/>
          <w:lang w:val="en-US" w:eastAsia="zh-CN"/>
        </w:rPr>
        <w:t>89.1</w:t>
      </w:r>
      <w:r>
        <w:rPr>
          <w:rFonts w:ascii="仿宋_GB2312" w:eastAsia="仿宋_GB2312"/>
          <w:color w:val="auto"/>
          <w:sz w:val="32"/>
        </w:rPr>
        <w:t>%。</w:t>
      </w:r>
    </w:p>
    <w:p>
      <w:pPr>
        <w:spacing w:line="560" w:lineRule="exact"/>
        <w:ind w:firstLine="660"/>
        <w:rPr>
          <w:rFonts w:hint="default" w:ascii="楷体_GB2312" w:hAnsi="宋体" w:eastAsia="楷体_GB2312"/>
          <w:b/>
          <w:sz w:val="32"/>
          <w:szCs w:val="32"/>
        </w:rPr>
      </w:pPr>
      <w:r>
        <w:rPr>
          <w:rFonts w:ascii="楷体_GB2312" w:hAnsi="宋体" w:eastAsia="楷体_GB2312"/>
          <w:b/>
          <w:sz w:val="32"/>
          <w:szCs w:val="32"/>
        </w:rPr>
        <w:t>（二）一般公共预算财政拨款支出情况</w:t>
      </w:r>
    </w:p>
    <w:p>
      <w:pPr>
        <w:spacing w:line="560" w:lineRule="exact"/>
        <w:ind w:firstLine="660"/>
        <w:rPr>
          <w:rFonts w:hint="eastAsia" w:ascii="仿宋_GB2312" w:hAnsi="宋体" w:eastAsia="仿宋_GB2312"/>
          <w:sz w:val="32"/>
          <w:szCs w:val="32"/>
          <w:lang w:val="en-US" w:eastAsia="zh-CN"/>
        </w:rPr>
      </w:pPr>
      <w:r>
        <w:rPr>
          <w:rFonts w:ascii="仿宋_GB2312" w:hAnsi="宋体" w:eastAsia="仿宋_GB2312"/>
          <w:sz w:val="32"/>
          <w:szCs w:val="32"/>
        </w:rPr>
        <w:t>2021年度一般公共预算财政拨款支出</w:t>
      </w:r>
      <w:r>
        <w:rPr>
          <w:rFonts w:hint="eastAsia" w:ascii="仿宋_GB2312" w:eastAsia="仿宋_GB2312"/>
          <w:sz w:val="32"/>
          <w:lang w:val="en-US" w:eastAsia="zh-CN"/>
        </w:rPr>
        <w:t>67367.74</w:t>
      </w:r>
      <w:r>
        <w:rPr>
          <w:rFonts w:ascii="仿宋_GB2312" w:hAnsi="宋体" w:eastAsia="仿宋_GB2312"/>
          <w:sz w:val="32"/>
          <w:szCs w:val="32"/>
        </w:rPr>
        <w:t>万元，按支出功能分类科目分，包括：</w:t>
      </w:r>
      <w:r>
        <w:rPr>
          <w:rFonts w:hint="eastAsia" w:ascii="仿宋_GB2312" w:hAnsi="宋体" w:eastAsia="仿宋_GB2312"/>
          <w:sz w:val="32"/>
          <w:szCs w:val="32"/>
        </w:rPr>
        <w:t>教育支出7469.77</w:t>
      </w:r>
      <w:r>
        <w:rPr>
          <w:rFonts w:hint="eastAsia" w:ascii="仿宋_GB2312" w:hAnsi="宋体" w:eastAsia="仿宋_GB2312"/>
          <w:sz w:val="32"/>
          <w:szCs w:val="32"/>
          <w:lang w:eastAsia="zh-CN"/>
        </w:rPr>
        <w:t>万元，社会保障和就业支出</w:t>
      </w:r>
      <w:r>
        <w:rPr>
          <w:rFonts w:hint="eastAsia" w:ascii="仿宋_GB2312" w:hAnsi="宋体" w:eastAsia="仿宋_GB2312"/>
          <w:sz w:val="32"/>
          <w:szCs w:val="32"/>
          <w:lang w:val="en-US" w:eastAsia="zh-CN"/>
        </w:rPr>
        <w:t>52948.82万元，卫生健康支出546.31万元，节能环保支出4504.15万元，住房保障支出1898.68万元。</w:t>
      </w:r>
    </w:p>
    <w:p>
      <w:pPr>
        <w:spacing w:line="560" w:lineRule="exact"/>
        <w:ind w:firstLine="660"/>
        <w:rPr>
          <w:rFonts w:hint="default" w:ascii="仿宋_GB2312" w:hAnsi="宋体" w:eastAsia="仿宋_GB2312"/>
          <w:sz w:val="32"/>
          <w:szCs w:val="32"/>
        </w:rPr>
      </w:pPr>
      <w:r>
        <w:rPr>
          <w:rFonts w:ascii="仿宋_GB2312" w:hAnsi="宋体" w:eastAsia="仿宋_GB2312"/>
          <w:sz w:val="32"/>
          <w:szCs w:val="32"/>
        </w:rPr>
        <w:t>1.</w:t>
      </w:r>
      <w:r>
        <w:rPr>
          <w:rFonts w:hint="eastAsia" w:ascii="仿宋_GB2312" w:hAnsi="宋体" w:eastAsia="仿宋_GB2312"/>
          <w:sz w:val="32"/>
          <w:szCs w:val="32"/>
        </w:rPr>
        <w:t>教育支出7469.77</w:t>
      </w:r>
      <w:r>
        <w:rPr>
          <w:rFonts w:hint="eastAsia" w:ascii="仿宋_GB2312" w:hAnsi="宋体" w:eastAsia="仿宋_GB2312"/>
          <w:sz w:val="32"/>
          <w:szCs w:val="32"/>
          <w:lang w:eastAsia="zh-CN"/>
        </w:rPr>
        <w:t>万元</w:t>
      </w:r>
      <w:r>
        <w:rPr>
          <w:rFonts w:ascii="仿宋_GB2312" w:hAnsi="宋体" w:eastAsia="仿宋_GB2312"/>
          <w:sz w:val="32"/>
          <w:szCs w:val="32"/>
        </w:rPr>
        <w:t>，具体包括：</w:t>
      </w:r>
    </w:p>
    <w:p>
      <w:pPr>
        <w:spacing w:line="560" w:lineRule="exact"/>
        <w:ind w:firstLine="660"/>
        <w:rPr>
          <w:rFonts w:hint="default" w:ascii="仿宋_GB2312" w:hAnsi="宋体" w:eastAsia="仿宋_GB2312"/>
          <w:sz w:val="32"/>
          <w:szCs w:val="32"/>
        </w:rPr>
      </w:pPr>
      <w:r>
        <w:rPr>
          <w:rFonts w:ascii="仿宋_GB2312" w:hAnsi="宋体" w:eastAsia="仿宋_GB2312"/>
          <w:sz w:val="32"/>
          <w:szCs w:val="32"/>
        </w:rPr>
        <w:t>（1）</w:t>
      </w:r>
      <w:r>
        <w:rPr>
          <w:rFonts w:hint="eastAsia" w:ascii="仿宋_GB2312" w:hAnsi="宋体" w:eastAsia="仿宋_GB2312"/>
          <w:sz w:val="32"/>
          <w:szCs w:val="32"/>
        </w:rPr>
        <w:t>教育支出</w:t>
      </w:r>
      <w:r>
        <w:rPr>
          <w:rFonts w:hint="eastAsia" w:ascii="仿宋_GB2312" w:hAnsi="宋体" w:eastAsia="仿宋_GB2312"/>
          <w:sz w:val="32"/>
          <w:szCs w:val="32"/>
          <w:lang w:eastAsia="zh-CN"/>
        </w:rPr>
        <w:t>（类）职业教育（款） 技校教育（项）</w:t>
      </w:r>
      <w:r>
        <w:rPr>
          <w:rFonts w:hint="eastAsia" w:ascii="仿宋_GB2312" w:hAnsi="宋体" w:eastAsia="仿宋_GB2312"/>
          <w:sz w:val="32"/>
          <w:szCs w:val="32"/>
          <w:lang w:val="en-US" w:eastAsia="zh-CN"/>
        </w:rPr>
        <w:t>1152.50</w:t>
      </w:r>
      <w:r>
        <w:rPr>
          <w:rFonts w:hint="eastAsia" w:ascii="仿宋_GB2312" w:hAnsi="宋体" w:eastAsia="仿宋_GB2312"/>
          <w:sz w:val="32"/>
          <w:szCs w:val="32"/>
          <w:lang w:eastAsia="zh-CN"/>
        </w:rPr>
        <w:t>万元，</w:t>
      </w:r>
      <w:r>
        <w:rPr>
          <w:rFonts w:hint="eastAsia" w:ascii="仿宋_GB2312" w:hAnsi="宋体" w:eastAsia="仿宋_GB2312"/>
          <w:sz w:val="32"/>
          <w:szCs w:val="32"/>
        </w:rPr>
        <w:t>教育支出</w:t>
      </w:r>
      <w:r>
        <w:rPr>
          <w:rFonts w:hint="eastAsia" w:ascii="仿宋_GB2312" w:hAnsi="宋体" w:eastAsia="仿宋_GB2312"/>
          <w:sz w:val="32"/>
          <w:szCs w:val="32"/>
          <w:lang w:eastAsia="zh-CN"/>
        </w:rPr>
        <w:t>（类）教育费附加安排的支出（款）其他教育费附加安排的支出（项）</w:t>
      </w:r>
      <w:r>
        <w:rPr>
          <w:rFonts w:hint="eastAsia" w:ascii="仿宋_GB2312" w:hAnsi="宋体" w:eastAsia="仿宋_GB2312"/>
          <w:sz w:val="32"/>
          <w:szCs w:val="32"/>
          <w:lang w:val="en-US" w:eastAsia="zh-CN"/>
        </w:rPr>
        <w:t>6317.27万元，</w:t>
      </w:r>
      <w:r>
        <w:rPr>
          <w:rFonts w:ascii="仿宋_GB2312" w:hAnsi="宋体" w:eastAsia="仿宋_GB2312"/>
          <w:sz w:val="32"/>
          <w:szCs w:val="32"/>
        </w:rPr>
        <w:t>主要是</w:t>
      </w:r>
      <w:r>
        <w:rPr>
          <w:rFonts w:hint="eastAsia" w:ascii="仿宋_GB2312" w:hAnsi="宋体" w:eastAsia="仿宋_GB2312"/>
          <w:sz w:val="32"/>
          <w:szCs w:val="32"/>
          <w:lang w:eastAsia="zh-CN"/>
        </w:rPr>
        <w:t>中职技工院校的免学费、助学金</w:t>
      </w:r>
      <w:r>
        <w:rPr>
          <w:rFonts w:ascii="仿宋_GB2312" w:hAnsi="宋体" w:eastAsia="仿宋_GB2312"/>
          <w:sz w:val="32"/>
          <w:szCs w:val="32"/>
        </w:rPr>
        <w:t>支出，完成年初预算的</w:t>
      </w:r>
      <w:r>
        <w:rPr>
          <w:rFonts w:hint="eastAsia" w:ascii="仿宋_GB2312" w:hAnsi="宋体" w:eastAsia="仿宋_GB2312"/>
          <w:sz w:val="32"/>
          <w:szCs w:val="32"/>
          <w:lang w:val="en-US" w:eastAsia="zh-CN"/>
        </w:rPr>
        <w:t>161.99</w:t>
      </w:r>
      <w:r>
        <w:rPr>
          <w:rFonts w:ascii="仿宋_GB2312" w:hAnsi="宋体" w:eastAsia="仿宋_GB2312"/>
          <w:sz w:val="32"/>
          <w:szCs w:val="32"/>
        </w:rPr>
        <w:t>%，决算数大于年初预算数的原因主要是</w:t>
      </w:r>
      <w:r>
        <w:rPr>
          <w:rFonts w:hint="eastAsia" w:ascii="仿宋_GB2312" w:hAnsi="宋体" w:eastAsia="仿宋_GB2312"/>
          <w:sz w:val="32"/>
          <w:szCs w:val="32"/>
          <w:lang w:eastAsia="zh-CN"/>
        </w:rPr>
        <w:t>在本年补发了</w:t>
      </w:r>
      <w:r>
        <w:rPr>
          <w:rFonts w:hint="eastAsia" w:ascii="仿宋_GB2312" w:hAnsi="宋体" w:eastAsia="仿宋_GB2312"/>
          <w:sz w:val="32"/>
          <w:szCs w:val="32"/>
          <w:lang w:val="en-US" w:eastAsia="zh-CN"/>
        </w:rPr>
        <w:t>2020年度的免学费、助学金补助费用</w:t>
      </w:r>
      <w:r>
        <w:rPr>
          <w:rFonts w:ascii="仿宋_GB2312" w:hAnsi="宋体" w:eastAsia="仿宋_GB2312"/>
          <w:sz w:val="32"/>
          <w:szCs w:val="32"/>
        </w:rPr>
        <w:t>。</w:t>
      </w:r>
    </w:p>
    <w:p>
      <w:pPr>
        <w:spacing w:line="560" w:lineRule="exact"/>
        <w:ind w:firstLine="660"/>
        <w:rPr>
          <w:rFonts w:ascii="仿宋_GB2312" w:hAnsi="宋体" w:eastAsia="仿宋_GB2312"/>
          <w:sz w:val="32"/>
          <w:szCs w:val="32"/>
        </w:rPr>
      </w:pPr>
      <w:r>
        <w:rPr>
          <w:rFonts w:ascii="仿宋_GB2312" w:hAnsi="宋体" w:eastAsia="仿宋_GB2312"/>
          <w:sz w:val="32"/>
          <w:szCs w:val="32"/>
        </w:rPr>
        <w:t>2.</w:t>
      </w:r>
      <w:r>
        <w:rPr>
          <w:rFonts w:hint="eastAsia" w:ascii="仿宋_GB2312" w:hAnsi="宋体" w:eastAsia="仿宋_GB2312"/>
          <w:sz w:val="32"/>
          <w:szCs w:val="32"/>
          <w:lang w:eastAsia="zh-CN"/>
        </w:rPr>
        <w:t>社会保障和就业支出</w:t>
      </w:r>
      <w:r>
        <w:rPr>
          <w:rFonts w:hint="eastAsia" w:ascii="仿宋_GB2312" w:hAnsi="宋体" w:eastAsia="仿宋_GB2312"/>
          <w:sz w:val="32"/>
          <w:szCs w:val="32"/>
          <w:lang w:val="en-US" w:eastAsia="zh-CN"/>
        </w:rPr>
        <w:t>52948.80万元，</w:t>
      </w:r>
      <w:r>
        <w:rPr>
          <w:rFonts w:ascii="仿宋_GB2312" w:hAnsi="宋体" w:eastAsia="仿宋_GB2312"/>
          <w:sz w:val="32"/>
          <w:szCs w:val="32"/>
        </w:rPr>
        <w:t>具体包括：</w:t>
      </w:r>
    </w:p>
    <w:p>
      <w:pPr>
        <w:pStyle w:val="7"/>
        <w:spacing w:line="560" w:lineRule="exact"/>
        <w:ind w:firstLine="660"/>
        <w:rPr>
          <w:rFonts w:ascii="仿宋_GB2312" w:hAnsi="宋体" w:eastAsia="仿宋_GB2312"/>
          <w:sz w:val="32"/>
          <w:szCs w:val="32"/>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1</w:t>
      </w:r>
      <w:r>
        <w:rPr>
          <w:rFonts w:hint="eastAsia" w:ascii="仿宋_GB2312" w:hAnsi="宋体" w:eastAsia="仿宋_GB2312"/>
          <w:sz w:val="32"/>
          <w:szCs w:val="32"/>
          <w:lang w:eastAsia="zh-CN"/>
        </w:rPr>
        <w:t>）社会保障和就业支出（类）人力资源和社会保障管理事务（款）行政运行（项）</w:t>
      </w:r>
      <w:r>
        <w:rPr>
          <w:rFonts w:hint="eastAsia" w:ascii="仿宋_GB2312" w:hAnsi="宋体" w:eastAsia="仿宋_GB2312"/>
          <w:sz w:val="32"/>
          <w:szCs w:val="32"/>
          <w:lang w:val="en-US" w:eastAsia="zh-CN"/>
        </w:rPr>
        <w:t>3823.00万元，</w:t>
      </w:r>
      <w:r>
        <w:rPr>
          <w:rFonts w:ascii="仿宋_GB2312" w:eastAsia="仿宋_GB2312"/>
          <w:sz w:val="32"/>
        </w:rPr>
        <w:t>主要是为保障机构正常运转、完成日常工作任务而发生的各项支出，其中：工资福利支出</w:t>
      </w:r>
      <w:r>
        <w:rPr>
          <w:rFonts w:hint="eastAsia" w:ascii="仿宋_GB2312" w:eastAsia="仿宋_GB2312"/>
          <w:sz w:val="32"/>
          <w:lang w:val="en-US" w:eastAsia="zh-CN"/>
        </w:rPr>
        <w:t>2194.87</w:t>
      </w:r>
      <w:r>
        <w:rPr>
          <w:rFonts w:ascii="仿宋_GB2312" w:eastAsia="仿宋_GB2312"/>
          <w:sz w:val="32"/>
        </w:rPr>
        <w:t>万元，对个人和家庭的补助支出</w:t>
      </w:r>
      <w:r>
        <w:rPr>
          <w:rFonts w:hint="eastAsia" w:ascii="仿宋_GB2312" w:eastAsia="仿宋_GB2312"/>
          <w:sz w:val="32"/>
          <w:lang w:val="en-US" w:eastAsia="zh-CN"/>
        </w:rPr>
        <w:t>809.35</w:t>
      </w:r>
      <w:r>
        <w:rPr>
          <w:rFonts w:ascii="仿宋_GB2312" w:eastAsia="仿宋_GB2312"/>
          <w:sz w:val="32"/>
        </w:rPr>
        <w:t>万元，商品和服务支出</w:t>
      </w:r>
      <w:r>
        <w:rPr>
          <w:rFonts w:hint="eastAsia" w:ascii="仿宋_GB2312" w:eastAsia="仿宋_GB2312"/>
          <w:sz w:val="32"/>
          <w:lang w:val="en-US" w:eastAsia="zh-CN"/>
        </w:rPr>
        <w:t>797.00</w:t>
      </w:r>
      <w:r>
        <w:rPr>
          <w:rFonts w:ascii="仿宋_GB2312" w:eastAsia="仿宋_GB2312"/>
          <w:sz w:val="32"/>
        </w:rPr>
        <w:t>万元，</w:t>
      </w:r>
      <w:r>
        <w:rPr>
          <w:rFonts w:hint="eastAsia" w:ascii="仿宋_GB2312" w:eastAsia="仿宋_GB2312"/>
          <w:sz w:val="32"/>
          <w:highlight w:val="none"/>
        </w:rPr>
        <w:t>资本性支出</w:t>
      </w:r>
      <w:r>
        <w:rPr>
          <w:rFonts w:hint="eastAsia" w:ascii="仿宋_GB2312" w:eastAsia="仿宋_GB2312"/>
          <w:sz w:val="32"/>
          <w:highlight w:val="none"/>
          <w:lang w:val="en-US" w:eastAsia="zh-CN"/>
        </w:rPr>
        <w:t>21.78万元</w:t>
      </w:r>
      <w:r>
        <w:rPr>
          <w:rFonts w:ascii="仿宋_GB2312" w:hAnsi="宋体" w:eastAsia="仿宋_GB2312"/>
          <w:sz w:val="32"/>
          <w:szCs w:val="32"/>
        </w:rPr>
        <w:t>，完成年初预算的</w:t>
      </w:r>
      <w:r>
        <w:rPr>
          <w:rFonts w:hint="eastAsia" w:ascii="仿宋_GB2312" w:eastAsia="仿宋_GB2312"/>
          <w:sz w:val="32"/>
          <w:szCs w:val="32"/>
          <w:lang w:val="en-US" w:eastAsia="zh-CN"/>
        </w:rPr>
        <w:t>125.37</w:t>
      </w:r>
      <w:r>
        <w:rPr>
          <w:rFonts w:ascii="仿宋_GB2312" w:hAnsi="宋体" w:eastAsia="仿宋_GB2312"/>
          <w:sz w:val="32"/>
          <w:szCs w:val="32"/>
        </w:rPr>
        <w:t>%，决算数大于年初预算数的原因主要是</w:t>
      </w:r>
      <w:r>
        <w:rPr>
          <w:rFonts w:hint="eastAsia" w:ascii="仿宋_GB2312" w:hAnsi="宋体" w:eastAsia="仿宋_GB2312"/>
          <w:sz w:val="32"/>
          <w:szCs w:val="32"/>
          <w:lang w:eastAsia="zh-CN"/>
        </w:rPr>
        <w:t>在本年补发了</w:t>
      </w:r>
      <w:r>
        <w:rPr>
          <w:rFonts w:hint="eastAsia" w:ascii="仿宋_GB2312" w:hAnsi="宋体" w:eastAsia="仿宋_GB2312"/>
          <w:sz w:val="32"/>
          <w:szCs w:val="32"/>
          <w:lang w:val="en-US" w:eastAsia="zh-CN"/>
        </w:rPr>
        <w:t>2020年度</w:t>
      </w:r>
      <w:r>
        <w:rPr>
          <w:rFonts w:hint="eastAsia" w:ascii="仿宋_GB2312" w:eastAsia="仿宋_GB2312"/>
          <w:sz w:val="32"/>
          <w:szCs w:val="32"/>
          <w:lang w:val="en-US" w:eastAsia="zh-CN"/>
        </w:rPr>
        <w:t>的部分工资福利，同时对于办公大楼进行了维修改造</w:t>
      </w:r>
      <w:r>
        <w:rPr>
          <w:rFonts w:ascii="仿宋_GB2312" w:hAnsi="宋体" w:eastAsia="仿宋_GB2312"/>
          <w:sz w:val="32"/>
          <w:szCs w:val="32"/>
        </w:rPr>
        <w:t>。</w:t>
      </w:r>
    </w:p>
    <w:p>
      <w:pPr>
        <w:pStyle w:val="7"/>
        <w:spacing w:line="560" w:lineRule="exact"/>
        <w:ind w:firstLine="660"/>
        <w:rPr>
          <w:rFonts w:hint="eastAsia" w:ascii="仿宋_GB2312" w:hAnsi="宋体" w:eastAsia="仿宋_GB2312"/>
          <w:sz w:val="32"/>
          <w:szCs w:val="32"/>
          <w:highlight w:val="none"/>
        </w:rPr>
      </w:pPr>
      <w:r>
        <w:rPr>
          <w:rFonts w:hint="eastAsia" w:ascii="仿宋_GB2312" w:eastAsia="仿宋_GB2312"/>
          <w:sz w:val="32"/>
          <w:szCs w:val="32"/>
          <w:lang w:eastAsia="zh-CN"/>
        </w:rPr>
        <w:t>（</w:t>
      </w:r>
      <w:r>
        <w:rPr>
          <w:rFonts w:hint="eastAsia" w:ascii="仿宋_GB2312" w:eastAsia="仿宋_GB2312"/>
          <w:sz w:val="32"/>
          <w:szCs w:val="32"/>
          <w:lang w:val="en-US" w:eastAsia="zh-CN"/>
        </w:rPr>
        <w:t>2</w:t>
      </w:r>
      <w:r>
        <w:rPr>
          <w:rFonts w:hint="eastAsia" w:ascii="仿宋_GB2312" w:eastAsia="仿宋_GB2312"/>
          <w:sz w:val="32"/>
          <w:szCs w:val="32"/>
          <w:lang w:eastAsia="zh-CN"/>
        </w:rPr>
        <w:t>）</w:t>
      </w:r>
      <w:r>
        <w:rPr>
          <w:rFonts w:hint="eastAsia" w:ascii="仿宋_GB2312" w:hAnsi="宋体" w:eastAsia="仿宋_GB2312"/>
          <w:sz w:val="32"/>
          <w:szCs w:val="32"/>
          <w:lang w:eastAsia="zh-CN"/>
        </w:rPr>
        <w:t>社会保障和就业支出（类）人力资源和社会保障管理事务（款） 一般行政管理事务（项）</w:t>
      </w:r>
      <w:r>
        <w:rPr>
          <w:rFonts w:hint="eastAsia" w:ascii="仿宋_GB2312" w:eastAsia="仿宋_GB2312"/>
          <w:sz w:val="32"/>
          <w:szCs w:val="32"/>
          <w:lang w:val="en-US" w:eastAsia="zh-CN"/>
        </w:rPr>
        <w:t>337.12</w:t>
      </w:r>
      <w:r>
        <w:rPr>
          <w:rFonts w:hint="eastAsia" w:ascii="仿宋_GB2312" w:hAnsi="宋体" w:eastAsia="仿宋_GB2312"/>
          <w:sz w:val="32"/>
          <w:szCs w:val="32"/>
          <w:lang w:val="en-US" w:eastAsia="zh-CN"/>
        </w:rPr>
        <w:t>万元，</w:t>
      </w:r>
      <w:r>
        <w:rPr>
          <w:rFonts w:hint="eastAsia" w:ascii="仿宋_GB2312" w:hAnsi="宋体" w:eastAsia="仿宋_GB2312"/>
          <w:sz w:val="32"/>
          <w:szCs w:val="32"/>
          <w:highlight w:val="none"/>
        </w:rPr>
        <w:t>主要是12333电话咨询中心经费</w:t>
      </w:r>
      <w:r>
        <w:rPr>
          <w:rFonts w:hint="eastAsia" w:ascii="仿宋_GB2312" w:hAnsi="宋体" w:eastAsia="仿宋_GB2312"/>
          <w:sz w:val="32"/>
          <w:szCs w:val="32"/>
          <w:highlight w:val="none"/>
          <w:lang w:eastAsia="zh-CN"/>
        </w:rPr>
        <w:t>支出</w:t>
      </w:r>
      <w:r>
        <w:rPr>
          <w:rFonts w:hint="eastAsia" w:ascii="仿宋_GB2312" w:eastAsia="仿宋_GB2312"/>
          <w:sz w:val="32"/>
          <w:szCs w:val="32"/>
          <w:highlight w:val="none"/>
          <w:lang w:val="en-US" w:eastAsia="zh-CN"/>
        </w:rPr>
        <w:t>182.87</w:t>
      </w:r>
      <w:r>
        <w:rPr>
          <w:rFonts w:hint="eastAsia" w:ascii="仿宋_GB2312" w:hAnsi="宋体" w:eastAsia="仿宋_GB2312"/>
          <w:sz w:val="32"/>
          <w:szCs w:val="32"/>
          <w:highlight w:val="none"/>
          <w:lang w:val="en-US" w:eastAsia="zh-CN"/>
        </w:rPr>
        <w:t>万元，高级专业技术资格评审费支出</w:t>
      </w:r>
      <w:r>
        <w:rPr>
          <w:rFonts w:hint="eastAsia" w:ascii="仿宋_GB2312" w:eastAsia="仿宋_GB2312"/>
          <w:sz w:val="32"/>
          <w:szCs w:val="32"/>
          <w:highlight w:val="none"/>
          <w:lang w:val="en-US" w:eastAsia="zh-CN"/>
        </w:rPr>
        <w:t>40.12</w:t>
      </w:r>
      <w:r>
        <w:rPr>
          <w:rFonts w:hint="eastAsia" w:ascii="仿宋_GB2312" w:hAnsi="宋体" w:eastAsia="仿宋_GB2312"/>
          <w:sz w:val="32"/>
          <w:szCs w:val="32"/>
          <w:highlight w:val="none"/>
          <w:lang w:val="en-US" w:eastAsia="zh-CN"/>
        </w:rPr>
        <w:t>万元</w:t>
      </w:r>
      <w:r>
        <w:rPr>
          <w:rFonts w:hint="eastAsia" w:ascii="仿宋_GB2312" w:hAnsi="宋体" w:eastAsia="仿宋_GB2312"/>
          <w:sz w:val="32"/>
          <w:szCs w:val="32"/>
          <w:highlight w:val="none"/>
        </w:rPr>
        <w:t>等支出，完成年初预算的</w:t>
      </w:r>
      <w:r>
        <w:rPr>
          <w:rFonts w:hint="eastAsia" w:ascii="仿宋_GB2312" w:eastAsia="仿宋_GB2312"/>
          <w:sz w:val="32"/>
          <w:szCs w:val="32"/>
          <w:highlight w:val="none"/>
          <w:lang w:val="en-US" w:eastAsia="zh-CN"/>
        </w:rPr>
        <w:t>87.46</w:t>
      </w:r>
      <w:r>
        <w:rPr>
          <w:rFonts w:hint="eastAsia" w:ascii="仿宋_GB2312" w:hAnsi="宋体" w:eastAsia="仿宋_GB2312"/>
          <w:sz w:val="32"/>
          <w:szCs w:val="32"/>
          <w:highlight w:val="none"/>
        </w:rPr>
        <w:t>%，决算数小于年初预算数的原因主要是</w:t>
      </w:r>
      <w:r>
        <w:rPr>
          <w:rFonts w:hint="eastAsia" w:ascii="仿宋_GB2312" w:hAnsi="宋体" w:eastAsia="仿宋_GB2312"/>
          <w:sz w:val="32"/>
          <w:szCs w:val="32"/>
          <w:highlight w:val="none"/>
          <w:lang w:eastAsia="zh-CN"/>
        </w:rPr>
        <w:t>个别项目</w:t>
      </w:r>
      <w:r>
        <w:rPr>
          <w:rFonts w:hint="eastAsia" w:ascii="仿宋_GB2312" w:eastAsia="仿宋_GB2312"/>
          <w:sz w:val="32"/>
          <w:szCs w:val="32"/>
          <w:highlight w:val="none"/>
          <w:lang w:eastAsia="zh-CN"/>
        </w:rPr>
        <w:t>存在</w:t>
      </w:r>
      <w:r>
        <w:rPr>
          <w:rFonts w:hint="eastAsia" w:ascii="仿宋_GB2312" w:eastAsia="仿宋_GB2312"/>
          <w:sz w:val="32"/>
          <w:szCs w:val="32"/>
          <w:highlight w:val="none"/>
          <w:lang w:val="en-US" w:eastAsia="zh-CN"/>
        </w:rPr>
        <w:t>2020年底的</w:t>
      </w:r>
      <w:r>
        <w:rPr>
          <w:rFonts w:hint="eastAsia" w:ascii="仿宋_GB2312" w:hAnsi="宋体" w:eastAsia="仿宋_GB2312"/>
          <w:sz w:val="32"/>
          <w:szCs w:val="32"/>
          <w:highlight w:val="none"/>
          <w:lang w:eastAsia="zh-CN"/>
        </w:rPr>
        <w:t>结转资金</w:t>
      </w:r>
      <w:r>
        <w:rPr>
          <w:rFonts w:hint="eastAsia" w:ascii="仿宋_GB2312" w:hAnsi="宋体" w:eastAsia="仿宋_GB2312"/>
          <w:sz w:val="32"/>
          <w:szCs w:val="32"/>
          <w:highlight w:val="none"/>
        </w:rPr>
        <w:t>。</w:t>
      </w:r>
    </w:p>
    <w:p>
      <w:pPr>
        <w:keepNext w:val="0"/>
        <w:keepLines w:val="0"/>
        <w:pageBreakBefore w:val="0"/>
        <w:kinsoku/>
        <w:wordWrap/>
        <w:overflowPunct/>
        <w:topLinePunct w:val="0"/>
        <w:autoSpaceDE/>
        <w:bidi w:val="0"/>
        <w:adjustRightInd/>
        <w:snapToGrid/>
        <w:spacing w:before="0" w:beforeLines="0" w:after="0" w:afterLines="0" w:line="560" w:lineRule="exact"/>
        <w:ind w:left="0" w:leftChars="0" w:right="0" w:rightChars="0" w:firstLine="660"/>
        <w:textAlignment w:val="auto"/>
        <w:outlineLvl w:val="9"/>
        <w:rPr>
          <w:rFonts w:hint="eastAsia" w:ascii="仿宋_GB2312" w:hAnsi="宋体" w:eastAsia="仿宋_GB2312"/>
          <w:sz w:val="32"/>
          <w:szCs w:val="32"/>
          <w:highlight w:val="none"/>
        </w:rPr>
      </w:pPr>
      <w:r>
        <w:rPr>
          <w:rFonts w:hint="eastAsia" w:ascii="仿宋_GB2312" w:eastAsia="仿宋_GB2312"/>
          <w:sz w:val="32"/>
          <w:szCs w:val="32"/>
          <w:highlight w:val="none"/>
          <w:lang w:eastAsia="zh-CN"/>
        </w:rPr>
        <w:t>（</w:t>
      </w: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lang w:eastAsia="zh-CN"/>
        </w:rPr>
        <w:t>）</w:t>
      </w:r>
      <w:r>
        <w:rPr>
          <w:rFonts w:hint="eastAsia" w:ascii="仿宋_GB2312" w:hAnsi="宋体" w:eastAsia="仿宋_GB2312"/>
          <w:sz w:val="32"/>
          <w:szCs w:val="32"/>
          <w:lang w:eastAsia="zh-CN"/>
        </w:rPr>
        <w:t>社会保障和就业支出（类）人力资源和社会保障管理事务（款） 机关服务（项）</w:t>
      </w:r>
      <w:r>
        <w:rPr>
          <w:rFonts w:hint="eastAsia" w:ascii="仿宋_GB2312" w:eastAsia="仿宋_GB2312"/>
          <w:sz w:val="32"/>
          <w:szCs w:val="32"/>
          <w:lang w:val="en-US" w:eastAsia="zh-CN"/>
        </w:rPr>
        <w:t>59.16</w:t>
      </w:r>
      <w:r>
        <w:rPr>
          <w:rFonts w:hint="eastAsia" w:ascii="仿宋_GB2312" w:hAnsi="宋体" w:eastAsia="仿宋_GB2312"/>
          <w:sz w:val="32"/>
          <w:szCs w:val="32"/>
          <w:lang w:val="en-US" w:eastAsia="zh-CN"/>
        </w:rPr>
        <w:t>万元，</w:t>
      </w:r>
      <w:r>
        <w:rPr>
          <w:rFonts w:hint="eastAsia" w:ascii="仿宋_GB2312" w:hAnsi="宋体" w:eastAsia="仿宋_GB2312"/>
          <w:sz w:val="32"/>
          <w:szCs w:val="32"/>
          <w:highlight w:val="none"/>
        </w:rPr>
        <w:t>主要是人才大厦大楼</w:t>
      </w:r>
      <w:r>
        <w:rPr>
          <w:rFonts w:hint="eastAsia" w:ascii="仿宋_GB2312" w:hAnsi="宋体" w:eastAsia="仿宋_GB2312"/>
          <w:sz w:val="32"/>
          <w:szCs w:val="32"/>
          <w:highlight w:val="none"/>
          <w:lang w:eastAsia="zh-CN"/>
        </w:rPr>
        <w:t>维护修缮</w:t>
      </w:r>
      <w:r>
        <w:rPr>
          <w:rFonts w:hint="eastAsia" w:ascii="仿宋_GB2312" w:hAnsi="宋体" w:eastAsia="仿宋_GB2312"/>
          <w:sz w:val="32"/>
          <w:szCs w:val="32"/>
          <w:highlight w:val="none"/>
          <w:lang w:val="en-US" w:eastAsia="zh-CN"/>
        </w:rPr>
        <w:t>22.08万元，物业管理费37.08万元</w:t>
      </w:r>
      <w:r>
        <w:rPr>
          <w:rFonts w:hint="eastAsia" w:ascii="仿宋_GB2312" w:hAnsi="宋体" w:eastAsia="仿宋_GB2312"/>
          <w:sz w:val="32"/>
          <w:szCs w:val="32"/>
          <w:highlight w:val="none"/>
        </w:rPr>
        <w:t>，完成年初预算的</w:t>
      </w:r>
      <w:r>
        <w:rPr>
          <w:rFonts w:hint="eastAsia" w:ascii="仿宋_GB2312" w:hAnsi="宋体" w:eastAsia="仿宋_GB2312"/>
          <w:sz w:val="32"/>
          <w:szCs w:val="32"/>
          <w:highlight w:val="none"/>
          <w:lang w:val="en-US" w:eastAsia="zh-CN"/>
        </w:rPr>
        <w:t>91.27</w:t>
      </w:r>
      <w:r>
        <w:rPr>
          <w:rFonts w:hint="eastAsia" w:ascii="仿宋_GB2312" w:hAnsi="宋体" w:eastAsia="仿宋_GB2312"/>
          <w:sz w:val="32"/>
          <w:szCs w:val="32"/>
          <w:highlight w:val="none"/>
        </w:rPr>
        <w:t>%，决算数小于年初预算数的原因主要是</w:t>
      </w:r>
      <w:r>
        <w:rPr>
          <w:rFonts w:hint="eastAsia" w:ascii="仿宋_GB2312" w:hAnsi="宋体" w:eastAsia="仿宋_GB2312"/>
          <w:sz w:val="32"/>
          <w:szCs w:val="32"/>
          <w:highlight w:val="none"/>
          <w:lang w:eastAsia="zh-CN"/>
        </w:rPr>
        <w:t>人社大楼电梯检修的部分费用应检修公司的要求跨年支付，并已经于</w:t>
      </w:r>
      <w:r>
        <w:rPr>
          <w:rFonts w:hint="eastAsia" w:ascii="仿宋_GB2312" w:hAnsi="宋体" w:eastAsia="仿宋_GB2312"/>
          <w:sz w:val="32"/>
          <w:szCs w:val="32"/>
          <w:highlight w:val="none"/>
          <w:lang w:val="en-US" w:eastAsia="zh-CN"/>
        </w:rPr>
        <w:t>2022年1月份支付完成</w:t>
      </w:r>
      <w:r>
        <w:rPr>
          <w:rFonts w:hint="eastAsia" w:ascii="仿宋_GB2312" w:hAnsi="宋体" w:eastAsia="仿宋_GB2312"/>
          <w:sz w:val="32"/>
          <w:szCs w:val="32"/>
          <w:highlight w:val="none"/>
        </w:rPr>
        <w:t>。</w:t>
      </w:r>
    </w:p>
    <w:p>
      <w:pPr>
        <w:spacing w:line="560" w:lineRule="exact"/>
        <w:ind w:firstLine="660"/>
        <w:rPr>
          <w:rFonts w:hint="eastAsia" w:ascii="仿宋_GB2312" w:hAnsi="宋体" w:eastAsia="仿宋_GB2312"/>
          <w:sz w:val="32"/>
          <w:szCs w:val="32"/>
          <w:highlight w:val="none"/>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4</w:t>
      </w:r>
      <w:r>
        <w:rPr>
          <w:rFonts w:hint="eastAsia" w:ascii="仿宋_GB2312" w:hAnsi="宋体" w:eastAsia="仿宋_GB2312"/>
          <w:sz w:val="32"/>
          <w:szCs w:val="32"/>
          <w:lang w:eastAsia="zh-CN"/>
        </w:rPr>
        <w:t>）</w:t>
      </w:r>
      <w:r>
        <w:rPr>
          <w:rFonts w:ascii="仿宋_GB2312" w:hAnsi="宋体" w:eastAsia="仿宋_GB2312"/>
          <w:sz w:val="32"/>
          <w:szCs w:val="32"/>
        </w:rPr>
        <w:t>社会保障和就业支出（类）人力资源和社会保障管理事务（款）劳动保障监察（项）20.19万元，主要是劳动监察执法经费</w:t>
      </w:r>
      <w:r>
        <w:rPr>
          <w:rFonts w:hint="eastAsia" w:ascii="仿宋_GB2312" w:hAnsi="宋体" w:eastAsia="仿宋_GB2312"/>
          <w:sz w:val="32"/>
          <w:szCs w:val="32"/>
          <w:lang w:eastAsia="zh-CN"/>
        </w:rPr>
        <w:t>及</w:t>
      </w:r>
      <w:r>
        <w:rPr>
          <w:rFonts w:ascii="仿宋_GB2312" w:hAnsi="宋体" w:eastAsia="仿宋_GB2312"/>
          <w:sz w:val="32"/>
          <w:szCs w:val="32"/>
        </w:rPr>
        <w:t>支出</w:t>
      </w:r>
      <w:r>
        <w:rPr>
          <w:rFonts w:hint="eastAsia" w:ascii="仿宋_GB2312" w:hAnsi="宋体" w:eastAsia="仿宋_GB2312"/>
          <w:sz w:val="32"/>
          <w:szCs w:val="32"/>
          <w:lang w:eastAsia="zh-CN"/>
        </w:rPr>
        <w:t>执法车辆购置</w:t>
      </w:r>
      <w:r>
        <w:rPr>
          <w:rFonts w:ascii="仿宋_GB2312" w:hAnsi="宋体" w:eastAsia="仿宋_GB2312"/>
          <w:sz w:val="32"/>
          <w:szCs w:val="32"/>
        </w:rPr>
        <w:t>，完成年初预算的</w:t>
      </w:r>
      <w:r>
        <w:rPr>
          <w:rFonts w:hint="eastAsia" w:ascii="仿宋_GB2312" w:hAnsi="宋体" w:eastAsia="仿宋_GB2312"/>
          <w:sz w:val="32"/>
          <w:szCs w:val="32"/>
          <w:lang w:val="en-US" w:eastAsia="zh-CN"/>
        </w:rPr>
        <w:t>77.65</w:t>
      </w:r>
      <w:r>
        <w:rPr>
          <w:rFonts w:ascii="仿宋_GB2312" w:hAnsi="宋体" w:eastAsia="仿宋_GB2312"/>
          <w:sz w:val="32"/>
          <w:szCs w:val="32"/>
        </w:rPr>
        <w:t>%。</w:t>
      </w:r>
      <w:r>
        <w:rPr>
          <w:rFonts w:ascii="仿宋_GB2312" w:hAnsi="宋体" w:eastAsia="仿宋_GB2312"/>
          <w:color w:val="000000"/>
          <w:sz w:val="32"/>
          <w:szCs w:val="32"/>
        </w:rPr>
        <w:t>决算数小于年初预算数的原因主要是劳动保障监察执法经费未全部支出、执法车辆购置按实际价格支出。</w:t>
      </w:r>
    </w:p>
    <w:p>
      <w:pPr>
        <w:keepNext w:val="0"/>
        <w:keepLines w:val="0"/>
        <w:pageBreakBefore w:val="0"/>
        <w:numPr>
          <w:ilvl w:val="0"/>
          <w:numId w:val="2"/>
        </w:numPr>
        <w:kinsoku/>
        <w:wordWrap/>
        <w:overflowPunct/>
        <w:topLinePunct w:val="0"/>
        <w:autoSpaceDE/>
        <w:bidi w:val="0"/>
        <w:adjustRightInd/>
        <w:snapToGrid/>
        <w:spacing w:before="0" w:beforeLines="0" w:after="0" w:afterLines="0" w:line="560" w:lineRule="exact"/>
        <w:ind w:left="0" w:leftChars="0" w:right="0" w:rightChars="0" w:firstLine="660"/>
        <w:textAlignment w:val="auto"/>
        <w:outlineLvl w:val="9"/>
        <w:rPr>
          <w:rFonts w:hint="eastAsia" w:ascii="仿宋_GB2312" w:hAnsi="宋体" w:eastAsia="仿宋_GB2312"/>
          <w:sz w:val="32"/>
          <w:szCs w:val="32"/>
          <w:highlight w:val="none"/>
        </w:rPr>
      </w:pPr>
      <w:r>
        <w:rPr>
          <w:rFonts w:hint="eastAsia" w:ascii="仿宋_GB2312" w:hAnsi="宋体" w:eastAsia="仿宋_GB2312"/>
          <w:sz w:val="32"/>
          <w:szCs w:val="32"/>
          <w:highlight w:val="none"/>
          <w:lang w:val="en-US" w:eastAsia="zh-CN"/>
        </w:rPr>
        <w:t>社会保障和就业支出</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类）人力资源和社会保障管理事务（款）社会保险业务管理事务</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项）7243.45</w:t>
      </w:r>
      <w:r>
        <w:rPr>
          <w:rFonts w:hint="eastAsia" w:ascii="仿宋_GB2312" w:hAnsi="宋体" w:eastAsia="仿宋_GB2312"/>
          <w:sz w:val="32"/>
          <w:szCs w:val="32"/>
          <w:highlight w:val="none"/>
        </w:rPr>
        <w:t>万元，主要是</w:t>
      </w:r>
      <w:r>
        <w:rPr>
          <w:rFonts w:hint="eastAsia" w:ascii="仿宋_GB2312" w:hAnsi="宋体" w:eastAsia="仿宋_GB2312"/>
          <w:sz w:val="32"/>
          <w:szCs w:val="32"/>
          <w:highlight w:val="none"/>
          <w:lang w:eastAsia="zh-CN"/>
        </w:rPr>
        <w:t>人员工资、五险、公积金、采暖费、伤残抚恤金</w:t>
      </w:r>
      <w:r>
        <w:rPr>
          <w:rFonts w:hint="eastAsia" w:ascii="仿宋_GB2312" w:hAnsi="宋体" w:eastAsia="仿宋_GB2312"/>
          <w:sz w:val="32"/>
          <w:szCs w:val="32"/>
          <w:highlight w:val="none"/>
        </w:rPr>
        <w:t>等支出，完成年初预算的</w:t>
      </w:r>
      <w:r>
        <w:rPr>
          <w:rFonts w:hint="eastAsia" w:ascii="仿宋_GB2312" w:hAnsi="宋体" w:eastAsia="仿宋_GB2312"/>
          <w:sz w:val="32"/>
          <w:szCs w:val="32"/>
          <w:highlight w:val="none"/>
          <w:lang w:val="en-US" w:eastAsia="zh-CN"/>
        </w:rPr>
        <w:t>126.49</w:t>
      </w:r>
      <w:r>
        <w:rPr>
          <w:rFonts w:hint="eastAsia" w:ascii="仿宋_GB2312" w:hAnsi="宋体" w:eastAsia="仿宋_GB2312"/>
          <w:sz w:val="32"/>
          <w:szCs w:val="32"/>
          <w:highlight w:val="none"/>
        </w:rPr>
        <w:t>%，决算数</w:t>
      </w:r>
      <w:r>
        <w:rPr>
          <w:rFonts w:hint="eastAsia" w:ascii="仿宋_GB2312" w:hAnsi="宋体" w:eastAsia="仿宋_GB2312"/>
          <w:sz w:val="32"/>
          <w:szCs w:val="32"/>
          <w:highlight w:val="none"/>
          <w:lang w:eastAsia="zh-CN"/>
        </w:rPr>
        <w:t>大于</w:t>
      </w:r>
      <w:r>
        <w:rPr>
          <w:rFonts w:hint="eastAsia" w:ascii="仿宋_GB2312" w:hAnsi="宋体" w:eastAsia="仿宋_GB2312"/>
          <w:sz w:val="32"/>
          <w:szCs w:val="32"/>
          <w:highlight w:val="none"/>
        </w:rPr>
        <w:t>年初预算数的原因主要是</w:t>
      </w:r>
      <w:r>
        <w:rPr>
          <w:rFonts w:hint="eastAsia" w:ascii="仿宋_GB2312" w:hAnsi="宋体" w:eastAsia="仿宋_GB2312"/>
          <w:sz w:val="32"/>
          <w:szCs w:val="32"/>
          <w:highlight w:val="none"/>
          <w:lang w:val="en-US" w:eastAsia="zh-CN"/>
        </w:rPr>
        <w:t>2021年全市统一追加了2020年度未休假补贴、安全奖、创城奖励费用</w:t>
      </w:r>
      <w:r>
        <w:rPr>
          <w:rFonts w:hint="eastAsia" w:ascii="仿宋_GB2312" w:hAnsi="宋体" w:eastAsia="仿宋_GB2312"/>
          <w:sz w:val="32"/>
          <w:szCs w:val="32"/>
          <w:highlight w:val="none"/>
        </w:rPr>
        <w:t>。</w:t>
      </w:r>
    </w:p>
    <w:p>
      <w:pPr>
        <w:keepNext w:val="0"/>
        <w:keepLines w:val="0"/>
        <w:pageBreakBefore w:val="0"/>
        <w:numPr>
          <w:ilvl w:val="0"/>
          <w:numId w:val="2"/>
        </w:numPr>
        <w:kinsoku/>
        <w:wordWrap/>
        <w:overflowPunct/>
        <w:topLinePunct w:val="0"/>
        <w:autoSpaceDE/>
        <w:bidi w:val="0"/>
        <w:adjustRightInd/>
        <w:snapToGrid/>
        <w:spacing w:before="0" w:beforeLines="0" w:after="0" w:afterLines="0" w:line="560" w:lineRule="exact"/>
        <w:ind w:left="0" w:leftChars="0" w:right="0" w:rightChars="0" w:firstLine="660"/>
        <w:textAlignment w:val="auto"/>
        <w:outlineLvl w:val="9"/>
        <w:rPr>
          <w:rFonts w:hint="eastAsia" w:ascii="仿宋_GB2312" w:hAnsi="宋体" w:eastAsia="仿宋_GB2312"/>
          <w:sz w:val="32"/>
          <w:szCs w:val="32"/>
          <w:highlight w:val="none"/>
        </w:rPr>
      </w:pPr>
      <w:r>
        <w:rPr>
          <w:rFonts w:hint="eastAsia" w:ascii="仿宋_GB2312" w:hAnsi="宋体" w:eastAsia="仿宋_GB2312"/>
          <w:sz w:val="32"/>
          <w:szCs w:val="32"/>
          <w:highlight w:val="none"/>
          <w:lang w:val="en-US" w:eastAsia="zh-CN"/>
        </w:rPr>
        <w:t>社会保障和就业支出</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类）人力资源和社会保障管理事务（款）社会保险经办机构</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项）2578.62</w:t>
      </w:r>
      <w:r>
        <w:rPr>
          <w:rFonts w:hint="eastAsia" w:ascii="仿宋_GB2312" w:hAnsi="宋体" w:eastAsia="仿宋_GB2312"/>
          <w:sz w:val="32"/>
          <w:szCs w:val="32"/>
          <w:highlight w:val="none"/>
        </w:rPr>
        <w:t>万元，主要是</w:t>
      </w:r>
      <w:r>
        <w:rPr>
          <w:rFonts w:hint="eastAsia" w:ascii="仿宋_GB2312" w:hAnsi="宋体" w:eastAsia="仿宋_GB2312"/>
          <w:sz w:val="32"/>
          <w:szCs w:val="32"/>
          <w:highlight w:val="none"/>
          <w:lang w:eastAsia="zh-CN"/>
        </w:rPr>
        <w:t>各专项及政府采购项目</w:t>
      </w:r>
      <w:r>
        <w:rPr>
          <w:rFonts w:hint="eastAsia" w:ascii="仿宋_GB2312" w:hAnsi="宋体" w:eastAsia="仿宋_GB2312"/>
          <w:sz w:val="32"/>
          <w:szCs w:val="32"/>
          <w:highlight w:val="none"/>
        </w:rPr>
        <w:t>等支出，完成年初预算的</w:t>
      </w:r>
      <w:r>
        <w:rPr>
          <w:rFonts w:hint="eastAsia" w:ascii="仿宋_GB2312" w:hAnsi="宋体" w:eastAsia="仿宋_GB2312"/>
          <w:sz w:val="32"/>
          <w:szCs w:val="32"/>
          <w:highlight w:val="none"/>
          <w:lang w:val="en-US" w:eastAsia="zh-CN"/>
        </w:rPr>
        <w:t>97.67</w:t>
      </w:r>
      <w:r>
        <w:rPr>
          <w:rFonts w:hint="eastAsia" w:ascii="仿宋_GB2312" w:hAnsi="宋体" w:eastAsia="仿宋_GB2312"/>
          <w:sz w:val="32"/>
          <w:szCs w:val="32"/>
          <w:highlight w:val="none"/>
        </w:rPr>
        <w:t>%，决算数小于年初预算数的原因主要是</w:t>
      </w:r>
      <w:r>
        <w:rPr>
          <w:rFonts w:hint="eastAsia" w:ascii="仿宋_GB2312" w:hAnsi="宋体" w:eastAsia="仿宋_GB2312"/>
          <w:sz w:val="32"/>
          <w:szCs w:val="32"/>
          <w:highlight w:val="none"/>
          <w:lang w:eastAsia="zh-CN"/>
        </w:rPr>
        <w:t>政府采购项目质保金需在下年支付</w:t>
      </w:r>
      <w:r>
        <w:rPr>
          <w:rFonts w:hint="eastAsia" w:ascii="仿宋_GB2312" w:hAnsi="宋体" w:eastAsia="仿宋_GB2312"/>
          <w:sz w:val="32"/>
          <w:szCs w:val="32"/>
          <w:highlight w:val="none"/>
        </w:rPr>
        <w:t>。</w:t>
      </w:r>
    </w:p>
    <w:p>
      <w:pPr>
        <w:keepNext w:val="0"/>
        <w:keepLines w:val="0"/>
        <w:pageBreakBefore w:val="0"/>
        <w:numPr>
          <w:ilvl w:val="0"/>
          <w:numId w:val="2"/>
        </w:numPr>
        <w:kinsoku/>
        <w:wordWrap/>
        <w:overflowPunct/>
        <w:topLinePunct w:val="0"/>
        <w:autoSpaceDE/>
        <w:bidi w:val="0"/>
        <w:adjustRightInd/>
        <w:snapToGrid/>
        <w:spacing w:before="0" w:beforeLines="0" w:after="0" w:afterLines="0" w:line="560" w:lineRule="exact"/>
        <w:ind w:left="0" w:leftChars="0" w:right="0" w:rightChars="0" w:firstLine="660"/>
        <w:textAlignment w:val="auto"/>
        <w:outlineLvl w:val="9"/>
        <w:rPr>
          <w:rFonts w:hint="eastAsia" w:ascii="仿宋_GB2312" w:hAnsi="宋体" w:eastAsia="仿宋_GB2312"/>
          <w:sz w:val="32"/>
          <w:szCs w:val="32"/>
          <w:highlight w:val="none"/>
        </w:rPr>
      </w:pPr>
      <w:r>
        <w:rPr>
          <w:rFonts w:ascii="仿宋_GB2312" w:hAnsi="宋体" w:eastAsia="仿宋_GB2312"/>
          <w:sz w:val="32"/>
          <w:szCs w:val="32"/>
        </w:rPr>
        <w:t>社会保障和就业支出（类）人力资源和社会保障管理事务（款）公共就业服务和职业技能鉴定机构（项）5872.68万元，主要是基本支出4661.12万元，其中人员经费3793.00万元，公用经费868.12万元；项目支出1211.56万元，</w:t>
      </w:r>
      <w:r>
        <w:rPr>
          <w:rFonts w:ascii="仿宋_GB2312" w:hAnsi="宋体" w:eastAsia="仿宋_GB2312"/>
          <w:color w:val="000000"/>
          <w:sz w:val="32"/>
          <w:szCs w:val="32"/>
        </w:rPr>
        <w:t>主要是职业技能鉴定成本支出82.12万元、劳动鉴定成本支出76.98万元、专场招聘会支出50.53万元、就业创业媒体广告宣传支出26万元、高校毕业生“三支一扶”计划支出141.35万元、人力资源档案库项目运行及电子化经费315.06万元等，电子政务建设项目224.32万元等。完成年初预算的119.16%，决算数大于年初预算数的原因主要是增加电子政务建设项目支出。</w:t>
      </w:r>
    </w:p>
    <w:p>
      <w:pPr>
        <w:keepNext w:val="0"/>
        <w:keepLines w:val="0"/>
        <w:pageBreakBefore w:val="0"/>
        <w:kinsoku/>
        <w:wordWrap/>
        <w:overflowPunct/>
        <w:topLinePunct w:val="0"/>
        <w:autoSpaceDE/>
        <w:bidi w:val="0"/>
        <w:adjustRightInd/>
        <w:snapToGrid/>
        <w:spacing w:before="0" w:beforeLines="0" w:after="0" w:afterLines="0" w:line="560" w:lineRule="exact"/>
        <w:ind w:right="0" w:rightChars="0" w:firstLine="640" w:firstLineChars="200"/>
        <w:textAlignment w:val="auto"/>
        <w:outlineLvl w:val="9"/>
        <w:rPr>
          <w:rFonts w:hint="eastAsia" w:ascii="仿宋_GB2312" w:hAnsi="宋体" w:eastAsia="仿宋_GB2312"/>
          <w:sz w:val="32"/>
          <w:szCs w:val="32"/>
          <w:highlight w:val="none"/>
        </w:rPr>
      </w:pP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8</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lang w:eastAsia="zh-CN"/>
        </w:rPr>
        <w:t>社会保障和就业支出（类）人力资源和社会保障管理事务（款）引进人才费用（项）</w:t>
      </w:r>
      <w:r>
        <w:rPr>
          <w:rFonts w:hint="eastAsia" w:ascii="仿宋_GB2312" w:eastAsia="仿宋_GB2312"/>
          <w:sz w:val="32"/>
          <w:szCs w:val="32"/>
          <w:lang w:val="en-US" w:eastAsia="zh-CN"/>
        </w:rPr>
        <w:t>3375.23</w:t>
      </w:r>
      <w:r>
        <w:rPr>
          <w:rFonts w:hint="eastAsia" w:ascii="仿宋_GB2312" w:hAnsi="宋体" w:eastAsia="仿宋_GB2312"/>
          <w:sz w:val="32"/>
          <w:szCs w:val="32"/>
          <w:lang w:val="en-US" w:eastAsia="zh-CN"/>
        </w:rPr>
        <w:t>万元，</w:t>
      </w:r>
      <w:r>
        <w:rPr>
          <w:rFonts w:hint="eastAsia" w:ascii="仿宋_GB2312" w:hAnsi="宋体" w:eastAsia="仿宋_GB2312"/>
          <w:sz w:val="32"/>
          <w:szCs w:val="32"/>
          <w:highlight w:val="none"/>
        </w:rPr>
        <w:t>主要是高精尖优才集聚工程</w:t>
      </w:r>
      <w:r>
        <w:rPr>
          <w:rFonts w:hint="eastAsia" w:ascii="仿宋_GB2312" w:hAnsi="宋体" w:eastAsia="仿宋_GB2312"/>
          <w:sz w:val="32"/>
          <w:szCs w:val="32"/>
          <w:highlight w:val="none"/>
          <w:lang w:val="en-US" w:eastAsia="zh-CN"/>
        </w:rPr>
        <w:t>3003.70万元，各类人才评审及慰问院士经费26.40万元</w:t>
      </w:r>
      <w:r>
        <w:rPr>
          <w:rFonts w:hint="eastAsia" w:ascii="仿宋_GB2312" w:hAnsi="宋体" w:eastAsia="仿宋_GB2312"/>
          <w:sz w:val="32"/>
          <w:szCs w:val="32"/>
          <w:highlight w:val="none"/>
        </w:rPr>
        <w:t>，候鸟型人才工作站</w:t>
      </w:r>
      <w:r>
        <w:rPr>
          <w:rFonts w:hint="eastAsia" w:ascii="仿宋_GB2312" w:hAnsi="宋体" w:eastAsia="仿宋_GB2312"/>
          <w:sz w:val="32"/>
          <w:szCs w:val="32"/>
          <w:highlight w:val="none"/>
          <w:lang w:val="en-US" w:eastAsia="zh-CN"/>
        </w:rPr>
        <w:t>15万元，外埠人才引智活动经费326.94万元等专项支出，</w:t>
      </w:r>
      <w:r>
        <w:rPr>
          <w:rFonts w:hint="eastAsia" w:ascii="仿宋_GB2312" w:hAnsi="宋体" w:eastAsia="仿宋_GB2312"/>
          <w:sz w:val="32"/>
          <w:szCs w:val="32"/>
          <w:highlight w:val="none"/>
        </w:rPr>
        <w:t>完成年初预算的</w:t>
      </w:r>
      <w:r>
        <w:rPr>
          <w:rFonts w:hint="eastAsia" w:ascii="仿宋_GB2312" w:hAnsi="宋体" w:eastAsia="仿宋_GB2312"/>
          <w:sz w:val="32"/>
          <w:szCs w:val="32"/>
          <w:highlight w:val="none"/>
          <w:lang w:val="en-US" w:eastAsia="zh-CN"/>
        </w:rPr>
        <w:t>101.97</w:t>
      </w:r>
      <w:r>
        <w:rPr>
          <w:rFonts w:hint="eastAsia" w:ascii="仿宋_GB2312" w:hAnsi="宋体" w:eastAsia="仿宋_GB2312"/>
          <w:sz w:val="32"/>
          <w:szCs w:val="32"/>
          <w:highlight w:val="none"/>
        </w:rPr>
        <w:t>%，决算数</w:t>
      </w:r>
      <w:r>
        <w:rPr>
          <w:rFonts w:hint="eastAsia" w:ascii="仿宋_GB2312" w:hAnsi="宋体" w:eastAsia="仿宋_GB2312"/>
          <w:sz w:val="32"/>
          <w:szCs w:val="32"/>
          <w:highlight w:val="none"/>
          <w:lang w:eastAsia="zh-CN"/>
        </w:rPr>
        <w:t>大</w:t>
      </w:r>
      <w:r>
        <w:rPr>
          <w:rFonts w:hint="eastAsia" w:ascii="仿宋_GB2312" w:hAnsi="宋体" w:eastAsia="仿宋_GB2312"/>
          <w:sz w:val="32"/>
          <w:szCs w:val="32"/>
          <w:highlight w:val="none"/>
        </w:rPr>
        <w:t>于年初预算数的原因主要是</w:t>
      </w:r>
      <w:r>
        <w:rPr>
          <w:rFonts w:hint="eastAsia" w:ascii="仿宋_GB2312" w:hAnsi="宋体" w:eastAsia="仿宋_GB2312"/>
          <w:sz w:val="32"/>
          <w:szCs w:val="32"/>
          <w:highlight w:val="none"/>
          <w:lang w:val="en-US" w:eastAsia="zh-CN"/>
        </w:rPr>
        <w:t>外埠人才引智活动经费支出包含上年结转资金</w:t>
      </w:r>
      <w:r>
        <w:rPr>
          <w:rFonts w:hint="eastAsia" w:ascii="仿宋_GB2312" w:hAnsi="宋体" w:eastAsia="仿宋_GB2312"/>
          <w:sz w:val="32"/>
          <w:szCs w:val="32"/>
          <w:highlight w:val="none"/>
        </w:rPr>
        <w:t>。</w:t>
      </w:r>
    </w:p>
    <w:p>
      <w:pPr>
        <w:keepNext w:val="0"/>
        <w:keepLines w:val="0"/>
        <w:pageBreakBefore w:val="0"/>
        <w:kinsoku/>
        <w:wordWrap/>
        <w:overflowPunct/>
        <w:topLinePunct w:val="0"/>
        <w:autoSpaceDE/>
        <w:bidi w:val="0"/>
        <w:adjustRightInd/>
        <w:snapToGrid/>
        <w:spacing w:before="0" w:beforeLines="0" w:after="0" w:afterLines="0" w:line="560" w:lineRule="exact"/>
        <w:ind w:left="0" w:leftChars="0" w:right="0" w:rightChars="0" w:firstLine="660"/>
        <w:textAlignment w:val="auto"/>
        <w:outlineLvl w:val="9"/>
        <w:rPr>
          <w:rFonts w:hint="eastAsia" w:ascii="仿宋_GB2312" w:hAnsi="宋体" w:eastAsia="仿宋_GB2312"/>
          <w:color w:val="auto"/>
          <w:sz w:val="32"/>
          <w:szCs w:val="32"/>
          <w:highlight w:val="none"/>
        </w:rPr>
      </w:pP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9</w:t>
      </w:r>
      <w:r>
        <w:rPr>
          <w:rFonts w:hint="eastAsia" w:ascii="仿宋_GB2312" w:hAnsi="宋体" w:eastAsia="仿宋_GB2312"/>
          <w:sz w:val="32"/>
          <w:szCs w:val="32"/>
          <w:highlight w:val="none"/>
          <w:lang w:eastAsia="zh-CN"/>
        </w:rPr>
        <w:t>）</w:t>
      </w:r>
      <w:r>
        <w:rPr>
          <w:rFonts w:hint="eastAsia" w:ascii="仿宋_GB2312" w:hAnsi="宋体" w:eastAsia="仿宋_GB2312"/>
          <w:color w:val="auto"/>
          <w:sz w:val="32"/>
          <w:szCs w:val="32"/>
          <w:lang w:eastAsia="zh-CN"/>
        </w:rPr>
        <w:t>社会保障和就业支出（类）人力资源和社会保障管理事务（款）其他人力资源和社会保障管理事务支出（项）</w:t>
      </w:r>
      <w:r>
        <w:rPr>
          <w:rFonts w:hint="eastAsia" w:ascii="仿宋_GB2312" w:eastAsia="仿宋_GB2312"/>
          <w:color w:val="auto"/>
          <w:sz w:val="32"/>
          <w:szCs w:val="32"/>
          <w:lang w:val="en-US" w:eastAsia="zh-CN"/>
        </w:rPr>
        <w:t>13124.13</w:t>
      </w:r>
      <w:r>
        <w:rPr>
          <w:rFonts w:hint="eastAsia" w:ascii="仿宋_GB2312" w:hAnsi="宋体" w:eastAsia="仿宋_GB2312"/>
          <w:color w:val="auto"/>
          <w:sz w:val="32"/>
          <w:szCs w:val="32"/>
          <w:lang w:val="en-US" w:eastAsia="zh-CN"/>
        </w:rPr>
        <w:t>万元，</w:t>
      </w:r>
      <w:r>
        <w:rPr>
          <w:rFonts w:hint="eastAsia" w:ascii="仿宋_GB2312" w:hAnsi="宋体" w:eastAsia="仿宋_GB2312"/>
          <w:color w:val="auto"/>
          <w:sz w:val="32"/>
          <w:szCs w:val="32"/>
          <w:highlight w:val="none"/>
        </w:rPr>
        <w:t>主要是抗击疫情表彰</w:t>
      </w:r>
      <w:r>
        <w:rPr>
          <w:rFonts w:hint="eastAsia" w:ascii="仿宋_GB2312" w:hAnsi="宋体" w:eastAsia="仿宋_GB2312"/>
          <w:color w:val="auto"/>
          <w:sz w:val="32"/>
          <w:szCs w:val="32"/>
          <w:highlight w:val="none"/>
          <w:lang w:val="en-US" w:eastAsia="zh-CN"/>
        </w:rPr>
        <w:t>290.32万元，高层次人才税收补贴1206.71万元，高层次人才创新创业2150万元，优秀乡村振兴人才奖励金552万元，中青年科技英才培训工程奖励金8160万元，盛京大工匠100万元，技能大师工作室50万元，双元制校企合作64.87万元等专项支出，</w:t>
      </w:r>
      <w:r>
        <w:rPr>
          <w:rFonts w:ascii="仿宋_GB2312" w:hAnsi="宋体" w:eastAsia="仿宋_GB2312"/>
          <w:color w:val="auto"/>
          <w:sz w:val="32"/>
          <w:szCs w:val="32"/>
        </w:rPr>
        <w:t>高校毕业生“三支一扶”计划补贴120.33万元，高校毕业生沈阳站巡回招聘62.02万元，大中城市联合招聘4.36万元，人才驿站建设与管理经费173.2万元，“五送”进校园专场招聘会经费64.84万元，</w:t>
      </w:r>
      <w:r>
        <w:rPr>
          <w:rFonts w:hint="eastAsia" w:ascii="仿宋_GB2312" w:hAnsi="宋体" w:eastAsia="仿宋_GB2312"/>
          <w:color w:val="auto"/>
          <w:sz w:val="32"/>
          <w:szCs w:val="32"/>
          <w:highlight w:val="none"/>
        </w:rPr>
        <w:t>完成年初预算的</w:t>
      </w:r>
      <w:r>
        <w:rPr>
          <w:rFonts w:hint="eastAsia" w:ascii="仿宋_GB2312" w:hAnsi="宋体" w:eastAsia="仿宋_GB2312"/>
          <w:color w:val="auto"/>
          <w:sz w:val="32"/>
          <w:szCs w:val="32"/>
          <w:highlight w:val="none"/>
          <w:lang w:val="en-US" w:eastAsia="zh-CN"/>
        </w:rPr>
        <w:t>101.77</w:t>
      </w:r>
      <w:r>
        <w:rPr>
          <w:rFonts w:hint="eastAsia" w:ascii="仿宋_GB2312" w:hAnsi="宋体" w:eastAsia="仿宋_GB2312"/>
          <w:color w:val="auto"/>
          <w:sz w:val="32"/>
          <w:szCs w:val="32"/>
          <w:highlight w:val="none"/>
        </w:rPr>
        <w:t>%，决算数</w:t>
      </w:r>
      <w:r>
        <w:rPr>
          <w:rFonts w:hint="eastAsia" w:ascii="仿宋_GB2312" w:hAnsi="宋体" w:eastAsia="仿宋_GB2312"/>
          <w:color w:val="auto"/>
          <w:sz w:val="32"/>
          <w:szCs w:val="32"/>
          <w:highlight w:val="none"/>
          <w:lang w:eastAsia="zh-CN"/>
        </w:rPr>
        <w:t>大</w:t>
      </w:r>
      <w:r>
        <w:rPr>
          <w:rFonts w:hint="eastAsia" w:ascii="仿宋_GB2312" w:hAnsi="宋体" w:eastAsia="仿宋_GB2312"/>
          <w:color w:val="auto"/>
          <w:sz w:val="32"/>
          <w:szCs w:val="32"/>
          <w:highlight w:val="none"/>
        </w:rPr>
        <w:t>于年初预算数的原因主要是</w:t>
      </w:r>
      <w:r>
        <w:rPr>
          <w:rFonts w:hint="eastAsia" w:ascii="仿宋_GB2312" w:hAnsi="宋体" w:eastAsia="仿宋_GB2312"/>
          <w:color w:val="auto"/>
          <w:sz w:val="32"/>
          <w:szCs w:val="32"/>
          <w:highlight w:val="none"/>
          <w:lang w:val="en-US" w:eastAsia="zh-CN"/>
        </w:rPr>
        <w:t>部分专项支出包含上年结转资金</w:t>
      </w:r>
      <w:r>
        <w:rPr>
          <w:rFonts w:hint="eastAsia" w:ascii="仿宋_GB2312" w:hAnsi="宋体" w:eastAsia="仿宋_GB2312"/>
          <w:color w:val="auto"/>
          <w:sz w:val="32"/>
          <w:szCs w:val="32"/>
          <w:highlight w:val="none"/>
        </w:rPr>
        <w:t>。</w:t>
      </w:r>
    </w:p>
    <w:p>
      <w:pPr>
        <w:keepNext w:val="0"/>
        <w:keepLines w:val="0"/>
        <w:pageBreakBefore w:val="0"/>
        <w:kinsoku/>
        <w:wordWrap/>
        <w:overflowPunct/>
        <w:topLinePunct w:val="0"/>
        <w:autoSpaceDE/>
        <w:bidi w:val="0"/>
        <w:adjustRightInd/>
        <w:snapToGrid/>
        <w:spacing w:before="0" w:beforeLines="0" w:after="0" w:afterLines="0" w:line="560" w:lineRule="exact"/>
        <w:ind w:left="0" w:leftChars="0" w:right="0" w:rightChars="0" w:firstLine="660"/>
        <w:textAlignment w:val="auto"/>
        <w:outlineLvl w:val="9"/>
        <w:rPr>
          <w:rFonts w:hint="eastAsia" w:ascii="仿宋_GB2312" w:hAnsi="宋体" w:eastAsia="仿宋_GB2312"/>
          <w:sz w:val="32"/>
          <w:szCs w:val="32"/>
          <w:highlight w:val="none"/>
          <w:lang w:eastAsia="zh-CN"/>
        </w:rPr>
      </w:pP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10</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社会保障和就业支出</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类）</w:t>
      </w:r>
      <w:r>
        <w:rPr>
          <w:rFonts w:hint="eastAsia" w:ascii="仿宋_GB2312" w:hAnsi="宋体" w:eastAsia="仿宋_GB2312"/>
          <w:color w:val="auto"/>
          <w:sz w:val="32"/>
          <w:szCs w:val="32"/>
          <w:highlight w:val="none"/>
          <w:lang w:val="en-US" w:eastAsia="zh-CN"/>
        </w:rPr>
        <w:t>行政事业单位养老支出</w:t>
      </w:r>
      <w:r>
        <w:rPr>
          <w:rFonts w:hint="eastAsia" w:ascii="仿宋_GB2312" w:hAnsi="宋体" w:eastAsia="仿宋_GB2312"/>
          <w:sz w:val="32"/>
          <w:szCs w:val="32"/>
          <w:highlight w:val="none"/>
          <w:lang w:val="en-US" w:eastAsia="zh-CN"/>
        </w:rPr>
        <w:t>（款）行政单位离退休</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项）100.01</w:t>
      </w:r>
      <w:r>
        <w:rPr>
          <w:rFonts w:hint="eastAsia" w:ascii="仿宋_GB2312" w:hAnsi="宋体" w:eastAsia="仿宋_GB2312"/>
          <w:sz w:val="32"/>
          <w:szCs w:val="32"/>
          <w:highlight w:val="none"/>
        </w:rPr>
        <w:t>万元</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主要是离退休费</w:t>
      </w:r>
      <w:r>
        <w:rPr>
          <w:rFonts w:hint="eastAsia" w:ascii="仿宋_GB2312" w:hAnsi="宋体" w:eastAsia="仿宋_GB2312"/>
          <w:sz w:val="32"/>
          <w:szCs w:val="32"/>
          <w:highlight w:val="none"/>
          <w:lang w:val="en-US" w:eastAsia="zh-CN"/>
        </w:rPr>
        <w:t>88.98元</w:t>
      </w:r>
      <w:r>
        <w:rPr>
          <w:rFonts w:hint="eastAsia" w:ascii="仿宋_GB2312" w:hAnsi="宋体" w:eastAsia="仿宋_GB2312"/>
          <w:sz w:val="32"/>
          <w:szCs w:val="32"/>
          <w:highlight w:val="none"/>
        </w:rPr>
        <w:t>，</w:t>
      </w:r>
      <w:r>
        <w:rPr>
          <w:rFonts w:hint="eastAsia" w:ascii="仿宋_GB2312" w:hAnsi="宋体" w:eastAsia="仿宋_GB2312"/>
          <w:sz w:val="32"/>
          <w:szCs w:val="32"/>
          <w:highlight w:val="none"/>
          <w:lang w:eastAsia="zh-CN"/>
        </w:rPr>
        <w:t>生活补贴</w:t>
      </w:r>
      <w:r>
        <w:rPr>
          <w:rFonts w:hint="eastAsia" w:ascii="仿宋_GB2312" w:hAnsi="宋体" w:eastAsia="仿宋_GB2312"/>
          <w:sz w:val="32"/>
          <w:szCs w:val="32"/>
          <w:highlight w:val="none"/>
          <w:lang w:val="en-US" w:eastAsia="zh-CN"/>
        </w:rPr>
        <w:t>6.52万元等支出，</w:t>
      </w:r>
      <w:r>
        <w:rPr>
          <w:rFonts w:hint="eastAsia" w:ascii="仿宋_GB2312" w:hAnsi="宋体" w:eastAsia="仿宋_GB2312"/>
          <w:sz w:val="32"/>
          <w:szCs w:val="32"/>
          <w:highlight w:val="none"/>
        </w:rPr>
        <w:t>完成年初预算的</w:t>
      </w:r>
      <w:r>
        <w:rPr>
          <w:rFonts w:hint="eastAsia" w:ascii="仿宋_GB2312" w:hAnsi="宋体" w:eastAsia="仿宋_GB2312"/>
          <w:sz w:val="32"/>
          <w:szCs w:val="32"/>
          <w:highlight w:val="none"/>
          <w:lang w:val="en-US" w:eastAsia="zh-CN"/>
        </w:rPr>
        <w:t>100</w:t>
      </w:r>
      <w:r>
        <w:rPr>
          <w:rFonts w:hint="eastAsia" w:ascii="仿宋_GB2312" w:hAnsi="宋体" w:eastAsia="仿宋_GB2312"/>
          <w:sz w:val="32"/>
          <w:szCs w:val="32"/>
          <w:highlight w:val="none"/>
        </w:rPr>
        <w:t>%</w:t>
      </w:r>
      <w:r>
        <w:rPr>
          <w:rFonts w:hint="eastAsia" w:ascii="仿宋_GB2312" w:hAnsi="宋体" w:eastAsia="仿宋_GB2312"/>
          <w:sz w:val="32"/>
          <w:szCs w:val="32"/>
          <w:highlight w:val="none"/>
          <w:lang w:eastAsia="zh-CN"/>
        </w:rPr>
        <w:t>。</w:t>
      </w:r>
    </w:p>
    <w:p>
      <w:pPr>
        <w:keepNext w:val="0"/>
        <w:keepLines w:val="0"/>
        <w:pageBreakBefore w:val="0"/>
        <w:kinsoku/>
        <w:wordWrap/>
        <w:overflowPunct/>
        <w:topLinePunct w:val="0"/>
        <w:autoSpaceDE/>
        <w:bidi w:val="0"/>
        <w:adjustRightInd/>
        <w:snapToGrid/>
        <w:spacing w:before="0" w:beforeLines="0" w:after="0" w:afterLines="0" w:line="560" w:lineRule="exact"/>
        <w:ind w:left="0" w:leftChars="0" w:right="0" w:rightChars="0" w:firstLine="660"/>
        <w:textAlignment w:val="auto"/>
        <w:outlineLvl w:val="9"/>
        <w:rPr>
          <w:rFonts w:hint="eastAsia" w:ascii="仿宋_GB2312" w:hAnsi="宋体" w:eastAsia="仿宋_GB2312"/>
          <w:sz w:val="32"/>
          <w:szCs w:val="32"/>
          <w:highlight w:val="none"/>
        </w:rPr>
      </w:pP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11</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社会保障和就业支出</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类）行政事业单位养老支出（款）事业单位离退休</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项）161.92</w:t>
      </w:r>
      <w:r>
        <w:rPr>
          <w:rFonts w:hint="eastAsia" w:ascii="仿宋_GB2312" w:hAnsi="宋体" w:eastAsia="仿宋_GB2312"/>
          <w:sz w:val="32"/>
          <w:szCs w:val="32"/>
          <w:highlight w:val="none"/>
        </w:rPr>
        <w:t>万元，主要是</w:t>
      </w:r>
      <w:r>
        <w:rPr>
          <w:rFonts w:hint="eastAsia" w:ascii="仿宋_GB2312" w:hAnsi="宋体" w:eastAsia="仿宋_GB2312"/>
          <w:sz w:val="32"/>
          <w:szCs w:val="32"/>
          <w:highlight w:val="none"/>
          <w:lang w:eastAsia="zh-CN"/>
        </w:rPr>
        <w:t>退休人员采暖费、丧葬费抚恤金</w:t>
      </w:r>
      <w:r>
        <w:rPr>
          <w:rFonts w:hint="eastAsia" w:ascii="仿宋_GB2312" w:hAnsi="宋体" w:eastAsia="仿宋_GB2312"/>
          <w:sz w:val="32"/>
          <w:szCs w:val="32"/>
          <w:highlight w:val="none"/>
        </w:rPr>
        <w:t>等支出，完成年初预算的</w:t>
      </w:r>
      <w:r>
        <w:rPr>
          <w:rFonts w:hint="eastAsia" w:ascii="仿宋_GB2312" w:hAnsi="宋体" w:eastAsia="仿宋_GB2312"/>
          <w:sz w:val="32"/>
          <w:szCs w:val="32"/>
          <w:highlight w:val="none"/>
          <w:lang w:val="en-US" w:eastAsia="zh-CN"/>
        </w:rPr>
        <w:t>91.76</w:t>
      </w:r>
      <w:r>
        <w:rPr>
          <w:rFonts w:hint="eastAsia" w:ascii="仿宋_GB2312" w:hAnsi="宋体" w:eastAsia="仿宋_GB2312"/>
          <w:sz w:val="32"/>
          <w:szCs w:val="32"/>
          <w:highlight w:val="none"/>
        </w:rPr>
        <w:t>%，决算数小于年初预算数的原因主要是</w:t>
      </w:r>
      <w:r>
        <w:rPr>
          <w:rFonts w:hint="eastAsia" w:ascii="仿宋_GB2312" w:hAnsi="宋体" w:eastAsia="仿宋_GB2312"/>
          <w:sz w:val="32"/>
          <w:szCs w:val="32"/>
          <w:highlight w:val="none"/>
          <w:lang w:eastAsia="zh-CN"/>
        </w:rPr>
        <w:t>退休人员死亡后各项支出减少</w:t>
      </w:r>
      <w:r>
        <w:rPr>
          <w:rFonts w:hint="eastAsia" w:ascii="仿宋_GB2312" w:hAnsi="宋体" w:eastAsia="仿宋_GB2312"/>
          <w:sz w:val="32"/>
          <w:szCs w:val="32"/>
          <w:highlight w:val="none"/>
        </w:rPr>
        <w:t>。</w:t>
      </w:r>
    </w:p>
    <w:p>
      <w:pPr>
        <w:keepNext w:val="0"/>
        <w:keepLines w:val="0"/>
        <w:pageBreakBefore w:val="0"/>
        <w:kinsoku/>
        <w:wordWrap/>
        <w:overflowPunct/>
        <w:topLinePunct w:val="0"/>
        <w:autoSpaceDE/>
        <w:bidi w:val="0"/>
        <w:adjustRightInd/>
        <w:snapToGrid/>
        <w:spacing w:before="0" w:beforeLines="0" w:after="0" w:afterLines="0" w:line="560" w:lineRule="exact"/>
        <w:ind w:left="0" w:leftChars="0" w:right="0" w:rightChars="0" w:firstLine="660"/>
        <w:textAlignment w:val="auto"/>
        <w:outlineLvl w:val="9"/>
        <w:rPr>
          <w:rFonts w:hint="eastAsia" w:ascii="仿宋_GB2312" w:hAnsi="宋体" w:eastAsia="仿宋_GB2312"/>
          <w:sz w:val="32"/>
          <w:szCs w:val="32"/>
          <w:highlight w:val="none"/>
          <w:lang w:eastAsia="zh-CN"/>
        </w:rPr>
      </w:pP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12</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社会保障和就业支出</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类）</w:t>
      </w:r>
      <w:r>
        <w:rPr>
          <w:rFonts w:hint="eastAsia" w:ascii="仿宋_GB2312" w:hAnsi="宋体" w:eastAsia="仿宋_GB2312"/>
          <w:color w:val="auto"/>
          <w:sz w:val="32"/>
          <w:szCs w:val="32"/>
          <w:highlight w:val="none"/>
          <w:lang w:val="en-US" w:eastAsia="zh-CN"/>
        </w:rPr>
        <w:t>行政事业单位养老支出</w:t>
      </w:r>
      <w:r>
        <w:rPr>
          <w:rFonts w:hint="eastAsia" w:ascii="仿宋_GB2312" w:hAnsi="宋体" w:eastAsia="仿宋_GB2312"/>
          <w:sz w:val="32"/>
          <w:szCs w:val="32"/>
          <w:highlight w:val="none"/>
          <w:lang w:val="en-US" w:eastAsia="zh-CN"/>
        </w:rPr>
        <w:t>（款）  机关事业单位基本养老保险缴费支出</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项）1033.58</w:t>
      </w:r>
      <w:r>
        <w:rPr>
          <w:rFonts w:hint="eastAsia" w:ascii="仿宋_GB2312" w:hAnsi="宋体" w:eastAsia="仿宋_GB2312"/>
          <w:sz w:val="32"/>
          <w:szCs w:val="32"/>
          <w:highlight w:val="none"/>
        </w:rPr>
        <w:t>万元</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主要是社会保障缴费</w:t>
      </w:r>
      <w:r>
        <w:rPr>
          <w:rFonts w:hint="eastAsia" w:ascii="仿宋_GB2312" w:hAnsi="宋体" w:eastAsia="仿宋_GB2312"/>
          <w:sz w:val="32"/>
          <w:szCs w:val="32"/>
          <w:highlight w:val="none"/>
          <w:lang w:val="en-US" w:eastAsia="zh-CN"/>
        </w:rPr>
        <w:t>1033.58万元</w:t>
      </w:r>
      <w:r>
        <w:rPr>
          <w:rFonts w:hint="eastAsia" w:ascii="仿宋_GB2312" w:hAnsi="宋体" w:eastAsia="仿宋_GB2312"/>
          <w:sz w:val="32"/>
          <w:szCs w:val="32"/>
          <w:highlight w:val="none"/>
        </w:rPr>
        <w:t>，完成年初预算的</w:t>
      </w:r>
      <w:r>
        <w:rPr>
          <w:rFonts w:hint="eastAsia" w:ascii="仿宋_GB2312" w:hAnsi="宋体" w:eastAsia="仿宋_GB2312"/>
          <w:sz w:val="32"/>
          <w:szCs w:val="32"/>
          <w:highlight w:val="none"/>
          <w:lang w:val="en-US" w:eastAsia="zh-CN"/>
        </w:rPr>
        <w:t>100</w:t>
      </w:r>
      <w:r>
        <w:rPr>
          <w:rFonts w:hint="eastAsia" w:ascii="仿宋_GB2312" w:hAnsi="宋体" w:eastAsia="仿宋_GB2312"/>
          <w:sz w:val="32"/>
          <w:szCs w:val="32"/>
          <w:highlight w:val="none"/>
        </w:rPr>
        <w:t>%</w:t>
      </w:r>
      <w:r>
        <w:rPr>
          <w:rFonts w:hint="eastAsia" w:ascii="仿宋_GB2312" w:hAnsi="宋体" w:eastAsia="仿宋_GB2312"/>
          <w:sz w:val="32"/>
          <w:szCs w:val="32"/>
          <w:highlight w:val="none"/>
          <w:lang w:eastAsia="zh-CN"/>
        </w:rPr>
        <w:t>。</w:t>
      </w:r>
    </w:p>
    <w:p>
      <w:pPr>
        <w:keepNext w:val="0"/>
        <w:keepLines w:val="0"/>
        <w:pageBreakBefore w:val="0"/>
        <w:kinsoku/>
        <w:wordWrap/>
        <w:overflowPunct/>
        <w:topLinePunct w:val="0"/>
        <w:autoSpaceDE/>
        <w:bidi w:val="0"/>
        <w:adjustRightInd/>
        <w:snapToGrid/>
        <w:spacing w:before="0" w:beforeLines="0" w:after="0" w:afterLines="0" w:line="560" w:lineRule="exact"/>
        <w:ind w:left="0" w:leftChars="0" w:right="0" w:rightChars="0" w:firstLine="660"/>
        <w:textAlignment w:val="auto"/>
        <w:outlineLvl w:val="9"/>
        <w:rPr>
          <w:rFonts w:hint="eastAsia" w:ascii="仿宋_GB2312" w:hAnsi="宋体" w:eastAsia="仿宋_GB2312"/>
          <w:sz w:val="32"/>
          <w:szCs w:val="32"/>
          <w:highlight w:val="none"/>
          <w:lang w:eastAsia="zh-CN"/>
        </w:rPr>
      </w:pP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13</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社会保障和就业支出</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类）</w:t>
      </w:r>
      <w:r>
        <w:rPr>
          <w:rFonts w:hint="eastAsia" w:ascii="仿宋_GB2312" w:hAnsi="宋体" w:eastAsia="仿宋_GB2312"/>
          <w:color w:val="auto"/>
          <w:sz w:val="32"/>
          <w:szCs w:val="32"/>
          <w:highlight w:val="none"/>
          <w:lang w:val="en-US" w:eastAsia="zh-CN"/>
        </w:rPr>
        <w:t>行政事业单位养老支出</w:t>
      </w:r>
      <w:r>
        <w:rPr>
          <w:rFonts w:hint="eastAsia" w:ascii="仿宋_GB2312" w:hAnsi="宋体" w:eastAsia="仿宋_GB2312"/>
          <w:sz w:val="32"/>
          <w:szCs w:val="32"/>
          <w:highlight w:val="none"/>
          <w:lang w:val="en-US" w:eastAsia="zh-CN"/>
        </w:rPr>
        <w:t>（款）    机关事业单位职业年金缴费支出</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项）57.44</w:t>
      </w:r>
      <w:r>
        <w:rPr>
          <w:rFonts w:hint="eastAsia" w:ascii="仿宋_GB2312" w:hAnsi="宋体" w:eastAsia="仿宋_GB2312"/>
          <w:sz w:val="32"/>
          <w:szCs w:val="32"/>
          <w:highlight w:val="none"/>
        </w:rPr>
        <w:t>万元</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主要是</w:t>
      </w:r>
      <w:r>
        <w:rPr>
          <w:rFonts w:hint="eastAsia" w:ascii="仿宋_GB2312" w:hAnsi="宋体" w:eastAsia="仿宋_GB2312"/>
          <w:sz w:val="32"/>
          <w:szCs w:val="32"/>
          <w:highlight w:val="none"/>
          <w:lang w:eastAsia="zh-CN"/>
        </w:rPr>
        <w:t>机关事业单位职业年金缴费支出</w:t>
      </w:r>
      <w:r>
        <w:rPr>
          <w:rFonts w:hint="eastAsia" w:ascii="仿宋_GB2312" w:hAnsi="宋体" w:eastAsia="仿宋_GB2312"/>
          <w:sz w:val="32"/>
          <w:szCs w:val="32"/>
          <w:highlight w:val="none"/>
          <w:lang w:val="en-US" w:eastAsia="zh-CN"/>
        </w:rPr>
        <w:t>57.44万元，</w:t>
      </w:r>
      <w:r>
        <w:rPr>
          <w:rFonts w:hint="eastAsia" w:ascii="仿宋_GB2312" w:hAnsi="宋体" w:eastAsia="仿宋_GB2312"/>
          <w:sz w:val="32"/>
          <w:szCs w:val="32"/>
          <w:highlight w:val="none"/>
        </w:rPr>
        <w:t>完成年初预算的</w:t>
      </w:r>
      <w:r>
        <w:rPr>
          <w:rFonts w:hint="eastAsia" w:ascii="仿宋_GB2312" w:hAnsi="宋体" w:eastAsia="仿宋_GB2312"/>
          <w:sz w:val="32"/>
          <w:szCs w:val="32"/>
          <w:highlight w:val="none"/>
          <w:lang w:val="en-US" w:eastAsia="zh-CN"/>
        </w:rPr>
        <w:t>100</w:t>
      </w:r>
      <w:r>
        <w:rPr>
          <w:rFonts w:hint="eastAsia" w:ascii="仿宋_GB2312" w:hAnsi="宋体" w:eastAsia="仿宋_GB2312"/>
          <w:sz w:val="32"/>
          <w:szCs w:val="32"/>
          <w:highlight w:val="none"/>
        </w:rPr>
        <w:t>%</w:t>
      </w:r>
      <w:r>
        <w:rPr>
          <w:rFonts w:hint="eastAsia" w:ascii="仿宋_GB2312" w:hAnsi="宋体" w:eastAsia="仿宋_GB2312"/>
          <w:sz w:val="32"/>
          <w:szCs w:val="32"/>
          <w:highlight w:val="none"/>
          <w:lang w:eastAsia="zh-CN"/>
        </w:rPr>
        <w:t>。</w:t>
      </w:r>
    </w:p>
    <w:p>
      <w:pPr>
        <w:keepNext w:val="0"/>
        <w:keepLines w:val="0"/>
        <w:pageBreakBefore w:val="0"/>
        <w:kinsoku/>
        <w:wordWrap/>
        <w:overflowPunct/>
        <w:topLinePunct w:val="0"/>
        <w:autoSpaceDE/>
        <w:bidi w:val="0"/>
        <w:adjustRightInd/>
        <w:snapToGrid/>
        <w:spacing w:before="0" w:beforeLines="0" w:after="0" w:afterLines="0" w:line="560" w:lineRule="exact"/>
        <w:ind w:left="0" w:leftChars="0" w:right="0" w:rightChars="0" w:firstLine="660"/>
        <w:textAlignment w:val="auto"/>
        <w:outlineLvl w:val="9"/>
        <w:rPr>
          <w:rFonts w:hint="eastAsia" w:ascii="仿宋_GB2312" w:hAnsi="宋体" w:eastAsia="仿宋_GB2312"/>
          <w:sz w:val="32"/>
          <w:szCs w:val="32"/>
          <w:highlight w:val="none"/>
          <w:lang w:eastAsia="zh-CN"/>
        </w:rPr>
      </w:pP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14</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社会保障和就业支出</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类）</w:t>
      </w:r>
      <w:r>
        <w:rPr>
          <w:rFonts w:hint="eastAsia" w:ascii="仿宋_GB2312" w:hAnsi="宋体" w:eastAsia="仿宋_GB2312"/>
          <w:color w:val="auto"/>
          <w:sz w:val="32"/>
          <w:szCs w:val="32"/>
          <w:highlight w:val="none"/>
          <w:lang w:val="en-US" w:eastAsia="zh-CN"/>
        </w:rPr>
        <w:t>行政事业单位养老支出</w:t>
      </w:r>
      <w:r>
        <w:rPr>
          <w:rFonts w:hint="eastAsia" w:ascii="仿宋_GB2312" w:hAnsi="宋体" w:eastAsia="仿宋_GB2312"/>
          <w:sz w:val="32"/>
          <w:szCs w:val="32"/>
          <w:highlight w:val="none"/>
          <w:lang w:val="en-US" w:eastAsia="zh-CN"/>
        </w:rPr>
        <w:t>（款）对机关事业单位职业年金的补助</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项）17.15</w:t>
      </w:r>
      <w:r>
        <w:rPr>
          <w:rFonts w:hint="eastAsia" w:ascii="仿宋_GB2312" w:hAnsi="宋体" w:eastAsia="仿宋_GB2312"/>
          <w:sz w:val="32"/>
          <w:szCs w:val="32"/>
          <w:highlight w:val="none"/>
        </w:rPr>
        <w:t>万元</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主要是</w:t>
      </w:r>
      <w:r>
        <w:rPr>
          <w:rFonts w:hint="eastAsia" w:ascii="仿宋_GB2312" w:hAnsi="宋体" w:eastAsia="仿宋_GB2312"/>
          <w:sz w:val="32"/>
          <w:szCs w:val="32"/>
          <w:highlight w:val="none"/>
          <w:lang w:eastAsia="zh-CN"/>
        </w:rPr>
        <w:t>机关事业单位职业年金缴费支出</w:t>
      </w:r>
      <w:r>
        <w:rPr>
          <w:rFonts w:hint="eastAsia" w:ascii="仿宋_GB2312" w:hAnsi="宋体" w:eastAsia="仿宋_GB2312"/>
          <w:sz w:val="32"/>
          <w:szCs w:val="32"/>
          <w:highlight w:val="none"/>
          <w:lang w:val="en-US" w:eastAsia="zh-CN"/>
        </w:rPr>
        <w:t>17.15万元，</w:t>
      </w:r>
      <w:r>
        <w:rPr>
          <w:rFonts w:hint="eastAsia" w:ascii="仿宋_GB2312" w:hAnsi="宋体" w:eastAsia="仿宋_GB2312"/>
          <w:sz w:val="32"/>
          <w:szCs w:val="32"/>
          <w:highlight w:val="none"/>
        </w:rPr>
        <w:t>完成年初预算的</w:t>
      </w:r>
      <w:r>
        <w:rPr>
          <w:rFonts w:hint="eastAsia" w:ascii="仿宋_GB2312" w:hAnsi="宋体" w:eastAsia="仿宋_GB2312"/>
          <w:sz w:val="32"/>
          <w:szCs w:val="32"/>
          <w:highlight w:val="none"/>
          <w:lang w:val="en-US" w:eastAsia="zh-CN"/>
        </w:rPr>
        <w:t>100</w:t>
      </w:r>
      <w:r>
        <w:rPr>
          <w:rFonts w:hint="eastAsia" w:ascii="仿宋_GB2312" w:hAnsi="宋体" w:eastAsia="仿宋_GB2312"/>
          <w:sz w:val="32"/>
          <w:szCs w:val="32"/>
          <w:highlight w:val="none"/>
        </w:rPr>
        <w:t>%</w:t>
      </w:r>
      <w:r>
        <w:rPr>
          <w:rFonts w:hint="eastAsia" w:ascii="仿宋_GB2312" w:hAnsi="宋体" w:eastAsia="仿宋_GB2312"/>
          <w:sz w:val="32"/>
          <w:szCs w:val="32"/>
          <w:highlight w:val="none"/>
          <w:lang w:eastAsia="zh-CN"/>
        </w:rPr>
        <w:t>。</w:t>
      </w:r>
    </w:p>
    <w:p>
      <w:pPr>
        <w:keepNext w:val="0"/>
        <w:keepLines w:val="0"/>
        <w:pageBreakBefore w:val="0"/>
        <w:kinsoku/>
        <w:wordWrap/>
        <w:overflowPunct/>
        <w:topLinePunct w:val="0"/>
        <w:autoSpaceDE/>
        <w:bidi w:val="0"/>
        <w:adjustRightInd/>
        <w:snapToGrid/>
        <w:spacing w:before="0" w:beforeLines="0" w:after="0" w:afterLines="0" w:line="560" w:lineRule="exact"/>
        <w:ind w:left="0" w:leftChars="0" w:right="0" w:rightChars="0" w:firstLine="660"/>
        <w:textAlignment w:val="auto"/>
        <w:outlineLvl w:val="9"/>
        <w:rPr>
          <w:rFonts w:hint="eastAsia" w:ascii="仿宋_GB2312" w:hAnsi="宋体" w:eastAsia="仿宋_GB2312"/>
          <w:sz w:val="32"/>
          <w:szCs w:val="32"/>
          <w:highlight w:val="none"/>
        </w:rPr>
      </w:pPr>
      <w:r>
        <w:rPr>
          <w:rFonts w:hint="eastAsia" w:ascii="仿宋_GB2312" w:hAnsi="宋体" w:eastAsia="仿宋_GB2312"/>
          <w:sz w:val="32"/>
          <w:szCs w:val="32"/>
          <w:highlight w:val="none"/>
          <w:lang w:val="en-US" w:eastAsia="zh-CN"/>
        </w:rPr>
        <w:t>（15）社会保障和就业支出</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类）企业改革补助（款）企业关闭破产补助</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项）1391.72</w:t>
      </w:r>
      <w:r>
        <w:rPr>
          <w:rFonts w:hint="eastAsia" w:ascii="仿宋_GB2312" w:hAnsi="宋体" w:eastAsia="仿宋_GB2312"/>
          <w:sz w:val="32"/>
          <w:szCs w:val="32"/>
          <w:highlight w:val="none"/>
        </w:rPr>
        <w:t>万元，主要是</w:t>
      </w:r>
      <w:r>
        <w:rPr>
          <w:rFonts w:hint="eastAsia" w:ascii="仿宋_GB2312" w:hAnsi="宋体" w:eastAsia="仿宋_GB2312"/>
          <w:sz w:val="32"/>
          <w:szCs w:val="32"/>
          <w:highlight w:val="none"/>
          <w:lang w:val="en-US" w:eastAsia="zh-CN"/>
        </w:rPr>
        <w:t>原沈阳冶炼厂离退休职工、工伤人员统筹项目外养老金及采暖费等支出</w:t>
      </w:r>
      <w:r>
        <w:rPr>
          <w:rFonts w:hint="eastAsia" w:ascii="仿宋_GB2312" w:hAnsi="宋体" w:eastAsia="仿宋_GB2312"/>
          <w:sz w:val="32"/>
          <w:szCs w:val="32"/>
          <w:highlight w:val="none"/>
        </w:rPr>
        <w:t>，完成年初预算的</w:t>
      </w:r>
      <w:r>
        <w:rPr>
          <w:rFonts w:hint="eastAsia" w:ascii="仿宋_GB2312" w:hAnsi="宋体" w:eastAsia="仿宋_GB2312"/>
          <w:sz w:val="32"/>
          <w:szCs w:val="32"/>
          <w:highlight w:val="none"/>
          <w:lang w:val="en-US" w:eastAsia="zh-CN"/>
        </w:rPr>
        <w:t>94.23</w:t>
      </w:r>
      <w:r>
        <w:rPr>
          <w:rFonts w:hint="eastAsia" w:ascii="仿宋_GB2312" w:hAnsi="宋体" w:eastAsia="仿宋_GB2312"/>
          <w:sz w:val="32"/>
          <w:szCs w:val="32"/>
          <w:highlight w:val="none"/>
        </w:rPr>
        <w:t>%，决算数</w:t>
      </w:r>
      <w:r>
        <w:rPr>
          <w:rFonts w:hint="eastAsia" w:ascii="仿宋_GB2312" w:hAnsi="宋体" w:eastAsia="仿宋_GB2312"/>
          <w:sz w:val="32"/>
          <w:szCs w:val="32"/>
          <w:highlight w:val="none"/>
          <w:lang w:eastAsia="zh-CN"/>
        </w:rPr>
        <w:t>小于年初预算数的原因主要是按要求压减项目资金</w:t>
      </w:r>
      <w:r>
        <w:rPr>
          <w:rFonts w:hint="eastAsia" w:ascii="仿宋_GB2312" w:hAnsi="宋体" w:eastAsia="仿宋_GB2312"/>
          <w:sz w:val="32"/>
          <w:szCs w:val="32"/>
          <w:highlight w:val="none"/>
        </w:rPr>
        <w:t>。</w:t>
      </w:r>
    </w:p>
    <w:p>
      <w:pPr>
        <w:keepNext w:val="0"/>
        <w:keepLines w:val="0"/>
        <w:pageBreakBefore w:val="0"/>
        <w:kinsoku/>
        <w:wordWrap/>
        <w:overflowPunct/>
        <w:topLinePunct w:val="0"/>
        <w:autoSpaceDE/>
        <w:bidi w:val="0"/>
        <w:adjustRightInd/>
        <w:snapToGrid/>
        <w:spacing w:before="0" w:beforeLines="0" w:after="0" w:afterLines="0" w:line="560" w:lineRule="exact"/>
        <w:ind w:left="0" w:leftChars="0" w:right="0" w:rightChars="0" w:firstLine="660"/>
        <w:textAlignment w:val="auto"/>
        <w:outlineLvl w:val="9"/>
        <w:rPr>
          <w:rFonts w:ascii="仿宋_GB2312" w:hAnsi="宋体" w:eastAsia="仿宋_GB2312"/>
          <w:sz w:val="32"/>
          <w:szCs w:val="32"/>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16</w:t>
      </w:r>
      <w:r>
        <w:rPr>
          <w:rFonts w:hint="eastAsia" w:ascii="仿宋_GB2312" w:hAnsi="宋体" w:eastAsia="仿宋_GB2312"/>
          <w:sz w:val="32"/>
          <w:szCs w:val="32"/>
          <w:lang w:eastAsia="zh-CN"/>
        </w:rPr>
        <w:t>）</w:t>
      </w:r>
      <w:r>
        <w:rPr>
          <w:rFonts w:ascii="仿宋_GB2312" w:hAnsi="宋体" w:eastAsia="仿宋_GB2312"/>
          <w:sz w:val="32"/>
          <w:szCs w:val="32"/>
        </w:rPr>
        <w:t>社会保障和就业支出（类）就业补助（款）社会保险补贴（项）7.4万元，主要是公益性岗位人员社保补贴支出，完成预算的100%。</w:t>
      </w:r>
    </w:p>
    <w:p>
      <w:pPr>
        <w:keepNext w:val="0"/>
        <w:keepLines w:val="0"/>
        <w:pageBreakBefore w:val="0"/>
        <w:kinsoku/>
        <w:wordWrap/>
        <w:overflowPunct/>
        <w:topLinePunct w:val="0"/>
        <w:autoSpaceDE/>
        <w:bidi w:val="0"/>
        <w:adjustRightInd/>
        <w:snapToGrid/>
        <w:spacing w:before="0" w:beforeLines="0" w:after="0" w:afterLines="0" w:line="560" w:lineRule="exact"/>
        <w:ind w:left="0" w:leftChars="0" w:right="0" w:rightChars="0" w:firstLine="660"/>
        <w:textAlignment w:val="auto"/>
        <w:outlineLvl w:val="9"/>
        <w:rPr>
          <w:rFonts w:hint="eastAsia" w:ascii="仿宋_GB2312" w:hAnsi="宋体" w:eastAsia="仿宋_GB2312"/>
          <w:sz w:val="32"/>
          <w:szCs w:val="32"/>
          <w:lang w:eastAsia="zh-CN"/>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17</w:t>
      </w:r>
      <w:r>
        <w:rPr>
          <w:rFonts w:hint="eastAsia" w:ascii="仿宋_GB2312" w:hAnsi="宋体" w:eastAsia="仿宋_GB2312"/>
          <w:sz w:val="32"/>
          <w:szCs w:val="32"/>
          <w:lang w:eastAsia="zh-CN"/>
        </w:rPr>
        <w:t>）</w:t>
      </w:r>
      <w:r>
        <w:rPr>
          <w:rFonts w:ascii="仿宋_GB2312" w:hAnsi="宋体" w:eastAsia="仿宋_GB2312"/>
          <w:sz w:val="32"/>
          <w:szCs w:val="32"/>
        </w:rPr>
        <w:t>社会保障和就业支出（类）就业补助（款）公益性岗位补贴（项）26.37万元，主要是公益性岗位就业给予的补贴，完成预算的100%。</w:t>
      </w:r>
    </w:p>
    <w:p>
      <w:pPr>
        <w:keepNext w:val="0"/>
        <w:keepLines w:val="0"/>
        <w:pageBreakBefore w:val="0"/>
        <w:kinsoku/>
        <w:wordWrap/>
        <w:overflowPunct/>
        <w:topLinePunct w:val="0"/>
        <w:autoSpaceDE/>
        <w:bidi w:val="0"/>
        <w:adjustRightInd/>
        <w:snapToGrid/>
        <w:spacing w:before="0" w:beforeLines="0" w:after="0" w:afterLines="0" w:line="560" w:lineRule="exact"/>
        <w:ind w:left="0" w:leftChars="0" w:right="0" w:rightChars="0" w:firstLine="660"/>
        <w:textAlignment w:val="auto"/>
        <w:outlineLvl w:val="9"/>
        <w:rPr>
          <w:rFonts w:hint="eastAsia" w:ascii="仿宋_GB2312" w:hAnsi="宋体" w:eastAsia="仿宋_GB2312"/>
          <w:sz w:val="32"/>
          <w:szCs w:val="32"/>
          <w:highlight w:val="none"/>
        </w:rPr>
      </w:pP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18</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社会保障和就业支出</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类）</w:t>
      </w:r>
      <w:r>
        <w:rPr>
          <w:rFonts w:hint="eastAsia" w:ascii="仿宋_GB2312" w:hAnsi="宋体" w:eastAsia="仿宋_GB2312"/>
          <w:color w:val="auto"/>
          <w:sz w:val="32"/>
          <w:szCs w:val="32"/>
          <w:highlight w:val="none"/>
          <w:lang w:val="en-US" w:eastAsia="zh-CN"/>
        </w:rPr>
        <w:t>就业补助</w:t>
      </w:r>
      <w:r>
        <w:rPr>
          <w:rFonts w:hint="eastAsia" w:ascii="仿宋_GB2312" w:hAnsi="宋体" w:eastAsia="仿宋_GB2312"/>
          <w:sz w:val="32"/>
          <w:szCs w:val="32"/>
          <w:highlight w:val="none"/>
          <w:lang w:val="en-US" w:eastAsia="zh-CN"/>
        </w:rPr>
        <w:t>（款）高技能人才培养补助</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项）550.48</w:t>
      </w:r>
      <w:r>
        <w:rPr>
          <w:rFonts w:hint="eastAsia" w:ascii="仿宋_GB2312" w:hAnsi="宋体" w:eastAsia="仿宋_GB2312"/>
          <w:sz w:val="32"/>
          <w:szCs w:val="32"/>
          <w:highlight w:val="none"/>
        </w:rPr>
        <w:t>万元</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主要是沈阳市政府特殊津贴项目经费</w:t>
      </w:r>
      <w:r>
        <w:rPr>
          <w:rFonts w:hint="eastAsia" w:ascii="仿宋_GB2312" w:hAnsi="宋体" w:eastAsia="仿宋_GB2312"/>
          <w:sz w:val="32"/>
          <w:szCs w:val="32"/>
          <w:highlight w:val="none"/>
          <w:lang w:val="en-US" w:eastAsia="zh-CN"/>
        </w:rPr>
        <w:t>50万元，高技能人才培养补助资金500.48万元，</w:t>
      </w:r>
      <w:r>
        <w:rPr>
          <w:rFonts w:hint="eastAsia" w:ascii="仿宋_GB2312" w:hAnsi="宋体" w:eastAsia="仿宋_GB2312"/>
          <w:sz w:val="32"/>
          <w:szCs w:val="32"/>
          <w:highlight w:val="none"/>
        </w:rPr>
        <w:t>完成年初预算的</w:t>
      </w:r>
      <w:r>
        <w:rPr>
          <w:rFonts w:hint="eastAsia" w:ascii="仿宋_GB2312" w:hAnsi="宋体" w:eastAsia="仿宋_GB2312"/>
          <w:sz w:val="32"/>
          <w:szCs w:val="32"/>
          <w:highlight w:val="none"/>
          <w:lang w:val="en-US" w:eastAsia="zh-CN"/>
        </w:rPr>
        <w:t>101.85</w:t>
      </w:r>
      <w:r>
        <w:rPr>
          <w:rFonts w:hint="eastAsia" w:ascii="仿宋_GB2312" w:hAnsi="宋体" w:eastAsia="仿宋_GB2312"/>
          <w:sz w:val="32"/>
          <w:szCs w:val="32"/>
          <w:highlight w:val="none"/>
        </w:rPr>
        <w:t>%，决算数</w:t>
      </w:r>
      <w:r>
        <w:rPr>
          <w:rFonts w:hint="eastAsia" w:ascii="仿宋_GB2312" w:hAnsi="宋体" w:eastAsia="仿宋_GB2312"/>
          <w:sz w:val="32"/>
          <w:szCs w:val="32"/>
          <w:highlight w:val="none"/>
          <w:lang w:eastAsia="zh-CN"/>
        </w:rPr>
        <w:t>大</w:t>
      </w:r>
      <w:r>
        <w:rPr>
          <w:rFonts w:hint="eastAsia" w:ascii="仿宋_GB2312" w:hAnsi="宋体" w:eastAsia="仿宋_GB2312"/>
          <w:sz w:val="32"/>
          <w:szCs w:val="32"/>
          <w:highlight w:val="none"/>
        </w:rPr>
        <w:t>于年初预算数的原因主要是</w:t>
      </w:r>
      <w:r>
        <w:rPr>
          <w:rFonts w:hint="eastAsia" w:ascii="仿宋_GB2312" w:hAnsi="宋体" w:eastAsia="仿宋_GB2312"/>
          <w:sz w:val="32"/>
          <w:szCs w:val="32"/>
          <w:highlight w:val="none"/>
          <w:lang w:eastAsia="zh-CN"/>
        </w:rPr>
        <w:t>由于</w:t>
      </w:r>
      <w:r>
        <w:rPr>
          <w:rFonts w:hint="eastAsia" w:ascii="仿宋_GB2312" w:hAnsi="宋体" w:eastAsia="仿宋_GB2312"/>
          <w:sz w:val="32"/>
          <w:szCs w:val="32"/>
          <w:highlight w:val="none"/>
          <w:lang w:val="en-US" w:eastAsia="zh-CN"/>
        </w:rPr>
        <w:t>专项支出包含上年结转资金</w:t>
      </w:r>
      <w:r>
        <w:rPr>
          <w:rFonts w:hint="eastAsia" w:ascii="仿宋_GB2312" w:hAnsi="宋体" w:eastAsia="仿宋_GB2312"/>
          <w:sz w:val="32"/>
          <w:szCs w:val="32"/>
          <w:highlight w:val="none"/>
        </w:rPr>
        <w:t>。</w:t>
      </w:r>
    </w:p>
    <w:p>
      <w:pPr>
        <w:spacing w:line="560" w:lineRule="exact"/>
        <w:ind w:firstLine="660"/>
        <w:rPr>
          <w:rFonts w:hint="eastAsia" w:ascii="仿宋_GB2312" w:hAnsi="宋体" w:eastAsia="仿宋_GB2312"/>
          <w:sz w:val="32"/>
          <w:szCs w:val="32"/>
          <w:highlight w:val="none"/>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19</w:t>
      </w:r>
      <w:r>
        <w:rPr>
          <w:rFonts w:hint="eastAsia" w:ascii="仿宋_GB2312" w:hAnsi="宋体" w:eastAsia="仿宋_GB2312"/>
          <w:sz w:val="32"/>
          <w:szCs w:val="32"/>
          <w:lang w:eastAsia="zh-CN"/>
        </w:rPr>
        <w:t>）</w:t>
      </w:r>
      <w:r>
        <w:rPr>
          <w:rFonts w:ascii="仿宋_GB2312" w:hAnsi="宋体" w:eastAsia="仿宋_GB2312"/>
          <w:sz w:val="32"/>
          <w:szCs w:val="32"/>
        </w:rPr>
        <w:t>社会保障和就业支出（类）就业补助（款）其他就业补助支出（项）12737.56万元，主要是2021年高校毕业生和高新技术人才购房补贴、创业孵化基地运营奖补等就业补助等，完成预算的81.9%，</w:t>
      </w:r>
      <w:r>
        <w:rPr>
          <w:rFonts w:ascii="仿宋_GB2312" w:hAnsi="宋体" w:eastAsia="仿宋_GB2312"/>
          <w:color w:val="000000"/>
          <w:sz w:val="32"/>
          <w:szCs w:val="32"/>
        </w:rPr>
        <w:t>决算数小于年初预算数的原因主要是就业补贴采取预支方式，执</w:t>
      </w:r>
      <w:r>
        <w:rPr>
          <w:rFonts w:ascii="仿宋_GB2312" w:hAnsi="宋体" w:eastAsia="仿宋_GB2312"/>
          <w:sz w:val="32"/>
          <w:szCs w:val="32"/>
        </w:rPr>
        <w:t>行中出现减员，实际补贴数小于收入数。</w:t>
      </w:r>
    </w:p>
    <w:p>
      <w:pPr>
        <w:keepNext w:val="0"/>
        <w:keepLines w:val="0"/>
        <w:pageBreakBefore w:val="0"/>
        <w:kinsoku/>
        <w:wordWrap/>
        <w:overflowPunct/>
        <w:topLinePunct w:val="0"/>
        <w:autoSpaceDE/>
        <w:bidi w:val="0"/>
        <w:adjustRightInd/>
        <w:snapToGrid/>
        <w:spacing w:before="0" w:beforeLines="0" w:after="0" w:afterLines="0" w:line="560" w:lineRule="exact"/>
        <w:ind w:left="0" w:leftChars="0" w:right="0" w:rightChars="0" w:firstLine="660"/>
        <w:textAlignment w:val="auto"/>
        <w:outlineLvl w:val="9"/>
        <w:rPr>
          <w:rFonts w:hint="eastAsia" w:ascii="仿宋_GB2312" w:hAnsi="宋体" w:eastAsia="仿宋_GB2312"/>
          <w:sz w:val="32"/>
          <w:szCs w:val="32"/>
          <w:highlight w:val="none"/>
        </w:rPr>
      </w:pP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20</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社会保障和就业支出</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类）</w:t>
      </w:r>
      <w:r>
        <w:rPr>
          <w:rFonts w:hint="eastAsia" w:ascii="仿宋_GB2312" w:hAnsi="宋体" w:eastAsia="仿宋_GB2312"/>
          <w:color w:val="auto"/>
          <w:sz w:val="32"/>
          <w:szCs w:val="32"/>
          <w:highlight w:val="none"/>
          <w:lang w:val="en-US" w:eastAsia="zh-CN"/>
        </w:rPr>
        <w:t>抚恤</w:t>
      </w:r>
      <w:r>
        <w:rPr>
          <w:rFonts w:hint="eastAsia" w:ascii="仿宋_GB2312" w:hAnsi="宋体" w:eastAsia="仿宋_GB2312"/>
          <w:sz w:val="32"/>
          <w:szCs w:val="32"/>
          <w:highlight w:val="none"/>
          <w:lang w:val="en-US" w:eastAsia="zh-CN"/>
        </w:rPr>
        <w:t>（款）伤残抚恤</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项）73.49</w:t>
      </w:r>
      <w:r>
        <w:rPr>
          <w:rFonts w:hint="eastAsia" w:ascii="仿宋_GB2312" w:hAnsi="宋体" w:eastAsia="仿宋_GB2312"/>
          <w:sz w:val="32"/>
          <w:szCs w:val="32"/>
          <w:highlight w:val="none"/>
        </w:rPr>
        <w:t>万元</w:t>
      </w:r>
      <w:r>
        <w:rPr>
          <w:rFonts w:hint="eastAsia" w:ascii="仿宋_GB2312" w:hAnsi="宋体" w:eastAsia="仿宋_GB2312"/>
          <w:sz w:val="32"/>
          <w:szCs w:val="32"/>
          <w:highlight w:val="none"/>
          <w:lang w:eastAsia="zh-CN"/>
        </w:rPr>
        <w:t>，主要是</w:t>
      </w:r>
      <w:r>
        <w:rPr>
          <w:rFonts w:hint="eastAsia" w:ascii="仿宋_GB2312" w:eastAsia="仿宋_GB2312"/>
          <w:b w:val="0"/>
          <w:bCs w:val="0"/>
          <w:sz w:val="32"/>
          <w:szCs w:val="32"/>
          <w:highlight w:val="none"/>
          <w:lang w:val="en-US" w:eastAsia="zh-CN"/>
        </w:rPr>
        <w:t>用于伤残人员的抚恤金，</w:t>
      </w:r>
      <w:r>
        <w:rPr>
          <w:rFonts w:hint="eastAsia" w:ascii="仿宋_GB2312" w:hAnsi="宋体" w:eastAsia="仿宋_GB2312"/>
          <w:sz w:val="32"/>
          <w:szCs w:val="32"/>
          <w:highlight w:val="none"/>
        </w:rPr>
        <w:t>完成年初预算的</w:t>
      </w:r>
      <w:r>
        <w:rPr>
          <w:rFonts w:hint="eastAsia" w:ascii="仿宋_GB2312" w:hAnsi="宋体" w:eastAsia="仿宋_GB2312"/>
          <w:sz w:val="32"/>
          <w:szCs w:val="32"/>
          <w:highlight w:val="none"/>
          <w:lang w:val="en-US" w:eastAsia="zh-CN"/>
        </w:rPr>
        <w:t>100</w:t>
      </w:r>
      <w:r>
        <w:rPr>
          <w:rFonts w:hint="eastAsia" w:ascii="仿宋_GB2312" w:hAnsi="宋体" w:eastAsia="仿宋_GB2312"/>
          <w:sz w:val="32"/>
          <w:szCs w:val="32"/>
          <w:highlight w:val="none"/>
        </w:rPr>
        <w:t>%。</w:t>
      </w:r>
    </w:p>
    <w:p>
      <w:pPr>
        <w:keepNext w:val="0"/>
        <w:keepLines w:val="0"/>
        <w:pageBreakBefore w:val="0"/>
        <w:kinsoku/>
        <w:wordWrap/>
        <w:overflowPunct/>
        <w:topLinePunct w:val="0"/>
        <w:autoSpaceDE/>
        <w:bidi w:val="0"/>
        <w:adjustRightInd/>
        <w:snapToGrid/>
        <w:spacing w:before="0" w:beforeLines="0" w:after="0" w:afterLines="0" w:line="560" w:lineRule="exact"/>
        <w:ind w:left="0" w:leftChars="0" w:right="0" w:rightChars="0" w:firstLine="660"/>
        <w:textAlignment w:val="auto"/>
        <w:outlineLvl w:val="9"/>
        <w:rPr>
          <w:rFonts w:hint="eastAsia" w:ascii="仿宋_GB2312" w:hAnsi="宋体" w:eastAsia="仿宋_GB2312"/>
          <w:sz w:val="32"/>
          <w:szCs w:val="32"/>
          <w:highlight w:val="none"/>
        </w:rPr>
      </w:pPr>
      <w:r>
        <w:rPr>
          <w:rFonts w:hint="eastAsia" w:ascii="仿宋_GB2312" w:hAnsi="宋体" w:eastAsia="仿宋_GB2312"/>
          <w:sz w:val="32"/>
          <w:szCs w:val="32"/>
          <w:highlight w:val="none"/>
          <w:lang w:val="en-US" w:eastAsia="zh-CN"/>
        </w:rPr>
        <w:t>（21）社会保障和就业支出</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类）抚恤（款）其他优抚支出</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项）65.66</w:t>
      </w:r>
      <w:r>
        <w:rPr>
          <w:rFonts w:hint="eastAsia" w:ascii="仿宋_GB2312" w:hAnsi="宋体" w:eastAsia="仿宋_GB2312"/>
          <w:sz w:val="32"/>
          <w:szCs w:val="32"/>
          <w:highlight w:val="none"/>
        </w:rPr>
        <w:t>万元，主要是</w:t>
      </w:r>
      <w:r>
        <w:rPr>
          <w:rFonts w:hint="eastAsia" w:ascii="仿宋_GB2312" w:hAnsi="宋体" w:eastAsia="仿宋_GB2312"/>
          <w:sz w:val="32"/>
          <w:szCs w:val="32"/>
          <w:highlight w:val="none"/>
          <w:lang w:val="en-US" w:eastAsia="zh-CN"/>
        </w:rPr>
        <w:t>实行社会化管理服务的企业退休复转军人及参战（参试）退役人员医疗补助经费支出</w:t>
      </w:r>
      <w:r>
        <w:rPr>
          <w:rFonts w:hint="eastAsia" w:ascii="仿宋_GB2312" w:hAnsi="宋体" w:eastAsia="仿宋_GB2312"/>
          <w:sz w:val="32"/>
          <w:szCs w:val="32"/>
          <w:highlight w:val="none"/>
        </w:rPr>
        <w:t>，完成年初预算的</w:t>
      </w:r>
      <w:r>
        <w:rPr>
          <w:rFonts w:hint="eastAsia" w:ascii="仿宋_GB2312" w:hAnsi="宋体" w:eastAsia="仿宋_GB2312"/>
          <w:sz w:val="32"/>
          <w:szCs w:val="32"/>
          <w:highlight w:val="none"/>
          <w:lang w:val="en-US" w:eastAsia="zh-CN"/>
        </w:rPr>
        <w:t>100</w:t>
      </w:r>
      <w:r>
        <w:rPr>
          <w:rFonts w:hint="eastAsia" w:ascii="仿宋_GB2312" w:hAnsi="宋体" w:eastAsia="仿宋_GB2312"/>
          <w:sz w:val="32"/>
          <w:szCs w:val="32"/>
          <w:highlight w:val="none"/>
        </w:rPr>
        <w:t>%，决算数</w:t>
      </w:r>
      <w:r>
        <w:rPr>
          <w:rFonts w:hint="eastAsia" w:ascii="仿宋_GB2312" w:hAnsi="宋体" w:eastAsia="仿宋_GB2312"/>
          <w:sz w:val="32"/>
          <w:szCs w:val="32"/>
          <w:highlight w:val="none"/>
          <w:lang w:eastAsia="zh-CN"/>
        </w:rPr>
        <w:t>与年初预算数持平</w:t>
      </w:r>
      <w:r>
        <w:rPr>
          <w:rFonts w:hint="eastAsia" w:ascii="仿宋_GB2312" w:hAnsi="宋体" w:eastAsia="仿宋_GB2312"/>
          <w:sz w:val="32"/>
          <w:szCs w:val="32"/>
          <w:highlight w:val="none"/>
        </w:rPr>
        <w:t>。</w:t>
      </w:r>
    </w:p>
    <w:p>
      <w:pPr>
        <w:keepNext w:val="0"/>
        <w:keepLines w:val="0"/>
        <w:pageBreakBefore w:val="0"/>
        <w:kinsoku/>
        <w:wordWrap/>
        <w:overflowPunct/>
        <w:topLinePunct w:val="0"/>
        <w:autoSpaceDE/>
        <w:bidi w:val="0"/>
        <w:adjustRightInd/>
        <w:snapToGrid/>
        <w:spacing w:before="0" w:beforeLines="0" w:after="0" w:afterLines="0" w:line="560" w:lineRule="exact"/>
        <w:ind w:left="0" w:leftChars="0" w:right="0" w:rightChars="0" w:firstLine="660"/>
        <w:textAlignment w:val="auto"/>
        <w:outlineLvl w:val="9"/>
        <w:rPr>
          <w:rFonts w:hint="eastAsia" w:ascii="仿宋_GB2312" w:hAnsi="宋体" w:eastAsia="仿宋_GB2312"/>
          <w:sz w:val="32"/>
          <w:szCs w:val="32"/>
          <w:highlight w:val="none"/>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22</w:t>
      </w:r>
      <w:r>
        <w:rPr>
          <w:rFonts w:hint="eastAsia" w:ascii="仿宋_GB2312" w:hAnsi="宋体" w:eastAsia="仿宋_GB2312"/>
          <w:sz w:val="32"/>
          <w:szCs w:val="32"/>
          <w:lang w:eastAsia="zh-CN"/>
        </w:rPr>
        <w:t>）</w:t>
      </w:r>
      <w:r>
        <w:rPr>
          <w:rFonts w:ascii="仿宋_GB2312" w:hAnsi="宋体" w:eastAsia="仿宋_GB2312"/>
          <w:sz w:val="32"/>
          <w:szCs w:val="32"/>
        </w:rPr>
        <w:t>社会保障和就业支出（类）其他社会保障和就业支出（款）其他社会保障和就业支出（项）292.44万元，主要是民生服务岗位补贴，完成预算的100%。</w:t>
      </w:r>
    </w:p>
    <w:p>
      <w:pPr>
        <w:keepNext w:val="0"/>
        <w:keepLines w:val="0"/>
        <w:pageBreakBefore w:val="0"/>
        <w:kinsoku/>
        <w:wordWrap/>
        <w:overflowPunct/>
        <w:topLinePunct w:val="0"/>
        <w:autoSpaceDE/>
        <w:bidi w:val="0"/>
        <w:adjustRightInd/>
        <w:snapToGrid/>
        <w:spacing w:before="0" w:beforeLines="0" w:after="0" w:afterLines="0" w:line="560" w:lineRule="exact"/>
        <w:ind w:left="0" w:leftChars="0" w:right="0" w:rightChars="0" w:firstLine="660"/>
        <w:textAlignment w:val="auto"/>
        <w:outlineLvl w:val="9"/>
        <w:rPr>
          <w:rFonts w:hint="eastAsia" w:ascii="仿宋_GB2312" w:hAnsi="宋体" w:eastAsia="仿宋_GB2312"/>
          <w:sz w:val="32"/>
          <w:szCs w:val="32"/>
          <w:highlight w:val="none"/>
          <w:lang w:val="en-US" w:eastAsia="zh-CN"/>
        </w:rPr>
      </w:pPr>
      <w:r>
        <w:rPr>
          <w:rFonts w:hint="eastAsia" w:ascii="仿宋_GB2312" w:hAnsi="宋体" w:eastAsia="仿宋_GB2312"/>
          <w:sz w:val="32"/>
          <w:szCs w:val="32"/>
          <w:highlight w:val="none"/>
          <w:lang w:val="en-US" w:eastAsia="zh-CN"/>
        </w:rPr>
        <w:t>3.卫生健康支出546.31万元，具体包括：</w:t>
      </w:r>
    </w:p>
    <w:p>
      <w:pPr>
        <w:keepNext w:val="0"/>
        <w:keepLines w:val="0"/>
        <w:pageBreakBefore w:val="0"/>
        <w:kinsoku/>
        <w:wordWrap/>
        <w:overflowPunct/>
        <w:topLinePunct w:val="0"/>
        <w:autoSpaceDE/>
        <w:bidi w:val="0"/>
        <w:adjustRightInd/>
        <w:snapToGrid/>
        <w:spacing w:before="0" w:beforeLines="0" w:after="0" w:afterLines="0" w:line="560" w:lineRule="exact"/>
        <w:ind w:left="0" w:leftChars="0" w:right="0" w:rightChars="0" w:firstLine="660"/>
        <w:textAlignment w:val="auto"/>
        <w:outlineLvl w:val="9"/>
        <w:rPr>
          <w:rFonts w:hint="eastAsia" w:ascii="仿宋_GB2312" w:hAnsi="宋体" w:eastAsia="仿宋_GB2312"/>
          <w:sz w:val="32"/>
          <w:szCs w:val="32"/>
          <w:highlight w:val="none"/>
          <w:lang w:val="en-US" w:eastAsia="zh-CN"/>
        </w:rPr>
      </w:pP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1</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卫生健康支出</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类）</w:t>
      </w:r>
      <w:r>
        <w:rPr>
          <w:rFonts w:hint="eastAsia" w:ascii="仿宋_GB2312" w:hAnsi="宋体" w:eastAsia="仿宋_GB2312"/>
          <w:color w:val="auto"/>
          <w:sz w:val="32"/>
          <w:szCs w:val="32"/>
          <w:highlight w:val="none"/>
          <w:lang w:val="en-US" w:eastAsia="zh-CN"/>
        </w:rPr>
        <w:t>行政事业单位医疗</w:t>
      </w:r>
      <w:r>
        <w:rPr>
          <w:rFonts w:hint="eastAsia" w:ascii="仿宋_GB2312" w:hAnsi="宋体" w:eastAsia="仿宋_GB2312"/>
          <w:sz w:val="32"/>
          <w:szCs w:val="32"/>
          <w:highlight w:val="none"/>
          <w:lang w:val="en-US" w:eastAsia="zh-CN"/>
        </w:rPr>
        <w:t>（款）行政单位医疗</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项）122.50</w:t>
      </w:r>
      <w:r>
        <w:rPr>
          <w:rFonts w:hint="eastAsia" w:ascii="仿宋_GB2312" w:hAnsi="宋体" w:eastAsia="仿宋_GB2312"/>
          <w:sz w:val="32"/>
          <w:szCs w:val="32"/>
          <w:highlight w:val="none"/>
        </w:rPr>
        <w:t>万元</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主要是</w:t>
      </w:r>
      <w:r>
        <w:rPr>
          <w:rFonts w:hint="eastAsia" w:ascii="仿宋_GB2312" w:hAnsi="宋体" w:eastAsia="仿宋_GB2312"/>
          <w:sz w:val="32"/>
          <w:szCs w:val="32"/>
          <w:highlight w:val="none"/>
          <w:lang w:eastAsia="zh-CN"/>
        </w:rPr>
        <w:t>行政单位医疗保险支出</w:t>
      </w:r>
      <w:r>
        <w:rPr>
          <w:rFonts w:hint="eastAsia" w:ascii="仿宋_GB2312" w:hAnsi="宋体" w:eastAsia="仿宋_GB2312"/>
          <w:sz w:val="32"/>
          <w:szCs w:val="32"/>
          <w:highlight w:val="none"/>
          <w:lang w:val="en-US" w:eastAsia="zh-CN"/>
        </w:rPr>
        <w:t>122.50万元，</w:t>
      </w:r>
      <w:r>
        <w:rPr>
          <w:rFonts w:hint="eastAsia" w:ascii="仿宋_GB2312" w:hAnsi="宋体" w:eastAsia="仿宋_GB2312"/>
          <w:sz w:val="32"/>
          <w:szCs w:val="32"/>
          <w:highlight w:val="none"/>
        </w:rPr>
        <w:t>完成年初预算的</w:t>
      </w:r>
      <w:r>
        <w:rPr>
          <w:rFonts w:hint="eastAsia" w:ascii="仿宋_GB2312" w:hAnsi="宋体" w:eastAsia="仿宋_GB2312"/>
          <w:sz w:val="32"/>
          <w:szCs w:val="32"/>
          <w:highlight w:val="none"/>
          <w:lang w:val="en-US" w:eastAsia="zh-CN"/>
        </w:rPr>
        <w:t>94.17</w:t>
      </w:r>
      <w:r>
        <w:rPr>
          <w:rFonts w:hint="eastAsia" w:ascii="仿宋_GB2312" w:hAnsi="宋体" w:eastAsia="仿宋_GB2312"/>
          <w:sz w:val="32"/>
          <w:szCs w:val="32"/>
          <w:highlight w:val="none"/>
        </w:rPr>
        <w:t>%，决算数小于年初预算数的原因主要是</w:t>
      </w:r>
      <w:r>
        <w:rPr>
          <w:rFonts w:hint="eastAsia" w:ascii="仿宋_GB2312" w:hAnsi="宋体" w:eastAsia="仿宋_GB2312"/>
          <w:sz w:val="32"/>
          <w:szCs w:val="32"/>
          <w:highlight w:val="none"/>
          <w:lang w:eastAsia="zh-CN"/>
        </w:rPr>
        <w:t>新转入人员的医疗保险履行手续需要时限，资金已于</w:t>
      </w:r>
      <w:r>
        <w:rPr>
          <w:rFonts w:hint="eastAsia" w:ascii="仿宋_GB2312" w:hAnsi="宋体" w:eastAsia="仿宋_GB2312"/>
          <w:sz w:val="32"/>
          <w:szCs w:val="32"/>
          <w:highlight w:val="none"/>
          <w:lang w:val="en-US" w:eastAsia="zh-CN"/>
        </w:rPr>
        <w:t>2022年初支付完成。</w:t>
      </w:r>
    </w:p>
    <w:p>
      <w:pPr>
        <w:spacing w:line="560" w:lineRule="exact"/>
        <w:ind w:firstLine="660"/>
        <w:rPr>
          <w:rFonts w:ascii="仿宋_GB2312" w:hAnsi="宋体" w:eastAsia="仿宋_GB2312"/>
          <w:sz w:val="32"/>
          <w:szCs w:val="32"/>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2</w:t>
      </w:r>
      <w:r>
        <w:rPr>
          <w:rFonts w:hint="eastAsia" w:ascii="仿宋_GB2312" w:hAnsi="宋体" w:eastAsia="仿宋_GB2312"/>
          <w:sz w:val="32"/>
          <w:szCs w:val="32"/>
          <w:lang w:eastAsia="zh-CN"/>
        </w:rPr>
        <w:t>）</w:t>
      </w:r>
      <w:r>
        <w:rPr>
          <w:rFonts w:ascii="仿宋_GB2312" w:hAnsi="宋体" w:eastAsia="仿宋_GB2312"/>
          <w:sz w:val="32"/>
          <w:szCs w:val="32"/>
        </w:rPr>
        <w:t>卫生健康支出（类）行政事业单位医疗（款）事业单位医疗（项）</w:t>
      </w:r>
      <w:r>
        <w:rPr>
          <w:rFonts w:hint="eastAsia" w:ascii="仿宋_GB2312" w:hAnsi="宋体" w:eastAsia="仿宋_GB2312"/>
          <w:sz w:val="32"/>
          <w:szCs w:val="32"/>
          <w:lang w:val="en-US" w:eastAsia="zh-CN"/>
        </w:rPr>
        <w:t>423.81</w:t>
      </w:r>
      <w:r>
        <w:rPr>
          <w:rFonts w:ascii="仿宋_GB2312" w:hAnsi="宋体" w:eastAsia="仿宋_GB2312"/>
          <w:sz w:val="32"/>
          <w:szCs w:val="32"/>
        </w:rPr>
        <w:t>万元，主要是单位基本医疗保险缴费支出，完成预算的100</w:t>
      </w:r>
      <w:r>
        <w:rPr>
          <w:rFonts w:hint="eastAsia" w:ascii="仿宋_GB2312" w:hAnsi="宋体" w:eastAsia="仿宋_GB2312"/>
          <w:sz w:val="32"/>
          <w:szCs w:val="32"/>
          <w:lang w:val="en-US" w:eastAsia="zh-CN"/>
        </w:rPr>
        <w:t>.9</w:t>
      </w:r>
      <w:r>
        <w:rPr>
          <w:rFonts w:ascii="仿宋_GB2312" w:hAnsi="宋体" w:eastAsia="仿宋_GB2312"/>
          <w:sz w:val="32"/>
          <w:szCs w:val="32"/>
        </w:rPr>
        <w:t>%</w:t>
      </w:r>
      <w:r>
        <w:rPr>
          <w:rFonts w:hint="eastAsia" w:ascii="仿宋_GB2312" w:hAnsi="宋体" w:eastAsia="仿宋_GB2312"/>
          <w:sz w:val="32"/>
          <w:szCs w:val="32"/>
          <w:lang w:eastAsia="zh-CN"/>
        </w:rPr>
        <w:t>，</w:t>
      </w:r>
      <w:r>
        <w:rPr>
          <w:rFonts w:hint="eastAsia" w:ascii="仿宋_GB2312" w:hAnsi="宋体" w:eastAsia="仿宋_GB2312"/>
          <w:sz w:val="32"/>
          <w:szCs w:val="32"/>
          <w:highlight w:val="none"/>
        </w:rPr>
        <w:t>决算数</w:t>
      </w:r>
      <w:r>
        <w:rPr>
          <w:rFonts w:hint="eastAsia" w:ascii="仿宋_GB2312" w:hAnsi="宋体" w:eastAsia="仿宋_GB2312"/>
          <w:sz w:val="32"/>
          <w:szCs w:val="32"/>
          <w:highlight w:val="none"/>
          <w:lang w:eastAsia="zh-CN"/>
        </w:rPr>
        <w:t>大于年初预算数的原因主要是</w:t>
      </w:r>
      <w:r>
        <w:rPr>
          <w:rFonts w:hint="eastAsia" w:ascii="仿宋_GB2312" w:hAnsi="宋体" w:eastAsia="仿宋_GB2312"/>
          <w:sz w:val="32"/>
          <w:szCs w:val="32"/>
          <w:highlight w:val="none"/>
          <w:lang w:val="en-US" w:eastAsia="zh-CN"/>
        </w:rPr>
        <w:t>调整医疗保险缴存基数及为新考录人员缴纳医疗保险</w:t>
      </w:r>
      <w:r>
        <w:rPr>
          <w:rFonts w:hint="eastAsia" w:ascii="仿宋_GB2312" w:hAnsi="宋体" w:eastAsia="仿宋_GB2312"/>
          <w:sz w:val="32"/>
          <w:szCs w:val="32"/>
          <w:highlight w:val="none"/>
        </w:rPr>
        <w:t>。</w:t>
      </w:r>
    </w:p>
    <w:p>
      <w:pPr>
        <w:keepNext w:val="0"/>
        <w:keepLines w:val="0"/>
        <w:pageBreakBefore w:val="0"/>
        <w:kinsoku/>
        <w:wordWrap/>
        <w:overflowPunct/>
        <w:topLinePunct w:val="0"/>
        <w:autoSpaceDE/>
        <w:bidi w:val="0"/>
        <w:adjustRightInd/>
        <w:snapToGrid/>
        <w:spacing w:before="0" w:beforeLines="0" w:after="0" w:afterLines="0" w:line="560" w:lineRule="exact"/>
        <w:ind w:left="0" w:leftChars="0" w:right="0" w:rightChars="0" w:firstLine="660"/>
        <w:textAlignment w:val="auto"/>
        <w:outlineLvl w:val="9"/>
        <w:rPr>
          <w:rFonts w:hint="eastAsia" w:ascii="仿宋_GB2312" w:hAnsi="宋体" w:eastAsia="仿宋_GB2312"/>
          <w:sz w:val="32"/>
          <w:szCs w:val="32"/>
          <w:highlight w:val="none"/>
          <w:lang w:val="en-US" w:eastAsia="zh-CN"/>
        </w:rPr>
      </w:pPr>
    </w:p>
    <w:p>
      <w:pPr>
        <w:keepNext w:val="0"/>
        <w:keepLines w:val="0"/>
        <w:pageBreakBefore w:val="0"/>
        <w:kinsoku/>
        <w:wordWrap/>
        <w:overflowPunct/>
        <w:topLinePunct w:val="0"/>
        <w:autoSpaceDE/>
        <w:bidi w:val="0"/>
        <w:adjustRightInd/>
        <w:snapToGrid/>
        <w:spacing w:before="0" w:beforeLines="0" w:after="0" w:afterLines="0" w:line="560" w:lineRule="exact"/>
        <w:ind w:left="0" w:leftChars="0" w:right="0" w:rightChars="0" w:firstLine="660"/>
        <w:textAlignment w:val="auto"/>
        <w:outlineLvl w:val="9"/>
        <w:rPr>
          <w:rFonts w:hint="eastAsia" w:ascii="仿宋_GB2312" w:hAnsi="宋体" w:eastAsia="仿宋_GB2312"/>
          <w:sz w:val="32"/>
          <w:szCs w:val="32"/>
          <w:highlight w:val="none"/>
          <w:lang w:val="en-US" w:eastAsia="zh-CN"/>
        </w:rPr>
      </w:pPr>
      <w:r>
        <w:rPr>
          <w:rFonts w:hint="eastAsia" w:ascii="仿宋_GB2312" w:hAnsi="宋体" w:eastAsia="仿宋_GB2312"/>
          <w:sz w:val="32"/>
          <w:szCs w:val="32"/>
          <w:highlight w:val="none"/>
          <w:lang w:val="en-US" w:eastAsia="zh-CN"/>
        </w:rPr>
        <w:t>4.节能环保支出4504.15万元，具体包括：</w:t>
      </w:r>
    </w:p>
    <w:p>
      <w:pPr>
        <w:keepNext w:val="0"/>
        <w:keepLines w:val="0"/>
        <w:pageBreakBefore w:val="0"/>
        <w:kinsoku/>
        <w:wordWrap/>
        <w:overflowPunct/>
        <w:topLinePunct w:val="0"/>
        <w:autoSpaceDE/>
        <w:bidi w:val="0"/>
        <w:adjustRightInd/>
        <w:snapToGrid/>
        <w:spacing w:before="0" w:beforeLines="0" w:after="0" w:afterLines="0" w:line="560" w:lineRule="exact"/>
        <w:ind w:left="0" w:leftChars="0" w:right="0" w:rightChars="0" w:firstLine="660"/>
        <w:textAlignment w:val="auto"/>
        <w:outlineLvl w:val="9"/>
        <w:rPr>
          <w:rFonts w:hint="eastAsia" w:ascii="仿宋_GB2312" w:hAnsi="宋体" w:eastAsia="仿宋_GB2312"/>
          <w:sz w:val="32"/>
          <w:szCs w:val="32"/>
          <w:highlight w:val="none"/>
          <w:lang w:eastAsia="zh-CN"/>
        </w:rPr>
      </w:pPr>
      <w:r>
        <w:rPr>
          <w:rFonts w:hint="eastAsia" w:ascii="仿宋_GB2312" w:hAnsi="宋体" w:eastAsia="仿宋_GB2312"/>
          <w:sz w:val="32"/>
          <w:szCs w:val="32"/>
          <w:highlight w:val="none"/>
          <w:lang w:val="en-US" w:eastAsia="zh-CN"/>
        </w:rPr>
        <w:t>节能环保支出</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类）</w:t>
      </w:r>
      <w:r>
        <w:rPr>
          <w:rFonts w:hint="eastAsia" w:ascii="仿宋_GB2312" w:hAnsi="宋体" w:eastAsia="仿宋_GB2312"/>
          <w:color w:val="auto"/>
          <w:sz w:val="32"/>
          <w:szCs w:val="32"/>
          <w:highlight w:val="none"/>
          <w:lang w:val="en-US" w:eastAsia="zh-CN"/>
        </w:rPr>
        <w:t>其他节能环保支出</w:t>
      </w:r>
      <w:r>
        <w:rPr>
          <w:rFonts w:hint="eastAsia" w:ascii="仿宋_GB2312" w:hAnsi="宋体" w:eastAsia="仿宋_GB2312"/>
          <w:sz w:val="32"/>
          <w:szCs w:val="32"/>
          <w:highlight w:val="none"/>
          <w:lang w:val="en-US" w:eastAsia="zh-CN"/>
        </w:rPr>
        <w:t>（款）其他节能环保支出</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项）4504.15</w:t>
      </w:r>
      <w:r>
        <w:rPr>
          <w:rFonts w:hint="eastAsia" w:ascii="仿宋_GB2312" w:hAnsi="宋体" w:eastAsia="仿宋_GB2312"/>
          <w:sz w:val="32"/>
          <w:szCs w:val="32"/>
          <w:highlight w:val="none"/>
        </w:rPr>
        <w:t>万元</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主要是</w:t>
      </w:r>
      <w:r>
        <w:rPr>
          <w:rFonts w:hint="eastAsia" w:ascii="仿宋_GB2312" w:hAnsi="宋体" w:eastAsia="仿宋_GB2312"/>
          <w:sz w:val="32"/>
          <w:szCs w:val="32"/>
          <w:highlight w:val="none"/>
          <w:lang w:eastAsia="zh-CN"/>
        </w:rPr>
        <w:t>一次性吸纳补贴资金</w:t>
      </w:r>
      <w:r>
        <w:rPr>
          <w:rFonts w:hint="eastAsia" w:ascii="仿宋_GB2312" w:hAnsi="宋体" w:eastAsia="仿宋_GB2312"/>
          <w:sz w:val="32"/>
          <w:szCs w:val="32"/>
          <w:highlight w:val="none"/>
          <w:lang w:val="en-US" w:eastAsia="zh-CN"/>
        </w:rPr>
        <w:t>816.00万元，就业见习补贴2480.34万元等支出，</w:t>
      </w:r>
      <w:r>
        <w:rPr>
          <w:rFonts w:hint="eastAsia" w:ascii="仿宋_GB2312" w:hAnsi="宋体" w:eastAsia="仿宋_GB2312"/>
          <w:sz w:val="32"/>
          <w:szCs w:val="32"/>
          <w:highlight w:val="none"/>
        </w:rPr>
        <w:t>完成年初预算的</w:t>
      </w:r>
      <w:r>
        <w:rPr>
          <w:rFonts w:hint="eastAsia" w:ascii="仿宋_GB2312" w:hAnsi="宋体" w:eastAsia="仿宋_GB2312"/>
          <w:sz w:val="32"/>
          <w:szCs w:val="32"/>
          <w:highlight w:val="none"/>
          <w:lang w:val="en-US" w:eastAsia="zh-CN"/>
        </w:rPr>
        <w:t>100</w:t>
      </w:r>
      <w:r>
        <w:rPr>
          <w:rFonts w:hint="eastAsia" w:ascii="仿宋_GB2312" w:hAnsi="宋体" w:eastAsia="仿宋_GB2312"/>
          <w:sz w:val="32"/>
          <w:szCs w:val="32"/>
          <w:highlight w:val="none"/>
        </w:rPr>
        <w:t>%</w:t>
      </w:r>
      <w:r>
        <w:rPr>
          <w:rFonts w:hint="eastAsia" w:ascii="仿宋_GB2312" w:hAnsi="宋体" w:eastAsia="仿宋_GB2312"/>
          <w:sz w:val="32"/>
          <w:szCs w:val="32"/>
          <w:highlight w:val="none"/>
          <w:lang w:eastAsia="zh-CN"/>
        </w:rPr>
        <w:t>。</w:t>
      </w:r>
    </w:p>
    <w:p>
      <w:pPr>
        <w:keepNext w:val="0"/>
        <w:keepLines w:val="0"/>
        <w:pageBreakBefore w:val="0"/>
        <w:kinsoku/>
        <w:wordWrap/>
        <w:overflowPunct/>
        <w:topLinePunct w:val="0"/>
        <w:autoSpaceDE/>
        <w:bidi w:val="0"/>
        <w:adjustRightInd/>
        <w:snapToGrid/>
        <w:spacing w:before="0" w:beforeLines="0" w:after="0" w:afterLines="0" w:line="560" w:lineRule="exact"/>
        <w:ind w:left="0" w:leftChars="0" w:right="0" w:rightChars="0" w:firstLine="660"/>
        <w:textAlignment w:val="auto"/>
        <w:outlineLvl w:val="9"/>
        <w:rPr>
          <w:rFonts w:hint="eastAsia" w:ascii="仿宋_GB2312" w:hAnsi="宋体" w:eastAsia="仿宋_GB2312"/>
          <w:sz w:val="32"/>
          <w:szCs w:val="32"/>
          <w:highlight w:val="none"/>
          <w:lang w:val="en-US" w:eastAsia="zh-CN"/>
        </w:rPr>
      </w:pPr>
      <w:r>
        <w:rPr>
          <w:rFonts w:hint="eastAsia" w:ascii="仿宋_GB2312" w:hAnsi="宋体" w:eastAsia="仿宋_GB2312"/>
          <w:sz w:val="32"/>
          <w:szCs w:val="32"/>
          <w:highlight w:val="none"/>
          <w:lang w:val="en-US" w:eastAsia="zh-CN"/>
        </w:rPr>
        <w:t>5.住房保障支出1898.69万元，具体包括：</w:t>
      </w:r>
    </w:p>
    <w:p>
      <w:pPr>
        <w:spacing w:line="560" w:lineRule="exact"/>
        <w:ind w:firstLine="660"/>
        <w:rPr>
          <w:rFonts w:hint="eastAsia" w:ascii="仿宋_GB2312" w:hAnsi="宋体" w:eastAsia="仿宋_GB2312"/>
          <w:sz w:val="32"/>
          <w:szCs w:val="32"/>
          <w:highlight w:val="none"/>
          <w:lang w:eastAsia="zh-CN"/>
        </w:rPr>
      </w:pPr>
      <w:r>
        <w:rPr>
          <w:rFonts w:hint="eastAsia" w:ascii="仿宋_GB2312" w:hAnsi="宋体" w:eastAsia="仿宋_GB2312"/>
          <w:sz w:val="32"/>
          <w:szCs w:val="32"/>
          <w:highlight w:val="none"/>
          <w:lang w:val="en-US" w:eastAsia="zh-CN"/>
        </w:rPr>
        <w:t>（1）住房保障支出</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类）</w:t>
      </w:r>
      <w:r>
        <w:rPr>
          <w:rFonts w:hint="eastAsia" w:ascii="仿宋_GB2312" w:hAnsi="宋体" w:eastAsia="仿宋_GB2312"/>
          <w:color w:val="auto"/>
          <w:sz w:val="32"/>
          <w:szCs w:val="32"/>
          <w:highlight w:val="none"/>
          <w:lang w:val="en-US" w:eastAsia="zh-CN"/>
        </w:rPr>
        <w:t>住房改革支出</w:t>
      </w:r>
      <w:r>
        <w:rPr>
          <w:rFonts w:hint="eastAsia" w:ascii="仿宋_GB2312" w:hAnsi="宋体" w:eastAsia="仿宋_GB2312"/>
          <w:sz w:val="32"/>
          <w:szCs w:val="32"/>
          <w:highlight w:val="none"/>
          <w:lang w:val="en-US" w:eastAsia="zh-CN"/>
        </w:rPr>
        <w:t>（款）住房公积金</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项）1490.81</w:t>
      </w:r>
      <w:r>
        <w:rPr>
          <w:rFonts w:hint="eastAsia" w:ascii="仿宋_GB2312" w:hAnsi="宋体" w:eastAsia="仿宋_GB2312"/>
          <w:sz w:val="32"/>
          <w:szCs w:val="32"/>
          <w:highlight w:val="none"/>
        </w:rPr>
        <w:t>万元</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主要是</w:t>
      </w:r>
      <w:r>
        <w:rPr>
          <w:rFonts w:hint="eastAsia" w:ascii="仿宋_GB2312" w:hAnsi="宋体" w:eastAsia="仿宋_GB2312"/>
          <w:sz w:val="32"/>
          <w:szCs w:val="32"/>
          <w:highlight w:val="none"/>
          <w:lang w:eastAsia="zh-CN"/>
        </w:rPr>
        <w:t>行政单位职工的住房公积金支出</w:t>
      </w:r>
      <w:r>
        <w:rPr>
          <w:rFonts w:hint="eastAsia" w:ascii="仿宋_GB2312" w:hAnsi="宋体" w:eastAsia="仿宋_GB2312"/>
          <w:sz w:val="32"/>
          <w:szCs w:val="32"/>
          <w:highlight w:val="none"/>
          <w:lang w:val="en-US" w:eastAsia="zh-CN"/>
        </w:rPr>
        <w:t>，</w:t>
      </w:r>
      <w:r>
        <w:rPr>
          <w:rFonts w:hint="eastAsia" w:ascii="仿宋_GB2312" w:hAnsi="宋体" w:eastAsia="仿宋_GB2312"/>
          <w:sz w:val="32"/>
          <w:szCs w:val="32"/>
          <w:highlight w:val="none"/>
        </w:rPr>
        <w:t>完成年初预算的</w:t>
      </w:r>
      <w:r>
        <w:rPr>
          <w:rFonts w:hint="eastAsia" w:ascii="仿宋_GB2312" w:hAnsi="宋体" w:eastAsia="仿宋_GB2312"/>
          <w:sz w:val="32"/>
          <w:szCs w:val="32"/>
          <w:highlight w:val="none"/>
          <w:lang w:val="en-US" w:eastAsia="zh-CN"/>
        </w:rPr>
        <w:t>98.86</w:t>
      </w:r>
      <w:r>
        <w:rPr>
          <w:rFonts w:hint="eastAsia" w:ascii="仿宋_GB2312" w:hAnsi="宋体" w:eastAsia="仿宋_GB2312"/>
          <w:sz w:val="32"/>
          <w:szCs w:val="32"/>
          <w:highlight w:val="none"/>
        </w:rPr>
        <w:t>%</w:t>
      </w:r>
      <w:r>
        <w:rPr>
          <w:rFonts w:hint="eastAsia" w:ascii="仿宋_GB2312" w:hAnsi="宋体" w:eastAsia="仿宋_GB2312"/>
          <w:sz w:val="32"/>
          <w:szCs w:val="32"/>
          <w:highlight w:val="none"/>
          <w:lang w:val="en-US" w:eastAsia="zh-CN"/>
        </w:rPr>
        <w:t>，</w:t>
      </w:r>
      <w:r>
        <w:rPr>
          <w:rFonts w:ascii="仿宋_GB2312" w:hAnsi="宋体" w:eastAsia="仿宋_GB2312"/>
          <w:sz w:val="32"/>
          <w:szCs w:val="32"/>
        </w:rPr>
        <w:t>决算数小于年初预算数的原因主要是在职转退休等人员变动，实际支出略小于预算数。</w:t>
      </w:r>
    </w:p>
    <w:p>
      <w:pPr>
        <w:keepNext w:val="0"/>
        <w:keepLines w:val="0"/>
        <w:pageBreakBefore w:val="0"/>
        <w:kinsoku/>
        <w:wordWrap/>
        <w:overflowPunct/>
        <w:topLinePunct w:val="0"/>
        <w:autoSpaceDE/>
        <w:bidi w:val="0"/>
        <w:adjustRightInd/>
        <w:snapToGrid/>
        <w:spacing w:before="0" w:beforeLines="0" w:after="0" w:afterLines="0" w:line="560" w:lineRule="exact"/>
        <w:ind w:left="0" w:leftChars="0" w:right="0" w:rightChars="0" w:firstLine="660"/>
        <w:textAlignment w:val="auto"/>
        <w:outlineLvl w:val="9"/>
        <w:rPr>
          <w:rFonts w:hint="eastAsia" w:ascii="仿宋_GB2312" w:hAnsi="宋体" w:eastAsia="仿宋_GB2312"/>
          <w:sz w:val="32"/>
          <w:szCs w:val="32"/>
          <w:highlight w:val="none"/>
        </w:rPr>
      </w:pP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2</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住房保障支出</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类）</w:t>
      </w:r>
      <w:r>
        <w:rPr>
          <w:rFonts w:hint="eastAsia" w:ascii="仿宋_GB2312" w:hAnsi="宋体" w:eastAsia="仿宋_GB2312"/>
          <w:color w:val="auto"/>
          <w:sz w:val="32"/>
          <w:szCs w:val="32"/>
          <w:highlight w:val="none"/>
          <w:lang w:val="en-US" w:eastAsia="zh-CN"/>
        </w:rPr>
        <w:t>住房改革支出</w:t>
      </w:r>
      <w:r>
        <w:rPr>
          <w:rFonts w:hint="eastAsia" w:ascii="仿宋_GB2312" w:hAnsi="宋体" w:eastAsia="仿宋_GB2312"/>
          <w:sz w:val="32"/>
          <w:szCs w:val="32"/>
          <w:highlight w:val="none"/>
          <w:lang w:val="en-US" w:eastAsia="zh-CN"/>
        </w:rPr>
        <w:t>（款）购房补贴</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项）406.36</w:t>
      </w:r>
      <w:r>
        <w:rPr>
          <w:rFonts w:hint="eastAsia" w:ascii="仿宋_GB2312" w:hAnsi="宋体" w:eastAsia="仿宋_GB2312"/>
          <w:sz w:val="32"/>
          <w:szCs w:val="32"/>
          <w:highlight w:val="none"/>
        </w:rPr>
        <w:t>万元</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主要是</w:t>
      </w:r>
      <w:r>
        <w:rPr>
          <w:rFonts w:ascii="仿宋_GB2312" w:hAnsi="宋体" w:eastAsia="仿宋_GB2312"/>
          <w:sz w:val="32"/>
          <w:szCs w:val="32"/>
        </w:rPr>
        <w:t>向符合条件职工发放的购房补贴</w:t>
      </w:r>
      <w:r>
        <w:rPr>
          <w:rFonts w:hint="eastAsia" w:ascii="仿宋_GB2312" w:hAnsi="宋体" w:eastAsia="仿宋_GB2312"/>
          <w:sz w:val="32"/>
          <w:szCs w:val="32"/>
          <w:highlight w:val="none"/>
          <w:lang w:val="en-US" w:eastAsia="zh-CN"/>
        </w:rPr>
        <w:t>，</w:t>
      </w:r>
      <w:r>
        <w:rPr>
          <w:rFonts w:hint="eastAsia" w:ascii="仿宋_GB2312" w:hAnsi="宋体" w:eastAsia="仿宋_GB2312"/>
          <w:sz w:val="32"/>
          <w:szCs w:val="32"/>
          <w:highlight w:val="none"/>
        </w:rPr>
        <w:t>完成年初预算的</w:t>
      </w:r>
      <w:r>
        <w:rPr>
          <w:rFonts w:hint="eastAsia" w:ascii="仿宋_GB2312" w:hAnsi="宋体" w:eastAsia="仿宋_GB2312"/>
          <w:sz w:val="32"/>
          <w:szCs w:val="32"/>
          <w:highlight w:val="none"/>
          <w:lang w:val="en-US" w:eastAsia="zh-CN"/>
        </w:rPr>
        <w:t>119.94</w:t>
      </w:r>
      <w:r>
        <w:rPr>
          <w:rFonts w:hint="eastAsia" w:ascii="仿宋_GB2312" w:hAnsi="宋体" w:eastAsia="仿宋_GB2312"/>
          <w:sz w:val="32"/>
          <w:szCs w:val="32"/>
          <w:highlight w:val="none"/>
        </w:rPr>
        <w:t>%。决算数</w:t>
      </w:r>
      <w:r>
        <w:rPr>
          <w:rFonts w:hint="eastAsia" w:ascii="仿宋_GB2312" w:hAnsi="宋体" w:eastAsia="仿宋_GB2312"/>
          <w:sz w:val="32"/>
          <w:szCs w:val="32"/>
          <w:highlight w:val="none"/>
          <w:lang w:eastAsia="zh-CN"/>
        </w:rPr>
        <w:t>大</w:t>
      </w:r>
      <w:r>
        <w:rPr>
          <w:rFonts w:hint="eastAsia" w:ascii="仿宋_GB2312" w:hAnsi="宋体" w:eastAsia="仿宋_GB2312"/>
          <w:sz w:val="32"/>
          <w:szCs w:val="32"/>
          <w:highlight w:val="none"/>
        </w:rPr>
        <w:t>于年初预算数的原因主要是</w:t>
      </w:r>
      <w:r>
        <w:rPr>
          <w:rFonts w:hint="eastAsia" w:ascii="仿宋_GB2312" w:hAnsi="宋体" w:eastAsia="仿宋_GB2312"/>
          <w:sz w:val="32"/>
          <w:szCs w:val="32"/>
          <w:highlight w:val="none"/>
          <w:lang w:eastAsia="zh-CN"/>
        </w:rPr>
        <w:t>存在新招录人员，支出增加。</w:t>
      </w:r>
    </w:p>
    <w:p>
      <w:pPr>
        <w:keepNext w:val="0"/>
        <w:keepLines w:val="0"/>
        <w:pageBreakBefore w:val="0"/>
        <w:kinsoku/>
        <w:wordWrap/>
        <w:overflowPunct/>
        <w:topLinePunct w:val="0"/>
        <w:autoSpaceDE/>
        <w:bidi w:val="0"/>
        <w:adjustRightInd/>
        <w:snapToGrid/>
        <w:spacing w:before="0" w:beforeLines="0" w:after="0" w:afterLines="0" w:line="560" w:lineRule="exact"/>
        <w:ind w:left="0" w:leftChars="0" w:right="0" w:rightChars="0" w:firstLine="660"/>
        <w:textAlignment w:val="auto"/>
        <w:outlineLvl w:val="9"/>
        <w:rPr>
          <w:rFonts w:hint="eastAsia" w:ascii="仿宋_GB2312" w:hAnsi="宋体" w:eastAsia="仿宋_GB2312"/>
          <w:sz w:val="32"/>
          <w:szCs w:val="32"/>
          <w:highlight w:val="none"/>
          <w:lang w:eastAsia="zh-CN"/>
        </w:rPr>
      </w:pPr>
      <w:r>
        <w:rPr>
          <w:rFonts w:hint="eastAsia" w:ascii="仿宋_GB2312" w:hAnsi="宋体" w:eastAsia="仿宋_GB2312"/>
          <w:sz w:val="32"/>
          <w:szCs w:val="32"/>
          <w:highlight w:val="none"/>
          <w:lang w:val="en-US" w:eastAsia="zh-CN"/>
        </w:rPr>
        <w:t>（3）住房保障支出</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类）</w:t>
      </w:r>
      <w:r>
        <w:rPr>
          <w:rFonts w:hint="eastAsia" w:ascii="仿宋_GB2312" w:hAnsi="宋体" w:eastAsia="仿宋_GB2312"/>
          <w:color w:val="auto"/>
          <w:sz w:val="32"/>
          <w:szCs w:val="32"/>
          <w:highlight w:val="none"/>
          <w:lang w:val="en-US" w:eastAsia="zh-CN"/>
        </w:rPr>
        <w:t>住房改革支出</w:t>
      </w:r>
      <w:r>
        <w:rPr>
          <w:rFonts w:hint="eastAsia" w:ascii="仿宋_GB2312" w:hAnsi="宋体" w:eastAsia="仿宋_GB2312"/>
          <w:sz w:val="32"/>
          <w:szCs w:val="32"/>
          <w:highlight w:val="none"/>
          <w:lang w:val="en-US" w:eastAsia="zh-CN"/>
        </w:rPr>
        <w:t>（款） 提租补贴</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项）1.52</w:t>
      </w:r>
      <w:r>
        <w:rPr>
          <w:rFonts w:hint="eastAsia" w:ascii="仿宋_GB2312" w:hAnsi="宋体" w:eastAsia="仿宋_GB2312"/>
          <w:sz w:val="32"/>
          <w:szCs w:val="32"/>
          <w:highlight w:val="none"/>
        </w:rPr>
        <w:t>万元</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主要是</w:t>
      </w:r>
      <w:r>
        <w:rPr>
          <w:rFonts w:hint="eastAsia" w:ascii="仿宋_GB2312" w:hAnsi="宋体" w:eastAsia="仿宋_GB2312"/>
          <w:sz w:val="32"/>
          <w:szCs w:val="32"/>
          <w:highlight w:val="none"/>
          <w:lang w:eastAsia="zh-CN"/>
        </w:rPr>
        <w:t>职工货币化改革补贴</w:t>
      </w:r>
      <w:r>
        <w:rPr>
          <w:rFonts w:hint="eastAsia" w:ascii="仿宋_GB2312" w:hAnsi="宋体" w:eastAsia="仿宋_GB2312"/>
          <w:sz w:val="32"/>
          <w:szCs w:val="32"/>
          <w:highlight w:val="none"/>
          <w:lang w:val="en-US" w:eastAsia="zh-CN"/>
        </w:rPr>
        <w:t>1.52万元，</w:t>
      </w:r>
      <w:r>
        <w:rPr>
          <w:rFonts w:hint="eastAsia" w:ascii="仿宋_GB2312" w:hAnsi="宋体" w:eastAsia="仿宋_GB2312"/>
          <w:sz w:val="32"/>
          <w:szCs w:val="32"/>
          <w:highlight w:val="none"/>
        </w:rPr>
        <w:t>完成年初预算的</w:t>
      </w:r>
      <w:r>
        <w:rPr>
          <w:rFonts w:hint="eastAsia" w:ascii="仿宋_GB2312" w:hAnsi="宋体" w:eastAsia="仿宋_GB2312"/>
          <w:sz w:val="32"/>
          <w:szCs w:val="32"/>
          <w:highlight w:val="none"/>
          <w:lang w:val="en-US" w:eastAsia="zh-CN"/>
        </w:rPr>
        <w:t>100</w:t>
      </w:r>
      <w:r>
        <w:rPr>
          <w:rFonts w:hint="eastAsia" w:ascii="仿宋_GB2312" w:hAnsi="宋体" w:eastAsia="仿宋_GB2312"/>
          <w:sz w:val="32"/>
          <w:szCs w:val="32"/>
          <w:highlight w:val="none"/>
        </w:rPr>
        <w:t>%。</w:t>
      </w:r>
    </w:p>
    <w:p>
      <w:pPr>
        <w:spacing w:line="560" w:lineRule="exact"/>
        <w:ind w:firstLine="660"/>
        <w:rPr>
          <w:rFonts w:hint="default" w:ascii="楷体_GB2312" w:hAnsi="宋体" w:eastAsia="楷体_GB2312"/>
          <w:b/>
          <w:sz w:val="32"/>
          <w:szCs w:val="32"/>
        </w:rPr>
      </w:pPr>
      <w:r>
        <w:rPr>
          <w:rFonts w:ascii="楷体_GB2312" w:hAnsi="宋体" w:eastAsia="楷体_GB2312"/>
          <w:b/>
          <w:sz w:val="32"/>
          <w:szCs w:val="32"/>
        </w:rPr>
        <w:t>（三）政府性基金预算财政拨款支出情况</w:t>
      </w:r>
    </w:p>
    <w:p>
      <w:pPr>
        <w:spacing w:line="560" w:lineRule="exact"/>
        <w:ind w:firstLine="660"/>
        <w:rPr>
          <w:rFonts w:hint="eastAsia" w:ascii="仿宋_GB2312" w:hAnsi="宋体" w:eastAsia="仿宋_GB2312"/>
          <w:sz w:val="32"/>
          <w:szCs w:val="32"/>
          <w:lang w:val="en-US" w:eastAsia="zh-CN"/>
        </w:rPr>
      </w:pPr>
      <w:r>
        <w:rPr>
          <w:rFonts w:ascii="仿宋_GB2312" w:hAnsi="宋体" w:eastAsia="仿宋_GB2312"/>
          <w:sz w:val="32"/>
          <w:szCs w:val="32"/>
        </w:rPr>
        <w:t>2021年度政府性基金预算财政拨款支出</w:t>
      </w:r>
      <w:r>
        <w:rPr>
          <w:rFonts w:hint="eastAsia" w:ascii="仿宋_GB2312" w:hAnsi="宋体" w:eastAsia="仿宋_GB2312"/>
          <w:sz w:val="32"/>
          <w:szCs w:val="32"/>
          <w:lang w:val="en-US" w:eastAsia="zh-CN"/>
        </w:rPr>
        <w:t>0</w:t>
      </w:r>
      <w:r>
        <w:rPr>
          <w:rFonts w:ascii="仿宋_GB2312" w:hAnsi="宋体" w:eastAsia="仿宋_GB2312"/>
          <w:sz w:val="32"/>
          <w:szCs w:val="32"/>
        </w:rPr>
        <w:t>万元</w:t>
      </w:r>
      <w:r>
        <w:rPr>
          <w:rFonts w:hint="eastAsia" w:ascii="仿宋_GB2312" w:hAnsi="宋体" w:eastAsia="仿宋_GB2312"/>
          <w:sz w:val="32"/>
          <w:szCs w:val="32"/>
          <w:lang w:eastAsia="zh-CN"/>
        </w:rPr>
        <w:t>。</w:t>
      </w:r>
    </w:p>
    <w:p>
      <w:pPr>
        <w:spacing w:line="560" w:lineRule="exact"/>
        <w:ind w:firstLine="660"/>
        <w:rPr>
          <w:rFonts w:hint="default" w:ascii="楷体_GB2312" w:hAnsi="宋体" w:eastAsia="楷体_GB2312"/>
          <w:b/>
          <w:sz w:val="32"/>
          <w:szCs w:val="32"/>
        </w:rPr>
      </w:pPr>
      <w:r>
        <w:rPr>
          <w:rFonts w:ascii="楷体_GB2312" w:hAnsi="宋体" w:eastAsia="楷体_GB2312"/>
          <w:b/>
          <w:sz w:val="32"/>
          <w:szCs w:val="32"/>
        </w:rPr>
        <w:t>（四）国有资本经营预算财政拨款支出情况</w:t>
      </w:r>
    </w:p>
    <w:p>
      <w:pPr>
        <w:spacing w:line="560" w:lineRule="exact"/>
        <w:ind w:firstLine="660"/>
        <w:rPr>
          <w:rFonts w:hint="eastAsia" w:ascii="仿宋_GB2312" w:hAnsi="宋体" w:eastAsia="仿宋_GB2312"/>
          <w:sz w:val="32"/>
          <w:szCs w:val="32"/>
          <w:lang w:val="en-US" w:eastAsia="zh-CN"/>
        </w:rPr>
      </w:pPr>
      <w:r>
        <w:rPr>
          <w:rFonts w:ascii="仿宋_GB2312" w:hAnsi="宋体" w:eastAsia="仿宋_GB2312"/>
          <w:sz w:val="32"/>
          <w:szCs w:val="32"/>
        </w:rPr>
        <w:t>2021年度国有资本经营预算财政拨款支出</w:t>
      </w:r>
      <w:r>
        <w:rPr>
          <w:rFonts w:hint="eastAsia" w:ascii="仿宋_GB2312" w:hAnsi="宋体" w:eastAsia="仿宋_GB2312"/>
          <w:sz w:val="32"/>
          <w:szCs w:val="32"/>
          <w:lang w:val="en-US" w:eastAsia="zh-CN"/>
        </w:rPr>
        <w:t>0</w:t>
      </w:r>
      <w:r>
        <w:rPr>
          <w:rFonts w:ascii="仿宋_GB2312" w:hAnsi="宋体" w:eastAsia="仿宋_GB2312"/>
          <w:sz w:val="32"/>
          <w:szCs w:val="32"/>
        </w:rPr>
        <w:t>万元</w:t>
      </w:r>
      <w:r>
        <w:rPr>
          <w:rFonts w:hint="eastAsia" w:ascii="仿宋_GB2312" w:hAnsi="宋体" w:eastAsia="仿宋_GB2312"/>
          <w:sz w:val="32"/>
          <w:szCs w:val="32"/>
          <w:lang w:eastAsia="zh-CN"/>
        </w:rPr>
        <w:t>。</w:t>
      </w:r>
    </w:p>
    <w:p>
      <w:pPr>
        <w:pStyle w:val="7"/>
        <w:spacing w:line="560" w:lineRule="exact"/>
        <w:ind w:firstLine="660"/>
        <w:rPr>
          <w:rFonts w:hint="default" w:ascii="黑体" w:eastAsia="黑体"/>
          <w:sz w:val="32"/>
        </w:rPr>
      </w:pPr>
      <w:r>
        <w:rPr>
          <w:rFonts w:ascii="黑体" w:eastAsia="黑体"/>
          <w:sz w:val="32"/>
        </w:rPr>
        <w:t>三、一般公共预算财政拨款“三公”经费支出决算情况说明</w:t>
      </w:r>
    </w:p>
    <w:p>
      <w:pPr>
        <w:pStyle w:val="7"/>
        <w:keepNext w:val="0"/>
        <w:keepLines w:val="0"/>
        <w:pageBreakBefore w:val="0"/>
        <w:widowControl/>
        <w:kinsoku/>
        <w:wordWrap/>
        <w:overflowPunct/>
        <w:topLinePunct w:val="0"/>
        <w:autoSpaceDE/>
        <w:autoSpaceDN w:val="0"/>
        <w:bidi w:val="0"/>
        <w:adjustRightInd/>
        <w:snapToGrid/>
        <w:spacing w:before="0" w:beforeLines="0" w:after="0" w:afterLines="0" w:line="560" w:lineRule="exact"/>
        <w:ind w:left="0" w:leftChars="0" w:right="0" w:rightChars="0" w:firstLine="645"/>
        <w:jc w:val="both"/>
        <w:textAlignment w:val="auto"/>
        <w:outlineLvl w:val="9"/>
        <w:rPr>
          <w:rFonts w:hint="default" w:ascii="仿宋_GB2312" w:eastAsia="仿宋_GB2312"/>
          <w:sz w:val="32"/>
          <w:highlight w:val="none"/>
        </w:rPr>
      </w:pPr>
      <w:r>
        <w:rPr>
          <w:rFonts w:ascii="仿宋_GB2312" w:eastAsia="仿宋_GB2312"/>
          <w:sz w:val="32"/>
        </w:rPr>
        <w:t>2021年度一般公共预算财政拨款安排的“三公”经费支出</w:t>
      </w:r>
      <w:r>
        <w:rPr>
          <w:rFonts w:hint="eastAsia" w:ascii="仿宋_GB2312" w:eastAsia="仿宋_GB2312"/>
          <w:sz w:val="32"/>
          <w:lang w:val="en-US" w:eastAsia="zh-CN"/>
        </w:rPr>
        <w:t>21.52</w:t>
      </w:r>
      <w:r>
        <w:rPr>
          <w:rFonts w:ascii="仿宋_GB2312" w:eastAsia="仿宋_GB2312"/>
          <w:sz w:val="32"/>
        </w:rPr>
        <w:t>万元，完成年初预算的</w:t>
      </w:r>
      <w:r>
        <w:rPr>
          <w:rFonts w:hint="eastAsia" w:ascii="仿宋_GB2312" w:eastAsia="仿宋_GB2312"/>
          <w:sz w:val="32"/>
          <w:lang w:val="en-US" w:eastAsia="zh-CN"/>
        </w:rPr>
        <w:t>42.34</w:t>
      </w:r>
      <w:r>
        <w:rPr>
          <w:rFonts w:ascii="仿宋_GB2312" w:eastAsia="仿宋_GB2312"/>
          <w:sz w:val="32"/>
        </w:rPr>
        <w:t>%，决算数小于年初预算数的主要原因是</w:t>
      </w:r>
      <w:r>
        <w:rPr>
          <w:rFonts w:ascii="仿宋_GB2312" w:eastAsia="仿宋_GB2312"/>
          <w:sz w:val="32"/>
          <w:szCs w:val="32"/>
        </w:rPr>
        <w:t>加强和规范经费支出管理，深入贯彻“加强财政资金管理，过紧日子”的精神，加大压减</w:t>
      </w:r>
      <w:r>
        <w:rPr>
          <w:rFonts w:ascii="仿宋_GB2312" w:eastAsia="仿宋_GB2312"/>
          <w:sz w:val="32"/>
        </w:rPr>
        <w:t>“三公”经费支出力度。</w:t>
      </w:r>
      <w:r>
        <w:rPr>
          <w:rFonts w:hint="eastAsia" w:ascii="仿宋_GB2312" w:eastAsia="仿宋_GB2312"/>
          <w:sz w:val="32"/>
          <w:highlight w:val="none"/>
        </w:rPr>
        <w:t>其中：因公出国（境）费</w:t>
      </w:r>
      <w:r>
        <w:rPr>
          <w:rFonts w:hint="eastAsia" w:ascii="仿宋_GB2312" w:eastAsia="仿宋_GB2312"/>
          <w:sz w:val="32"/>
          <w:highlight w:val="none"/>
          <w:lang w:val="en-US" w:eastAsia="zh-CN"/>
        </w:rPr>
        <w:t>0</w:t>
      </w:r>
      <w:r>
        <w:rPr>
          <w:rFonts w:hint="eastAsia" w:ascii="仿宋_GB2312" w:eastAsia="仿宋_GB2312"/>
          <w:sz w:val="32"/>
          <w:highlight w:val="none"/>
        </w:rPr>
        <w:t>万元，公务接待费</w:t>
      </w:r>
      <w:r>
        <w:rPr>
          <w:rFonts w:hint="eastAsia" w:ascii="仿宋_GB2312" w:eastAsia="仿宋_GB2312"/>
          <w:sz w:val="32"/>
          <w:highlight w:val="none"/>
          <w:lang w:val="en-US" w:eastAsia="zh-CN"/>
        </w:rPr>
        <w:t>0.56</w:t>
      </w:r>
      <w:r>
        <w:rPr>
          <w:rFonts w:hint="eastAsia" w:ascii="仿宋_GB2312" w:eastAsia="仿宋_GB2312"/>
          <w:sz w:val="32"/>
          <w:highlight w:val="none"/>
        </w:rPr>
        <w:t>万元，公务用车购置及运行维护费</w:t>
      </w:r>
      <w:r>
        <w:rPr>
          <w:rFonts w:hint="eastAsia" w:ascii="仿宋_GB2312" w:eastAsia="仿宋_GB2312"/>
          <w:sz w:val="32"/>
          <w:highlight w:val="none"/>
          <w:lang w:val="en-US" w:eastAsia="zh-CN"/>
        </w:rPr>
        <w:t>20.96</w:t>
      </w:r>
      <w:r>
        <w:rPr>
          <w:rFonts w:hint="eastAsia" w:ascii="仿宋_GB2312" w:eastAsia="仿宋_GB2312"/>
          <w:sz w:val="32"/>
          <w:highlight w:val="none"/>
        </w:rPr>
        <w:t>万元。</w:t>
      </w:r>
    </w:p>
    <w:p>
      <w:pPr>
        <w:pStyle w:val="7"/>
        <w:spacing w:line="560" w:lineRule="exact"/>
        <w:ind w:firstLine="645"/>
        <w:rPr>
          <w:rFonts w:hint="default" w:ascii="仿宋_GB2312" w:hAnsi="Times New Roman" w:eastAsia="仿宋_GB2312" w:cs="Times New Roman"/>
          <w:kern w:val="0"/>
          <w:sz w:val="32"/>
          <w:szCs w:val="32"/>
        </w:rPr>
      </w:pPr>
      <w:r>
        <w:rPr>
          <w:rFonts w:ascii="仿宋_GB2312" w:eastAsia="仿宋_GB2312"/>
          <w:sz w:val="32"/>
        </w:rPr>
        <w:t>1.因公出国（境）费</w:t>
      </w:r>
      <w:r>
        <w:rPr>
          <w:rFonts w:hint="eastAsia" w:ascii="仿宋_GB2312" w:eastAsia="仿宋_GB2312"/>
          <w:sz w:val="32"/>
          <w:lang w:val="en-US" w:eastAsia="zh-CN"/>
        </w:rPr>
        <w:t>0</w:t>
      </w:r>
      <w:r>
        <w:rPr>
          <w:rFonts w:ascii="仿宋_GB2312" w:eastAsia="仿宋_GB2312"/>
          <w:sz w:val="32"/>
        </w:rPr>
        <w:t>万元，占“三公”经费支出的</w:t>
      </w:r>
      <w:r>
        <w:rPr>
          <w:rFonts w:hint="eastAsia" w:ascii="仿宋_GB2312" w:eastAsia="仿宋_GB2312"/>
          <w:sz w:val="32"/>
          <w:lang w:val="en-US" w:eastAsia="zh-CN"/>
        </w:rPr>
        <w:t>0</w:t>
      </w:r>
      <w:r>
        <w:rPr>
          <w:rFonts w:ascii="仿宋_GB2312" w:eastAsia="仿宋_GB2312"/>
          <w:sz w:val="32"/>
        </w:rPr>
        <w:t>%。完成年初预算的</w:t>
      </w:r>
      <w:r>
        <w:rPr>
          <w:rFonts w:hint="eastAsia" w:ascii="仿宋_GB2312" w:eastAsia="仿宋_GB2312"/>
          <w:sz w:val="32"/>
          <w:lang w:val="en-US" w:eastAsia="zh-CN"/>
        </w:rPr>
        <w:t>100</w:t>
      </w:r>
      <w:r>
        <w:rPr>
          <w:rFonts w:ascii="仿宋_GB2312" w:eastAsia="仿宋_GB2312"/>
          <w:sz w:val="32"/>
        </w:rPr>
        <w:t>%</w:t>
      </w:r>
      <w:r>
        <w:rPr>
          <w:rFonts w:ascii="仿宋_GB2312" w:hAnsi="Times New Roman" w:eastAsia="仿宋_GB2312" w:cs="Times New Roman"/>
          <w:kern w:val="0"/>
          <w:sz w:val="32"/>
          <w:szCs w:val="32"/>
        </w:rPr>
        <w:t>。</w:t>
      </w:r>
    </w:p>
    <w:p>
      <w:pPr>
        <w:pStyle w:val="7"/>
        <w:spacing w:line="560" w:lineRule="exact"/>
        <w:rPr>
          <w:rFonts w:hint="default" w:ascii="Times New Roman" w:hAnsi="Times New Roman" w:cs="Times New Roman"/>
          <w:color w:val="auto"/>
          <w:kern w:val="0"/>
          <w:szCs w:val="21"/>
        </w:rPr>
      </w:pPr>
      <w:r>
        <w:rPr>
          <w:rFonts w:ascii="仿宋_GB2312" w:eastAsia="仿宋_GB2312"/>
          <w:sz w:val="32"/>
        </w:rPr>
        <w:t xml:space="preserve">    2.公务接待费</w:t>
      </w:r>
      <w:r>
        <w:rPr>
          <w:rFonts w:hint="eastAsia" w:ascii="仿宋_GB2312" w:eastAsia="仿宋_GB2312"/>
          <w:sz w:val="32"/>
          <w:lang w:val="en-US" w:eastAsia="zh-CN"/>
        </w:rPr>
        <w:t>0.56</w:t>
      </w:r>
      <w:r>
        <w:rPr>
          <w:rFonts w:ascii="仿宋_GB2312" w:eastAsia="仿宋_GB2312"/>
          <w:sz w:val="32"/>
        </w:rPr>
        <w:t>万元，占“三公”经费支出的</w:t>
      </w:r>
      <w:r>
        <w:rPr>
          <w:rFonts w:hint="eastAsia" w:ascii="仿宋_GB2312" w:eastAsia="仿宋_GB2312"/>
          <w:sz w:val="32"/>
          <w:lang w:val="en-US" w:eastAsia="zh-CN"/>
        </w:rPr>
        <w:t>2.6</w:t>
      </w:r>
      <w:r>
        <w:rPr>
          <w:rFonts w:ascii="仿宋_GB2312" w:eastAsia="仿宋_GB2312"/>
          <w:sz w:val="32"/>
        </w:rPr>
        <w:t>%。完成年初预算的</w:t>
      </w:r>
      <w:r>
        <w:rPr>
          <w:rFonts w:hint="eastAsia" w:ascii="仿宋_GB2312" w:eastAsia="仿宋_GB2312"/>
          <w:sz w:val="32"/>
          <w:lang w:val="en-US" w:eastAsia="zh-CN"/>
        </w:rPr>
        <w:t>12.09</w:t>
      </w:r>
      <w:r>
        <w:rPr>
          <w:rFonts w:ascii="仿宋_GB2312" w:eastAsia="仿宋_GB2312"/>
          <w:sz w:val="32"/>
        </w:rPr>
        <w:t>%，决算数小于年初预算数的原因主要是</w:t>
      </w:r>
      <w:r>
        <w:rPr>
          <w:rFonts w:ascii="仿宋_GB2312" w:eastAsia="仿宋_GB2312"/>
          <w:sz w:val="32"/>
          <w:szCs w:val="32"/>
        </w:rPr>
        <w:t>加强和规范经费支出管理，深入贯彻“加强财政资金管理，过紧日子”的精神，加大压减</w:t>
      </w:r>
      <w:r>
        <w:rPr>
          <w:rFonts w:ascii="仿宋_GB2312" w:eastAsia="仿宋_GB2312"/>
          <w:sz w:val="32"/>
        </w:rPr>
        <w:t>公务接待费支出力度。</w:t>
      </w:r>
      <w:r>
        <w:rPr>
          <w:rFonts w:ascii="仿宋_GB2312" w:eastAsia="仿宋_GB2312"/>
          <w:color w:val="auto"/>
          <w:sz w:val="32"/>
        </w:rPr>
        <w:t>2021年国内公务接待累计</w:t>
      </w:r>
      <w:r>
        <w:rPr>
          <w:rFonts w:hint="eastAsia" w:ascii="仿宋_GB2312" w:eastAsia="仿宋_GB2312"/>
          <w:color w:val="auto"/>
          <w:sz w:val="32"/>
          <w:lang w:val="en-US" w:eastAsia="zh-CN"/>
        </w:rPr>
        <w:t>2</w:t>
      </w:r>
      <w:r>
        <w:rPr>
          <w:rFonts w:ascii="仿宋_GB2312" w:eastAsia="仿宋_GB2312"/>
          <w:color w:val="auto"/>
          <w:sz w:val="32"/>
        </w:rPr>
        <w:t>批次、</w:t>
      </w:r>
      <w:r>
        <w:rPr>
          <w:rFonts w:hint="eastAsia" w:ascii="仿宋_GB2312" w:eastAsia="仿宋_GB2312"/>
          <w:color w:val="auto"/>
          <w:sz w:val="32"/>
          <w:lang w:val="en-US" w:eastAsia="zh-CN"/>
        </w:rPr>
        <w:t>60</w:t>
      </w:r>
      <w:r>
        <w:rPr>
          <w:rFonts w:ascii="仿宋_GB2312" w:eastAsia="仿宋_GB2312"/>
          <w:color w:val="auto"/>
          <w:sz w:val="32"/>
        </w:rPr>
        <w:t>人、</w:t>
      </w:r>
      <w:r>
        <w:rPr>
          <w:rFonts w:hint="eastAsia" w:ascii="仿宋_GB2312" w:eastAsia="仿宋_GB2312"/>
          <w:color w:val="auto"/>
          <w:sz w:val="32"/>
          <w:lang w:val="en-US" w:eastAsia="zh-CN"/>
        </w:rPr>
        <w:t>0.56</w:t>
      </w:r>
      <w:r>
        <w:rPr>
          <w:rFonts w:ascii="仿宋_GB2312" w:eastAsia="仿宋_GB2312"/>
          <w:color w:val="auto"/>
          <w:sz w:val="32"/>
        </w:rPr>
        <w:t>万元，主要用于</w:t>
      </w:r>
      <w:r>
        <w:rPr>
          <w:rFonts w:hint="eastAsia" w:ascii="仿宋_GB2312" w:eastAsia="仿宋_GB2312"/>
          <w:color w:val="auto"/>
          <w:sz w:val="32"/>
          <w:lang w:eastAsia="zh-CN"/>
        </w:rPr>
        <w:t>招待餐费</w:t>
      </w:r>
      <w:r>
        <w:rPr>
          <w:rFonts w:ascii="仿宋_GB2312" w:eastAsia="仿宋_GB2312"/>
          <w:color w:val="auto"/>
          <w:sz w:val="32"/>
        </w:rPr>
        <w:t>;其中外事接待累计</w:t>
      </w:r>
      <w:r>
        <w:rPr>
          <w:rFonts w:hint="eastAsia" w:ascii="仿宋_GB2312" w:eastAsia="仿宋_GB2312"/>
          <w:color w:val="auto"/>
          <w:sz w:val="32"/>
          <w:lang w:val="en-US" w:eastAsia="zh-CN"/>
        </w:rPr>
        <w:t>0</w:t>
      </w:r>
      <w:r>
        <w:rPr>
          <w:rFonts w:ascii="仿宋_GB2312" w:eastAsia="仿宋_GB2312"/>
          <w:color w:val="auto"/>
          <w:sz w:val="32"/>
        </w:rPr>
        <w:t>批次</w:t>
      </w:r>
      <w:r>
        <w:rPr>
          <w:rFonts w:hint="eastAsia" w:ascii="仿宋_GB2312" w:eastAsia="仿宋_GB2312"/>
          <w:color w:val="auto"/>
          <w:sz w:val="32"/>
          <w:lang w:eastAsia="zh-CN"/>
        </w:rPr>
        <w:t>。</w:t>
      </w:r>
      <w:r>
        <w:rPr>
          <w:rFonts w:ascii="仿宋_GB2312" w:hAnsi="Times New Roman" w:eastAsia="仿宋_GB2312" w:cs="Times New Roman"/>
          <w:color w:val="auto"/>
          <w:kern w:val="0"/>
          <w:sz w:val="32"/>
          <w:szCs w:val="32"/>
        </w:rPr>
        <w:t>2021年公务接待费比上年减少</w:t>
      </w:r>
      <w:r>
        <w:rPr>
          <w:rFonts w:hint="eastAsia" w:ascii="仿宋_GB2312" w:hAnsi="Times New Roman" w:eastAsia="仿宋_GB2312" w:cs="Times New Roman"/>
          <w:color w:val="auto"/>
          <w:kern w:val="0"/>
          <w:sz w:val="32"/>
          <w:szCs w:val="32"/>
          <w:lang w:val="en-US" w:eastAsia="zh-CN"/>
        </w:rPr>
        <w:t>0.72</w:t>
      </w:r>
      <w:r>
        <w:rPr>
          <w:rFonts w:ascii="仿宋_GB2312" w:hAnsi="Times New Roman" w:eastAsia="仿宋_GB2312" w:cs="Times New Roman"/>
          <w:color w:val="auto"/>
          <w:kern w:val="0"/>
          <w:sz w:val="32"/>
          <w:szCs w:val="32"/>
        </w:rPr>
        <w:t>万元，下降</w:t>
      </w:r>
      <w:r>
        <w:rPr>
          <w:rFonts w:hint="eastAsia" w:ascii="仿宋_GB2312" w:hAnsi="Times New Roman" w:eastAsia="仿宋_GB2312" w:cs="Times New Roman"/>
          <w:color w:val="auto"/>
          <w:kern w:val="0"/>
          <w:sz w:val="32"/>
          <w:szCs w:val="32"/>
          <w:lang w:val="en-US" w:eastAsia="zh-CN"/>
        </w:rPr>
        <w:t>56.25</w:t>
      </w:r>
      <w:r>
        <w:rPr>
          <w:rFonts w:ascii="仿宋_GB2312" w:hAnsi="Times New Roman" w:eastAsia="仿宋_GB2312" w:cs="Times New Roman"/>
          <w:color w:val="auto"/>
          <w:kern w:val="0"/>
          <w:sz w:val="32"/>
          <w:szCs w:val="32"/>
        </w:rPr>
        <w:t>%，主要是</w:t>
      </w:r>
      <w:r>
        <w:rPr>
          <w:rFonts w:hint="eastAsia" w:ascii="仿宋_GB2312" w:hAnsi="Times New Roman" w:eastAsia="仿宋_GB2312" w:cs="Times New Roman"/>
          <w:color w:val="auto"/>
          <w:kern w:val="0"/>
          <w:sz w:val="32"/>
          <w:szCs w:val="32"/>
          <w:lang w:eastAsia="zh-CN"/>
        </w:rPr>
        <w:t>减少公务接待的次数降低了接待的标准，减少“三公”经费的支出</w:t>
      </w:r>
      <w:r>
        <w:rPr>
          <w:rFonts w:ascii="仿宋_GB2312" w:hAnsi="Times New Roman" w:eastAsia="仿宋_GB2312" w:cs="Times New Roman"/>
          <w:color w:val="auto"/>
          <w:kern w:val="0"/>
          <w:sz w:val="32"/>
          <w:szCs w:val="32"/>
        </w:rPr>
        <w:t>。</w:t>
      </w:r>
    </w:p>
    <w:p>
      <w:pPr>
        <w:pStyle w:val="7"/>
        <w:spacing w:line="560" w:lineRule="exact"/>
        <w:ind w:firstLine="640" w:firstLineChars="200"/>
        <w:rPr>
          <w:rFonts w:hint="default" w:ascii="Times New Roman" w:hAnsi="Times New Roman" w:cs="Times New Roman"/>
          <w:color w:val="auto"/>
          <w:kern w:val="0"/>
          <w:szCs w:val="21"/>
        </w:rPr>
      </w:pPr>
      <w:r>
        <w:rPr>
          <w:rFonts w:ascii="仿宋_GB2312" w:eastAsia="仿宋_GB2312"/>
          <w:sz w:val="32"/>
        </w:rPr>
        <w:t>3.</w:t>
      </w:r>
      <w:r>
        <w:rPr>
          <w:rFonts w:hint="default" w:ascii="Times New Roman" w:hAnsi="Times New Roman"/>
        </w:rPr>
        <w:t xml:space="preserve"> </w:t>
      </w:r>
      <w:r>
        <w:rPr>
          <w:rFonts w:ascii="仿宋_GB2312" w:eastAsia="仿宋_GB2312"/>
          <w:sz w:val="32"/>
        </w:rPr>
        <w:t>公务用车购置及运行费</w:t>
      </w:r>
      <w:r>
        <w:rPr>
          <w:rFonts w:hint="eastAsia" w:ascii="仿宋_GB2312" w:eastAsia="仿宋_GB2312"/>
          <w:sz w:val="32"/>
          <w:lang w:val="en-US" w:eastAsia="zh-CN"/>
        </w:rPr>
        <w:t>20.96</w:t>
      </w:r>
      <w:r>
        <w:rPr>
          <w:rFonts w:ascii="仿宋_GB2312" w:eastAsia="仿宋_GB2312"/>
          <w:sz w:val="32"/>
        </w:rPr>
        <w:t>万元，占“三公”经费支出的</w:t>
      </w:r>
      <w:r>
        <w:rPr>
          <w:rFonts w:hint="eastAsia" w:ascii="仿宋_GB2312" w:eastAsia="仿宋_GB2312"/>
          <w:sz w:val="32"/>
          <w:lang w:val="en-US" w:eastAsia="zh-CN"/>
        </w:rPr>
        <w:t>97.4</w:t>
      </w:r>
      <w:r>
        <w:rPr>
          <w:rFonts w:ascii="仿宋_GB2312" w:eastAsia="仿宋_GB2312"/>
          <w:sz w:val="32"/>
        </w:rPr>
        <w:t>%。完成年初预算的</w:t>
      </w:r>
      <w:r>
        <w:rPr>
          <w:rFonts w:hint="eastAsia" w:ascii="仿宋_GB2312" w:eastAsia="仿宋_GB2312"/>
          <w:sz w:val="32"/>
          <w:lang w:val="en-US" w:eastAsia="zh-CN"/>
        </w:rPr>
        <w:t>45.37</w:t>
      </w:r>
      <w:r>
        <w:rPr>
          <w:rFonts w:ascii="仿宋_GB2312" w:eastAsia="仿宋_GB2312"/>
          <w:sz w:val="32"/>
        </w:rPr>
        <w:t>%，决算数小于年初预算数的原因主要</w:t>
      </w:r>
      <w:r>
        <w:rPr>
          <w:rFonts w:hint="eastAsia" w:ascii="仿宋_GB2312" w:eastAsia="仿宋_GB2312"/>
          <w:sz w:val="32"/>
          <w:lang w:eastAsia="zh-CN"/>
        </w:rPr>
        <w:t>是</w:t>
      </w:r>
      <w:r>
        <w:rPr>
          <w:rFonts w:hint="eastAsia" w:ascii="仿宋_GB2312" w:eastAsia="仿宋_GB2312"/>
          <w:color w:val="auto"/>
          <w:sz w:val="32"/>
          <w:highlight w:val="none"/>
          <w:u w:val="none" w:color="auto"/>
          <w:lang w:eastAsia="zh-CN"/>
        </w:rPr>
        <w:t>严格执行相关规定控制公务用车的使用和维修保养</w:t>
      </w:r>
      <w:r>
        <w:rPr>
          <w:rFonts w:ascii="仿宋_GB2312" w:eastAsia="仿宋_GB2312"/>
          <w:sz w:val="32"/>
        </w:rPr>
        <w:t>。</w:t>
      </w:r>
      <w:r>
        <w:rPr>
          <w:rFonts w:ascii="仿宋_GB2312" w:hAnsi="Times New Roman" w:eastAsia="仿宋_GB2312" w:cs="Times New Roman"/>
          <w:kern w:val="0"/>
          <w:sz w:val="32"/>
          <w:szCs w:val="32"/>
        </w:rPr>
        <w:t>比上年</w:t>
      </w:r>
      <w:r>
        <w:rPr>
          <w:rFonts w:hint="eastAsia" w:ascii="仿宋_GB2312" w:hAnsi="Times New Roman" w:eastAsia="仿宋_GB2312" w:cs="Times New Roman"/>
          <w:kern w:val="0"/>
          <w:sz w:val="32"/>
          <w:szCs w:val="32"/>
          <w:lang w:eastAsia="zh-CN"/>
        </w:rPr>
        <w:t>增加</w:t>
      </w:r>
      <w:r>
        <w:rPr>
          <w:rFonts w:hint="eastAsia" w:ascii="仿宋_GB2312" w:hAnsi="Times New Roman" w:eastAsia="仿宋_GB2312" w:cs="Times New Roman"/>
          <w:kern w:val="0"/>
          <w:sz w:val="32"/>
          <w:szCs w:val="32"/>
          <w:lang w:val="en-US" w:eastAsia="zh-CN"/>
        </w:rPr>
        <w:t>2.82</w:t>
      </w:r>
      <w:r>
        <w:rPr>
          <w:rFonts w:ascii="仿宋_GB2312" w:hAnsi="Times New Roman" w:eastAsia="仿宋_GB2312" w:cs="Times New Roman"/>
          <w:kern w:val="0"/>
          <w:sz w:val="32"/>
          <w:szCs w:val="32"/>
        </w:rPr>
        <w:t>万元，</w:t>
      </w:r>
      <w:r>
        <w:rPr>
          <w:rFonts w:hint="eastAsia" w:ascii="仿宋_GB2312" w:hAnsi="Times New Roman" w:eastAsia="仿宋_GB2312" w:cs="Times New Roman"/>
          <w:kern w:val="0"/>
          <w:sz w:val="32"/>
          <w:szCs w:val="32"/>
          <w:lang w:eastAsia="zh-CN"/>
        </w:rPr>
        <w:t>增长</w:t>
      </w:r>
      <w:r>
        <w:rPr>
          <w:rFonts w:hint="eastAsia" w:ascii="仿宋_GB2312" w:hAnsi="Times New Roman" w:eastAsia="仿宋_GB2312" w:cs="Times New Roman"/>
          <w:kern w:val="0"/>
          <w:sz w:val="32"/>
          <w:szCs w:val="32"/>
          <w:lang w:val="en-US" w:eastAsia="zh-CN"/>
        </w:rPr>
        <w:t>15.55</w:t>
      </w:r>
      <w:r>
        <w:rPr>
          <w:rFonts w:ascii="仿宋_GB2312" w:hAnsi="Times New Roman" w:eastAsia="仿宋_GB2312" w:cs="Times New Roman"/>
          <w:kern w:val="0"/>
          <w:sz w:val="32"/>
          <w:szCs w:val="32"/>
        </w:rPr>
        <w:t>%，主要是</w:t>
      </w:r>
      <w:r>
        <w:rPr>
          <w:rFonts w:hint="eastAsia" w:ascii="仿宋_GB2312" w:hAnsi="Times New Roman" w:eastAsia="仿宋_GB2312" w:cs="Times New Roman"/>
          <w:color w:val="auto"/>
          <w:kern w:val="0"/>
          <w:sz w:val="32"/>
          <w:szCs w:val="32"/>
          <w:lang w:eastAsia="zh-CN"/>
        </w:rPr>
        <w:t>购置了一台公务用车</w:t>
      </w:r>
      <w:r>
        <w:rPr>
          <w:rFonts w:ascii="仿宋_GB2312" w:hAnsi="Times New Roman" w:eastAsia="仿宋_GB2312" w:cs="Times New Roman"/>
          <w:color w:val="auto"/>
          <w:kern w:val="0"/>
          <w:sz w:val="32"/>
          <w:szCs w:val="32"/>
        </w:rPr>
        <w:t>。</w:t>
      </w:r>
    </w:p>
    <w:p>
      <w:pPr>
        <w:pStyle w:val="7"/>
        <w:autoSpaceDN w:val="0"/>
        <w:spacing w:line="560" w:lineRule="exact"/>
        <w:ind w:firstLine="645"/>
        <w:rPr>
          <w:rFonts w:hint="default" w:ascii="仿宋_GB2312" w:eastAsia="仿宋_GB2312"/>
          <w:sz w:val="32"/>
        </w:rPr>
      </w:pPr>
      <w:r>
        <w:rPr>
          <w:rFonts w:ascii="仿宋_GB2312" w:eastAsia="仿宋_GB2312"/>
          <w:sz w:val="32"/>
        </w:rPr>
        <w:t>其中：公务用车购置费</w:t>
      </w:r>
      <w:r>
        <w:rPr>
          <w:rFonts w:hint="eastAsia" w:ascii="仿宋_GB2312" w:eastAsia="仿宋_GB2312"/>
          <w:sz w:val="32"/>
          <w:lang w:val="en-US" w:eastAsia="zh-CN"/>
        </w:rPr>
        <w:t>11.97</w:t>
      </w:r>
      <w:r>
        <w:rPr>
          <w:rFonts w:ascii="仿宋_GB2312" w:eastAsia="仿宋_GB2312"/>
          <w:sz w:val="32"/>
        </w:rPr>
        <w:t>万元。用于购置劳动保障执法公务用车1辆。完成年初预算的90.68%。</w:t>
      </w:r>
    </w:p>
    <w:p>
      <w:pPr>
        <w:pStyle w:val="7"/>
        <w:keepNext w:val="0"/>
        <w:keepLines w:val="0"/>
        <w:pageBreakBefore w:val="0"/>
        <w:widowControl/>
        <w:kinsoku/>
        <w:wordWrap/>
        <w:overflowPunct/>
        <w:topLinePunct w:val="0"/>
        <w:autoSpaceDE/>
        <w:autoSpaceDN w:val="0"/>
        <w:bidi w:val="0"/>
        <w:adjustRightInd/>
        <w:snapToGrid/>
        <w:spacing w:before="0" w:beforeLines="0" w:after="0" w:afterLines="0" w:line="560" w:lineRule="exact"/>
        <w:ind w:left="0" w:leftChars="0" w:right="0" w:rightChars="0" w:firstLine="640"/>
        <w:jc w:val="both"/>
        <w:textAlignment w:val="auto"/>
        <w:outlineLvl w:val="9"/>
        <w:rPr>
          <w:rFonts w:hint="default" w:ascii="仿宋_GB2312" w:eastAsia="仿宋_GB2312"/>
          <w:sz w:val="32"/>
          <w:highlight w:val="none"/>
        </w:rPr>
      </w:pPr>
      <w:r>
        <w:rPr>
          <w:rFonts w:ascii="仿宋_GB2312" w:eastAsia="仿宋_GB2312"/>
          <w:sz w:val="32"/>
        </w:rPr>
        <w:t>公务用车运行维护费</w:t>
      </w:r>
      <w:r>
        <w:rPr>
          <w:rFonts w:hint="eastAsia" w:ascii="仿宋_GB2312" w:eastAsia="仿宋_GB2312"/>
          <w:sz w:val="32"/>
          <w:lang w:val="en-US" w:eastAsia="zh-CN"/>
        </w:rPr>
        <w:t>8.99</w:t>
      </w:r>
      <w:r>
        <w:rPr>
          <w:rFonts w:ascii="仿宋_GB2312" w:eastAsia="仿宋_GB2312"/>
          <w:sz w:val="32"/>
        </w:rPr>
        <w:t>万元，主要用于</w:t>
      </w:r>
      <w:r>
        <w:rPr>
          <w:rFonts w:hint="eastAsia" w:ascii="仿宋_GB2312" w:eastAsia="仿宋_GB2312"/>
          <w:sz w:val="32"/>
          <w:highlight w:val="none"/>
          <w:lang w:val="en-US" w:eastAsia="zh-CN"/>
        </w:rPr>
        <w:t>公务用车维修、保险费、汽油款及过路费</w:t>
      </w:r>
      <w:r>
        <w:rPr>
          <w:rFonts w:hint="eastAsia" w:ascii="仿宋_GB2312" w:eastAsia="仿宋_GB2312"/>
          <w:sz w:val="32"/>
          <w:highlight w:val="none"/>
        </w:rPr>
        <w:t>等</w:t>
      </w:r>
      <w:r>
        <w:rPr>
          <w:rFonts w:hint="default" w:ascii="仿宋_GB2312" w:eastAsia="仿宋_GB2312"/>
          <w:sz w:val="32"/>
          <w:highlight w:val="none"/>
        </w:rPr>
        <w:t>,</w:t>
      </w:r>
      <w:r>
        <w:rPr>
          <w:rFonts w:hint="eastAsia" w:ascii="仿宋_GB2312" w:eastAsia="仿宋_GB2312"/>
          <w:sz w:val="32"/>
          <w:highlight w:val="none"/>
        </w:rPr>
        <w:t>截至年末使用一般公共预算财政拨款开支的公务用车保有量</w:t>
      </w:r>
      <w:r>
        <w:rPr>
          <w:rFonts w:hint="eastAsia" w:ascii="仿宋_GB2312" w:eastAsia="仿宋_GB2312"/>
          <w:sz w:val="32"/>
          <w:highlight w:val="none"/>
          <w:lang w:val="en-US" w:eastAsia="zh-CN"/>
        </w:rPr>
        <w:t>24</w:t>
      </w:r>
      <w:r>
        <w:rPr>
          <w:rFonts w:hint="eastAsia" w:ascii="仿宋_GB2312" w:eastAsia="仿宋_GB2312"/>
          <w:sz w:val="32"/>
          <w:highlight w:val="none"/>
        </w:rPr>
        <w:t>辆。完成年初预算的</w:t>
      </w:r>
      <w:r>
        <w:rPr>
          <w:rFonts w:hint="eastAsia" w:ascii="仿宋_GB2312" w:eastAsia="仿宋_GB2312"/>
          <w:sz w:val="32"/>
          <w:highlight w:val="none"/>
          <w:lang w:val="en-US" w:eastAsia="zh-CN"/>
        </w:rPr>
        <w:t>27.24</w:t>
      </w:r>
      <w:r>
        <w:rPr>
          <w:rFonts w:hint="eastAsia" w:ascii="仿宋_GB2312" w:eastAsia="仿宋_GB2312"/>
          <w:sz w:val="32"/>
          <w:highlight w:val="none"/>
        </w:rPr>
        <w:t>%，决算数小于年初预算数的原因主要是</w:t>
      </w:r>
      <w:r>
        <w:rPr>
          <w:rFonts w:hint="eastAsia" w:ascii="仿宋_GB2312" w:eastAsia="仿宋_GB2312"/>
          <w:color w:val="auto"/>
          <w:sz w:val="32"/>
          <w:highlight w:val="none"/>
          <w:u w:val="none" w:color="auto"/>
          <w:lang w:eastAsia="zh-CN"/>
        </w:rPr>
        <w:t>严格执行相关规定控制公务用车的使用和维修费用</w:t>
      </w:r>
      <w:r>
        <w:rPr>
          <w:rFonts w:hint="eastAsia" w:ascii="仿宋_GB2312" w:eastAsia="仿宋_GB2312"/>
          <w:sz w:val="32"/>
          <w:highlight w:val="none"/>
        </w:rPr>
        <w:t>。</w:t>
      </w:r>
    </w:p>
    <w:p>
      <w:pPr>
        <w:pStyle w:val="7"/>
        <w:spacing w:line="560" w:lineRule="exact"/>
        <w:ind w:firstLine="645"/>
        <w:rPr>
          <w:rFonts w:hint="default" w:ascii="黑体" w:eastAsia="黑体"/>
          <w:sz w:val="32"/>
        </w:rPr>
      </w:pPr>
      <w:r>
        <w:rPr>
          <w:rFonts w:ascii="黑体" w:eastAsia="黑体"/>
          <w:sz w:val="32"/>
        </w:rPr>
        <w:t>四、一般公共预算财政拨款基本支出决算情况说明</w:t>
      </w:r>
    </w:p>
    <w:p>
      <w:pPr>
        <w:pStyle w:val="7"/>
        <w:spacing w:line="560" w:lineRule="exact"/>
        <w:ind w:firstLine="645"/>
        <w:rPr>
          <w:rFonts w:hint="default" w:ascii="仿宋_GB2312" w:eastAsia="仿宋_GB2312"/>
          <w:sz w:val="32"/>
        </w:rPr>
      </w:pPr>
      <w:r>
        <w:rPr>
          <w:rFonts w:ascii="仿宋_GB2312" w:eastAsia="仿宋_GB2312"/>
          <w:sz w:val="32"/>
        </w:rPr>
        <w:t>2021年度一般公共预算财政拨款基本支出</w:t>
      </w:r>
      <w:r>
        <w:rPr>
          <w:rFonts w:hint="eastAsia" w:ascii="仿宋_GB2312" w:eastAsia="仿宋_GB2312"/>
          <w:sz w:val="32"/>
          <w:lang w:val="en-US" w:eastAsia="zh-CN"/>
        </w:rPr>
        <w:t>19616.16</w:t>
      </w:r>
      <w:r>
        <w:rPr>
          <w:rFonts w:ascii="仿宋_GB2312" w:eastAsia="仿宋_GB2312"/>
          <w:sz w:val="32"/>
        </w:rPr>
        <w:t>万元，其中：人员经费</w:t>
      </w:r>
      <w:r>
        <w:rPr>
          <w:rFonts w:hint="eastAsia" w:ascii="仿宋_GB2312" w:eastAsia="仿宋_GB2312"/>
          <w:sz w:val="32"/>
          <w:lang w:val="en-US" w:eastAsia="zh-CN"/>
        </w:rPr>
        <w:t>16411.55</w:t>
      </w:r>
      <w:r>
        <w:rPr>
          <w:rFonts w:ascii="仿宋_GB2312" w:eastAsia="仿宋_GB2312"/>
          <w:sz w:val="32"/>
        </w:rPr>
        <w:t>万元，主要包括基本工资、津贴补贴、奖金、其他社会保障缴费、机关事业单位基本养老保险缴费、其他工资福利支出、离休费、退休费、抚恤金、生活补助、奖励金、住房公积金、采暖补贴、其他对个人和家庭补助的支出；日常公用经费</w:t>
      </w:r>
      <w:r>
        <w:rPr>
          <w:rFonts w:hint="eastAsia" w:ascii="仿宋_GB2312" w:eastAsia="仿宋_GB2312"/>
          <w:sz w:val="32"/>
          <w:lang w:val="en-US" w:eastAsia="zh-CN"/>
        </w:rPr>
        <w:t>3204.6</w:t>
      </w:r>
      <w:r>
        <w:rPr>
          <w:rFonts w:ascii="仿宋_GB2312" w:eastAsia="仿宋_GB2312"/>
          <w:sz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w:t>
      </w:r>
    </w:p>
    <w:p>
      <w:pPr>
        <w:pStyle w:val="7"/>
        <w:spacing w:line="560" w:lineRule="exact"/>
        <w:ind w:firstLine="640"/>
        <w:rPr>
          <w:rFonts w:hint="default" w:ascii="黑体" w:eastAsia="黑体"/>
          <w:sz w:val="32"/>
        </w:rPr>
      </w:pPr>
      <w:r>
        <w:rPr>
          <w:rFonts w:ascii="黑体" w:eastAsia="黑体"/>
          <w:sz w:val="32"/>
        </w:rPr>
        <w:t>五、其他重要事项的情况说明</w:t>
      </w:r>
    </w:p>
    <w:p>
      <w:pPr>
        <w:pStyle w:val="7"/>
        <w:spacing w:line="560" w:lineRule="exact"/>
        <w:ind w:firstLine="640"/>
        <w:rPr>
          <w:rFonts w:hint="default" w:ascii="楷体_GB2312" w:eastAsia="楷体_GB2312"/>
          <w:b/>
          <w:sz w:val="32"/>
        </w:rPr>
      </w:pPr>
      <w:r>
        <w:rPr>
          <w:rFonts w:ascii="楷体_GB2312" w:eastAsia="楷体_GB2312"/>
          <w:b/>
          <w:sz w:val="32"/>
        </w:rPr>
        <w:t>（一）机关运行经费支出情况</w:t>
      </w:r>
    </w:p>
    <w:p>
      <w:pPr>
        <w:pStyle w:val="10"/>
        <w:ind w:firstLine="640" w:firstLineChars="200"/>
        <w:rPr>
          <w:rFonts w:hint="eastAsia" w:ascii="仿宋" w:hAnsi="仿宋" w:eastAsia="仿宋" w:cs="仿宋"/>
          <w:sz w:val="32"/>
          <w:szCs w:val="32"/>
        </w:rPr>
      </w:pPr>
      <w:r>
        <w:rPr>
          <w:rFonts w:hint="eastAsia" w:ascii="仿宋" w:hAnsi="仿宋" w:eastAsia="仿宋" w:cs="仿宋"/>
          <w:sz w:val="32"/>
          <w:szCs w:val="32"/>
        </w:rPr>
        <w:t>2021年度机关运行经费支出</w:t>
      </w:r>
      <w:r>
        <w:rPr>
          <w:rFonts w:hint="eastAsia" w:ascii="仿宋" w:hAnsi="仿宋" w:eastAsia="仿宋" w:cs="仿宋"/>
          <w:sz w:val="32"/>
          <w:szCs w:val="32"/>
          <w:lang w:val="en-US" w:eastAsia="zh-CN"/>
        </w:rPr>
        <w:t>818.78</w:t>
      </w:r>
      <w:r>
        <w:rPr>
          <w:rFonts w:hint="eastAsia" w:ascii="仿宋" w:hAnsi="仿宋" w:eastAsia="仿宋" w:cs="仿宋"/>
          <w:sz w:val="32"/>
          <w:szCs w:val="32"/>
        </w:rPr>
        <w:t>万元（与部门决算中行政单位和参照公务员法管理事业单位一般公共预算财政拨款基本支出中公用经费之和一致），比上年决算数增加</w:t>
      </w:r>
      <w:r>
        <w:rPr>
          <w:rFonts w:hint="eastAsia" w:ascii="仿宋" w:hAnsi="仿宋" w:eastAsia="仿宋" w:cs="仿宋"/>
          <w:sz w:val="32"/>
          <w:szCs w:val="32"/>
          <w:lang w:val="en-US" w:eastAsia="zh-CN"/>
        </w:rPr>
        <w:t>148.37</w:t>
      </w:r>
      <w:r>
        <w:rPr>
          <w:rFonts w:hint="eastAsia" w:ascii="仿宋" w:hAnsi="仿宋" w:eastAsia="仿宋" w:cs="仿宋"/>
          <w:sz w:val="32"/>
          <w:szCs w:val="32"/>
        </w:rPr>
        <w:t>万元，增长</w:t>
      </w:r>
      <w:r>
        <w:rPr>
          <w:rFonts w:hint="eastAsia" w:ascii="仿宋" w:hAnsi="仿宋" w:eastAsia="仿宋" w:cs="仿宋"/>
          <w:sz w:val="32"/>
          <w:szCs w:val="32"/>
          <w:lang w:val="en-US" w:eastAsia="zh-CN"/>
        </w:rPr>
        <w:t>22.13</w:t>
      </w:r>
      <w:r>
        <w:rPr>
          <w:rFonts w:hint="eastAsia" w:ascii="仿宋" w:hAnsi="仿宋" w:eastAsia="仿宋" w:cs="仿宋"/>
          <w:sz w:val="32"/>
          <w:szCs w:val="32"/>
        </w:rPr>
        <w:t>%，主要原因是</w:t>
      </w:r>
      <w:r>
        <w:rPr>
          <w:rFonts w:hint="eastAsia" w:ascii="仿宋" w:hAnsi="仿宋" w:eastAsia="仿宋" w:cs="仿宋"/>
          <w:sz w:val="32"/>
          <w:szCs w:val="32"/>
          <w:lang w:eastAsia="zh-CN"/>
        </w:rPr>
        <w:t>对办公楼进行了维修改造以及会议室的设备进行升级改造</w:t>
      </w:r>
      <w:r>
        <w:rPr>
          <w:rFonts w:hint="eastAsia" w:ascii="仿宋" w:hAnsi="仿宋" w:eastAsia="仿宋" w:cs="仿宋"/>
          <w:sz w:val="32"/>
          <w:szCs w:val="32"/>
        </w:rPr>
        <w:t>。</w:t>
      </w:r>
    </w:p>
    <w:p>
      <w:pPr>
        <w:pStyle w:val="7"/>
        <w:spacing w:line="560" w:lineRule="exact"/>
        <w:ind w:firstLine="640"/>
        <w:rPr>
          <w:rFonts w:hint="default" w:ascii="楷体_GB2312" w:eastAsia="楷体_GB2312"/>
          <w:b/>
          <w:sz w:val="32"/>
        </w:rPr>
      </w:pPr>
      <w:r>
        <w:rPr>
          <w:rFonts w:ascii="楷体_GB2312" w:eastAsia="楷体_GB2312"/>
          <w:b/>
          <w:sz w:val="32"/>
        </w:rPr>
        <w:t>（二）政府采购支出情况</w:t>
      </w:r>
    </w:p>
    <w:p>
      <w:pPr>
        <w:pStyle w:val="7"/>
        <w:spacing w:line="560" w:lineRule="exact"/>
        <w:ind w:firstLine="640"/>
        <w:rPr>
          <w:rFonts w:ascii="仿宋_GB2312" w:eastAsia="仿宋_GB2312"/>
          <w:sz w:val="32"/>
        </w:rPr>
      </w:pPr>
      <w:r>
        <w:rPr>
          <w:rFonts w:ascii="仿宋_GB2312" w:eastAsia="仿宋_GB2312"/>
          <w:sz w:val="32"/>
        </w:rPr>
        <w:t>2021年政府采购支出总额</w:t>
      </w:r>
      <w:r>
        <w:rPr>
          <w:rFonts w:hint="eastAsia" w:ascii="仿宋_GB2312" w:eastAsia="仿宋_GB2312"/>
          <w:sz w:val="32"/>
          <w:lang w:val="en-US" w:eastAsia="zh-CN"/>
        </w:rPr>
        <w:t>1330.41</w:t>
      </w:r>
      <w:r>
        <w:rPr>
          <w:rFonts w:ascii="仿宋_GB2312" w:eastAsia="仿宋_GB2312"/>
          <w:sz w:val="32"/>
        </w:rPr>
        <w:t>万元，其中：政府采购货物支出</w:t>
      </w:r>
      <w:r>
        <w:rPr>
          <w:rFonts w:hint="eastAsia" w:ascii="仿宋_GB2312" w:eastAsia="仿宋_GB2312"/>
          <w:sz w:val="32"/>
          <w:lang w:val="en-US" w:eastAsia="zh-CN"/>
        </w:rPr>
        <w:t>155.73</w:t>
      </w:r>
      <w:r>
        <w:rPr>
          <w:rFonts w:ascii="仿宋_GB2312" w:eastAsia="仿宋_GB2312"/>
          <w:sz w:val="32"/>
        </w:rPr>
        <w:t>万元，政府采购工程支出</w:t>
      </w:r>
      <w:r>
        <w:rPr>
          <w:rFonts w:hint="eastAsia" w:ascii="仿宋_GB2312" w:eastAsia="仿宋_GB2312"/>
          <w:sz w:val="32"/>
          <w:lang w:val="en-US" w:eastAsia="zh-CN"/>
        </w:rPr>
        <w:t>0</w:t>
      </w:r>
      <w:r>
        <w:rPr>
          <w:rFonts w:ascii="仿宋_GB2312" w:eastAsia="仿宋_GB2312"/>
          <w:sz w:val="32"/>
        </w:rPr>
        <w:t>万元，政府采购服务支出</w:t>
      </w:r>
      <w:r>
        <w:rPr>
          <w:rFonts w:hint="eastAsia" w:ascii="仿宋_GB2312" w:eastAsia="仿宋_GB2312"/>
          <w:sz w:val="32"/>
          <w:lang w:val="en-US" w:eastAsia="zh-CN"/>
        </w:rPr>
        <w:t>1174.68</w:t>
      </w:r>
      <w:r>
        <w:rPr>
          <w:rFonts w:ascii="仿宋_GB2312" w:eastAsia="仿宋_GB2312"/>
          <w:sz w:val="32"/>
        </w:rPr>
        <w:t>万元。授予中小企业合同金额</w:t>
      </w:r>
      <w:r>
        <w:rPr>
          <w:rFonts w:hint="eastAsia" w:ascii="仿宋_GB2312" w:eastAsia="仿宋_GB2312"/>
          <w:sz w:val="32"/>
          <w:lang w:val="en-US" w:eastAsia="zh-CN"/>
        </w:rPr>
        <w:t>0</w:t>
      </w:r>
      <w:r>
        <w:rPr>
          <w:rFonts w:ascii="仿宋_GB2312" w:eastAsia="仿宋_GB2312"/>
          <w:sz w:val="32"/>
        </w:rPr>
        <w:t>万元，占政府采购支出总额的</w:t>
      </w:r>
      <w:r>
        <w:rPr>
          <w:rFonts w:hint="eastAsia" w:ascii="仿宋_GB2312" w:eastAsia="仿宋_GB2312"/>
          <w:sz w:val="32"/>
          <w:lang w:val="en-US" w:eastAsia="zh-CN"/>
        </w:rPr>
        <w:t>0</w:t>
      </w:r>
      <w:r>
        <w:rPr>
          <w:rFonts w:ascii="仿宋_GB2312" w:eastAsia="仿宋_GB2312"/>
          <w:sz w:val="32"/>
        </w:rPr>
        <w:t>%</w:t>
      </w:r>
      <w:r>
        <w:rPr>
          <w:rFonts w:hint="eastAsia" w:ascii="仿宋_GB2312" w:eastAsia="仿宋_GB2312"/>
          <w:sz w:val="32"/>
          <w:lang w:eastAsia="zh-CN"/>
        </w:rPr>
        <w:t>。</w:t>
      </w:r>
    </w:p>
    <w:p>
      <w:pPr>
        <w:pStyle w:val="7"/>
        <w:spacing w:line="560" w:lineRule="exact"/>
        <w:ind w:firstLine="640"/>
        <w:rPr>
          <w:rFonts w:hint="default" w:ascii="楷体_GB2312" w:eastAsia="楷体_GB2312"/>
          <w:b/>
          <w:sz w:val="32"/>
        </w:rPr>
      </w:pPr>
      <w:r>
        <w:rPr>
          <w:rFonts w:ascii="楷体_GB2312" w:eastAsia="楷体_GB2312"/>
          <w:b/>
          <w:sz w:val="32"/>
        </w:rPr>
        <w:t>（三）国有资产占用情况</w:t>
      </w:r>
    </w:p>
    <w:p>
      <w:pPr>
        <w:pStyle w:val="7"/>
        <w:spacing w:line="560" w:lineRule="exact"/>
        <w:ind w:firstLine="640"/>
        <w:rPr>
          <w:rFonts w:hint="eastAsia" w:ascii="仿宋_GB2312" w:eastAsia="仿宋_GB2312"/>
          <w:color w:val="auto"/>
          <w:sz w:val="32"/>
          <w:highlight w:val="none"/>
        </w:rPr>
      </w:pPr>
      <w:r>
        <w:rPr>
          <w:rFonts w:ascii="仿宋_GB2312" w:eastAsia="仿宋_GB2312"/>
          <w:sz w:val="32"/>
        </w:rPr>
        <w:t>截至2021年12月31日，共有车辆</w:t>
      </w:r>
      <w:r>
        <w:rPr>
          <w:rFonts w:hint="eastAsia" w:ascii="仿宋_GB2312" w:eastAsia="仿宋_GB2312"/>
          <w:sz w:val="32"/>
          <w:lang w:val="en-US" w:eastAsia="zh-CN"/>
        </w:rPr>
        <w:t>24</w:t>
      </w:r>
      <w:r>
        <w:rPr>
          <w:rFonts w:ascii="仿宋_GB2312" w:eastAsia="仿宋_GB2312"/>
          <w:sz w:val="32"/>
        </w:rPr>
        <w:t>辆，其中：副省级以上领导干部用车</w:t>
      </w:r>
      <w:r>
        <w:rPr>
          <w:rFonts w:hint="eastAsia" w:ascii="仿宋_GB2312" w:eastAsia="仿宋_GB2312"/>
          <w:sz w:val="32"/>
          <w:lang w:val="en-US" w:eastAsia="zh-CN"/>
        </w:rPr>
        <w:t>0</w:t>
      </w:r>
      <w:r>
        <w:rPr>
          <w:rFonts w:ascii="仿宋_GB2312" w:eastAsia="仿宋_GB2312"/>
          <w:sz w:val="32"/>
        </w:rPr>
        <w:t>辆，主要领导干部用车</w:t>
      </w:r>
      <w:r>
        <w:rPr>
          <w:rFonts w:hint="eastAsia" w:ascii="仿宋_GB2312" w:eastAsia="仿宋_GB2312"/>
          <w:sz w:val="32"/>
          <w:lang w:val="en-US" w:eastAsia="zh-CN"/>
        </w:rPr>
        <w:t>0</w:t>
      </w:r>
      <w:r>
        <w:rPr>
          <w:rFonts w:ascii="仿宋_GB2312" w:eastAsia="仿宋_GB2312"/>
          <w:sz w:val="32"/>
        </w:rPr>
        <w:t>辆，机要通讯用车</w:t>
      </w:r>
      <w:r>
        <w:rPr>
          <w:rFonts w:hint="eastAsia" w:ascii="仿宋_GB2312" w:eastAsia="仿宋_GB2312"/>
          <w:sz w:val="32"/>
          <w:lang w:val="en-US" w:eastAsia="zh-CN"/>
        </w:rPr>
        <w:t>6</w:t>
      </w:r>
      <w:r>
        <w:rPr>
          <w:rFonts w:ascii="仿宋_GB2312" w:eastAsia="仿宋_GB2312"/>
          <w:sz w:val="32"/>
        </w:rPr>
        <w:t>辆，应急保障用车</w:t>
      </w:r>
      <w:r>
        <w:rPr>
          <w:rFonts w:hint="eastAsia" w:ascii="仿宋_GB2312" w:eastAsia="仿宋_GB2312"/>
          <w:sz w:val="32"/>
          <w:lang w:val="en-US" w:eastAsia="zh-CN"/>
        </w:rPr>
        <w:t>1</w:t>
      </w:r>
      <w:r>
        <w:rPr>
          <w:rFonts w:ascii="仿宋_GB2312" w:eastAsia="仿宋_GB2312"/>
          <w:sz w:val="32"/>
        </w:rPr>
        <w:t>辆，执法执勤用车</w:t>
      </w:r>
      <w:r>
        <w:rPr>
          <w:rFonts w:hint="eastAsia" w:ascii="仿宋_GB2312" w:eastAsia="仿宋_GB2312"/>
          <w:sz w:val="32"/>
          <w:lang w:val="en-US" w:eastAsia="zh-CN"/>
        </w:rPr>
        <w:t>0</w:t>
      </w:r>
      <w:r>
        <w:rPr>
          <w:rFonts w:ascii="仿宋_GB2312" w:eastAsia="仿宋_GB2312"/>
          <w:sz w:val="32"/>
        </w:rPr>
        <w:t>辆，特种专业技术用车</w:t>
      </w:r>
      <w:r>
        <w:rPr>
          <w:rFonts w:hint="eastAsia" w:ascii="仿宋_GB2312" w:eastAsia="仿宋_GB2312"/>
          <w:sz w:val="32"/>
          <w:lang w:val="en-US" w:eastAsia="zh-CN"/>
        </w:rPr>
        <w:t>0</w:t>
      </w:r>
      <w:r>
        <w:rPr>
          <w:rFonts w:ascii="仿宋_GB2312" w:eastAsia="仿宋_GB2312"/>
          <w:sz w:val="32"/>
        </w:rPr>
        <w:t>辆，离退休干部用车</w:t>
      </w:r>
      <w:r>
        <w:rPr>
          <w:rFonts w:hint="eastAsia" w:ascii="仿宋_GB2312" w:eastAsia="仿宋_GB2312"/>
          <w:sz w:val="32"/>
          <w:lang w:val="en-US" w:eastAsia="zh-CN"/>
        </w:rPr>
        <w:t>0</w:t>
      </w:r>
      <w:r>
        <w:rPr>
          <w:rFonts w:ascii="仿宋_GB2312" w:eastAsia="仿宋_GB2312"/>
          <w:sz w:val="32"/>
        </w:rPr>
        <w:t>辆，其他用车</w:t>
      </w:r>
      <w:r>
        <w:rPr>
          <w:rFonts w:hint="eastAsia" w:ascii="仿宋_GB2312" w:eastAsia="仿宋_GB2312"/>
          <w:sz w:val="32"/>
          <w:lang w:val="en-US" w:eastAsia="zh-CN"/>
        </w:rPr>
        <w:t>17</w:t>
      </w:r>
      <w:r>
        <w:rPr>
          <w:rFonts w:ascii="仿宋_GB2312" w:eastAsia="仿宋_GB2312"/>
          <w:sz w:val="32"/>
        </w:rPr>
        <w:t>辆，其他用车主要</w:t>
      </w:r>
      <w:r>
        <w:rPr>
          <w:rFonts w:hint="eastAsia" w:ascii="仿宋_GB2312" w:eastAsia="仿宋_GB2312"/>
          <w:sz w:val="32"/>
          <w:lang w:eastAsia="zh-CN"/>
        </w:rPr>
        <w:t>是</w:t>
      </w:r>
      <w:r>
        <w:rPr>
          <w:rFonts w:ascii="仿宋_GB2312" w:hAnsi="黑体" w:eastAsia="仿宋_GB2312"/>
          <w:color w:val="000000"/>
          <w:sz w:val="32"/>
          <w:szCs w:val="24"/>
        </w:rPr>
        <w:t>已实行车改待处理车辆</w:t>
      </w:r>
      <w:r>
        <w:rPr>
          <w:rFonts w:hint="eastAsia" w:ascii="仿宋_GB2312" w:hAnsi="黑体" w:eastAsia="仿宋_GB2312"/>
          <w:color w:val="000000"/>
          <w:sz w:val="32"/>
          <w:szCs w:val="24"/>
          <w:lang w:eastAsia="zh-CN"/>
        </w:rPr>
        <w:t>及</w:t>
      </w:r>
      <w:r>
        <w:rPr>
          <w:rFonts w:hint="eastAsia" w:ascii="仿宋_GB2312" w:eastAsia="仿宋_GB2312"/>
          <w:color w:val="auto"/>
          <w:sz w:val="32"/>
          <w:highlight w:val="none"/>
          <w:lang w:val="en-US" w:eastAsia="zh-CN"/>
        </w:rPr>
        <w:t>保障正常的工作用车需求</w:t>
      </w:r>
      <w:r>
        <w:rPr>
          <w:rFonts w:hint="eastAsia" w:ascii="仿宋_GB2312" w:eastAsia="仿宋_GB2312"/>
          <w:color w:val="auto"/>
          <w:sz w:val="32"/>
          <w:highlight w:val="none"/>
        </w:rPr>
        <w:t>；单位价值50万元以上通用设备</w:t>
      </w:r>
      <w:r>
        <w:rPr>
          <w:rFonts w:hint="eastAsia" w:ascii="仿宋_GB2312" w:eastAsia="仿宋_GB2312"/>
          <w:color w:val="auto"/>
          <w:sz w:val="32"/>
          <w:highlight w:val="none"/>
          <w:lang w:val="en-US" w:eastAsia="zh-CN"/>
        </w:rPr>
        <w:t>17</w:t>
      </w:r>
      <w:r>
        <w:rPr>
          <w:rFonts w:hint="eastAsia" w:ascii="仿宋_GB2312" w:eastAsia="仿宋_GB2312"/>
          <w:color w:val="auto"/>
          <w:sz w:val="32"/>
          <w:highlight w:val="none"/>
        </w:rPr>
        <w:t>台（套），单价100万元以上专用设备</w:t>
      </w:r>
      <w:r>
        <w:rPr>
          <w:rFonts w:hint="eastAsia" w:ascii="仿宋_GB2312" w:eastAsia="仿宋_GB2312"/>
          <w:color w:val="auto"/>
          <w:sz w:val="32"/>
          <w:highlight w:val="none"/>
          <w:lang w:val="en-US" w:eastAsia="zh-CN"/>
        </w:rPr>
        <w:t>0</w:t>
      </w:r>
      <w:r>
        <w:rPr>
          <w:rFonts w:hint="eastAsia" w:ascii="仿宋_GB2312" w:eastAsia="仿宋_GB2312"/>
          <w:color w:val="auto"/>
          <w:sz w:val="32"/>
          <w:highlight w:val="none"/>
        </w:rPr>
        <w:t>台（套）。</w:t>
      </w:r>
    </w:p>
    <w:p>
      <w:pPr>
        <w:pStyle w:val="7"/>
        <w:spacing w:line="560" w:lineRule="exact"/>
        <w:ind w:firstLine="640"/>
        <w:rPr>
          <w:rFonts w:hint="default" w:ascii="楷体_GB2312" w:eastAsia="楷体_GB2312"/>
          <w:b/>
          <w:sz w:val="32"/>
        </w:rPr>
      </w:pPr>
      <w:r>
        <w:rPr>
          <w:rFonts w:ascii="楷体_GB2312" w:eastAsia="楷体_GB2312"/>
          <w:b/>
          <w:sz w:val="32"/>
        </w:rPr>
        <w:t>（四）预算绩效管理工作开展情况</w:t>
      </w:r>
    </w:p>
    <w:p>
      <w:pPr>
        <w:widowControl/>
        <w:spacing w:line="560" w:lineRule="exact"/>
        <w:ind w:firstLine="640" w:firstLineChars="200"/>
        <w:rPr>
          <w:rFonts w:hint="eastAsia" w:ascii="仿宋_GB2312" w:eastAsia="仿宋_GB2312"/>
          <w:sz w:val="32"/>
          <w:lang w:eastAsia="zh-CN"/>
        </w:rPr>
      </w:pPr>
      <w:r>
        <w:rPr>
          <w:rFonts w:hint="eastAsia" w:ascii="仿宋_GB2312" w:eastAsia="仿宋_GB2312"/>
          <w:sz w:val="32"/>
          <w:lang w:val="en-US" w:eastAsia="zh-CN"/>
        </w:rPr>
        <w:t>1.</w:t>
      </w:r>
      <w:r>
        <w:rPr>
          <w:rFonts w:hint="default" w:ascii="仿宋_GB2312" w:eastAsia="仿宋_GB2312"/>
          <w:sz w:val="32"/>
        </w:rPr>
        <w:t>整体绩效自评情况（附整体绩效自评表）。组织对</w:t>
      </w:r>
      <w:r>
        <w:rPr>
          <w:rFonts w:hint="eastAsia" w:ascii="仿宋_GB2312" w:eastAsia="仿宋_GB2312"/>
          <w:sz w:val="32"/>
          <w:lang w:val="en-US" w:eastAsia="zh-CN"/>
        </w:rPr>
        <w:t>3</w:t>
      </w:r>
      <w:r>
        <w:rPr>
          <w:rFonts w:hint="default" w:ascii="仿宋_GB2312" w:eastAsia="仿宋_GB2312"/>
          <w:sz w:val="32"/>
        </w:rPr>
        <w:t>个单位开展整体绩效自评</w:t>
      </w:r>
      <w:r>
        <w:rPr>
          <w:rFonts w:hint="eastAsia" w:ascii="仿宋_GB2312" w:eastAsia="仿宋_GB2312"/>
          <w:sz w:val="32"/>
          <w:lang w:eastAsia="zh-CN"/>
        </w:rPr>
        <w:t>：</w:t>
      </w:r>
    </w:p>
    <w:p>
      <w:pPr>
        <w:widowControl/>
        <w:spacing w:line="560" w:lineRule="exact"/>
        <w:ind w:firstLine="640" w:firstLineChars="200"/>
        <w:rPr>
          <w:rFonts w:hint="default" w:ascii="仿宋_GB2312" w:eastAsia="仿宋_GB2312"/>
          <w:sz w:val="32"/>
        </w:rPr>
      </w:pPr>
      <w:r>
        <w:rPr>
          <w:rFonts w:hint="eastAsia" w:ascii="仿宋_GB2312" w:eastAsia="仿宋_GB2312"/>
          <w:sz w:val="32"/>
          <w:lang w:val="en-US" w:eastAsia="zh-CN"/>
        </w:rPr>
        <w:t>（1）沈阳市人力资源和社会保障局本级</w:t>
      </w:r>
      <w:r>
        <w:rPr>
          <w:rFonts w:hint="default" w:ascii="仿宋_GB2312" w:eastAsia="仿宋_GB2312"/>
          <w:sz w:val="32"/>
        </w:rPr>
        <w:t>涉及资金</w:t>
      </w:r>
      <w:r>
        <w:rPr>
          <w:rFonts w:hint="eastAsia" w:ascii="仿宋_GB2312" w:eastAsia="仿宋_GB2312"/>
          <w:sz w:val="32"/>
          <w:lang w:val="en-US" w:eastAsia="zh-CN"/>
        </w:rPr>
        <w:t>30325.62</w:t>
      </w:r>
      <w:r>
        <w:rPr>
          <w:rFonts w:hint="default" w:ascii="仿宋_GB2312" w:eastAsia="仿宋_GB2312"/>
          <w:sz w:val="32"/>
        </w:rPr>
        <w:t>万元，自评平均分</w:t>
      </w:r>
      <w:r>
        <w:rPr>
          <w:rFonts w:hint="eastAsia" w:ascii="仿宋_GB2312" w:eastAsia="仿宋_GB2312"/>
          <w:sz w:val="32"/>
          <w:lang w:val="en-US" w:eastAsia="zh-CN"/>
        </w:rPr>
        <w:t>66.6</w:t>
      </w:r>
      <w:r>
        <w:rPr>
          <w:rFonts w:hint="default" w:ascii="仿宋_GB2312" w:eastAsia="仿宋_GB2312"/>
          <w:sz w:val="32"/>
        </w:rPr>
        <w:t>分。</w:t>
      </w:r>
    </w:p>
    <w:p>
      <w:pPr>
        <w:widowControl/>
        <w:spacing w:line="560" w:lineRule="exact"/>
        <w:ind w:firstLine="640" w:firstLineChars="200"/>
        <w:rPr>
          <w:rFonts w:ascii="仿宋_GB2312" w:eastAsia="仿宋_GB2312"/>
          <w:color w:val="000000"/>
          <w:sz w:val="32"/>
        </w:rPr>
      </w:pPr>
      <w:r>
        <w:rPr>
          <w:rFonts w:hint="eastAsia" w:ascii="仿宋_GB2312" w:eastAsia="仿宋_GB2312"/>
          <w:color w:val="000000"/>
          <w:sz w:val="32"/>
          <w:lang w:val="en-US" w:eastAsia="zh-CN"/>
        </w:rPr>
        <w:t>（2）</w:t>
      </w:r>
      <w:r>
        <w:rPr>
          <w:rFonts w:hint="eastAsia" w:ascii="仿宋_GB2312" w:eastAsia="仿宋_GB2312"/>
          <w:color w:val="000000"/>
          <w:sz w:val="32"/>
          <w:lang w:eastAsia="zh-CN"/>
        </w:rPr>
        <w:t>沈阳市人力资源服务与行政执法中心</w:t>
      </w:r>
      <w:r>
        <w:rPr>
          <w:rFonts w:ascii="仿宋_GB2312" w:eastAsia="仿宋_GB2312"/>
          <w:color w:val="000000"/>
          <w:sz w:val="32"/>
        </w:rPr>
        <w:t>涉及资金6498.37万元，自评平均分94.23分。</w:t>
      </w:r>
    </w:p>
    <w:p>
      <w:pPr>
        <w:widowControl/>
        <w:spacing w:line="560" w:lineRule="exact"/>
        <w:ind w:firstLine="640" w:firstLineChars="200"/>
        <w:rPr>
          <w:rFonts w:hint="default" w:ascii="仿宋_GB2312" w:eastAsia="仿宋_GB2312"/>
          <w:sz w:val="32"/>
        </w:rPr>
      </w:pPr>
      <w:r>
        <w:rPr>
          <w:rFonts w:hint="eastAsia" w:ascii="仿宋_GB2312" w:eastAsia="仿宋_GB2312"/>
          <w:color w:val="000000"/>
          <w:sz w:val="32"/>
          <w:lang w:val="en-US" w:eastAsia="zh-CN"/>
        </w:rPr>
        <w:t>（3）沈阳市社会保险事业服务中心</w:t>
      </w:r>
      <w:r>
        <w:rPr>
          <w:rFonts w:hint="default" w:ascii="仿宋_GB2312" w:eastAsia="仿宋_GB2312"/>
          <w:sz w:val="32"/>
        </w:rPr>
        <w:t>涉及资金</w:t>
      </w:r>
      <w:r>
        <w:rPr>
          <w:rFonts w:hint="eastAsia" w:ascii="仿宋_GB2312" w:eastAsia="仿宋_GB2312"/>
          <w:sz w:val="32"/>
          <w:lang w:val="en-US" w:eastAsia="zh-CN"/>
        </w:rPr>
        <w:t>1986.04</w:t>
      </w:r>
      <w:r>
        <w:rPr>
          <w:rFonts w:hint="default" w:ascii="仿宋_GB2312" w:eastAsia="仿宋_GB2312"/>
          <w:sz w:val="32"/>
        </w:rPr>
        <w:t>万元，自评平均分</w:t>
      </w:r>
      <w:r>
        <w:rPr>
          <w:rFonts w:hint="eastAsia" w:ascii="仿宋_GB2312" w:eastAsia="仿宋_GB2312"/>
          <w:sz w:val="32"/>
          <w:lang w:val="en-US" w:eastAsia="zh-CN"/>
        </w:rPr>
        <w:t>93.76</w:t>
      </w:r>
      <w:r>
        <w:rPr>
          <w:rFonts w:hint="default" w:ascii="仿宋_GB2312" w:eastAsia="仿宋_GB2312"/>
          <w:sz w:val="32"/>
        </w:rPr>
        <w:t>分。</w:t>
      </w:r>
    </w:p>
    <w:p>
      <w:pPr>
        <w:widowControl/>
        <w:spacing w:line="560" w:lineRule="exact"/>
        <w:ind w:firstLine="640" w:firstLineChars="200"/>
        <w:rPr>
          <w:rFonts w:hint="default" w:ascii="仿宋_GB2312" w:eastAsia="仿宋_GB2312"/>
          <w:sz w:val="32"/>
        </w:rPr>
      </w:pPr>
      <w:r>
        <w:rPr>
          <w:rFonts w:hint="default" w:ascii="仿宋_GB2312" w:eastAsia="仿宋_GB2312"/>
          <w:sz w:val="32"/>
        </w:rPr>
        <w:t>2.项目绩效自评情况（附预算项目绩效自评表）。根据预算绩效管理要求，我</w:t>
      </w:r>
      <w:r>
        <w:rPr>
          <w:rFonts w:hint="eastAsia" w:ascii="仿宋_GB2312" w:eastAsia="仿宋_GB2312"/>
          <w:sz w:val="32"/>
          <w:lang w:eastAsia="zh-CN"/>
        </w:rPr>
        <w:t>部门</w:t>
      </w:r>
      <w:r>
        <w:rPr>
          <w:rFonts w:hint="default" w:ascii="仿宋_GB2312" w:eastAsia="仿宋_GB2312"/>
          <w:sz w:val="32"/>
        </w:rPr>
        <w:t>组织对2021年度预算项目支出全面开展绩效自评，共涉及预算支出项目</w:t>
      </w:r>
      <w:r>
        <w:rPr>
          <w:rFonts w:hint="eastAsia" w:ascii="仿宋_GB2312" w:eastAsia="仿宋_GB2312"/>
          <w:sz w:val="32"/>
          <w:lang w:val="en-US" w:eastAsia="zh-CN"/>
        </w:rPr>
        <w:t>32</w:t>
      </w:r>
      <w:r>
        <w:rPr>
          <w:rFonts w:hint="default" w:ascii="仿宋_GB2312" w:eastAsia="仿宋_GB2312"/>
          <w:sz w:val="32"/>
        </w:rPr>
        <w:t>个，涉及资金</w:t>
      </w:r>
      <w:r>
        <w:rPr>
          <w:rFonts w:hint="eastAsia" w:ascii="仿宋_GB2312" w:eastAsia="仿宋_GB2312"/>
          <w:sz w:val="32"/>
          <w:lang w:val="en-US" w:eastAsia="zh-CN"/>
        </w:rPr>
        <w:t>44826.25</w:t>
      </w:r>
      <w:r>
        <w:rPr>
          <w:rFonts w:hint="default" w:ascii="仿宋_GB2312" w:eastAsia="仿宋_GB2312"/>
          <w:sz w:val="32"/>
        </w:rPr>
        <w:t>万元，自评覆盖率（开展绩效自评的项目数/年初批复绩效目标的项目数）达到</w:t>
      </w:r>
      <w:r>
        <w:rPr>
          <w:rFonts w:hint="eastAsia" w:ascii="仿宋_GB2312" w:eastAsia="仿宋_GB2312"/>
          <w:sz w:val="32"/>
          <w:lang w:val="en-US" w:eastAsia="zh-CN"/>
        </w:rPr>
        <w:t>100</w:t>
      </w:r>
      <w:r>
        <w:rPr>
          <w:rFonts w:hint="default" w:ascii="仿宋_GB2312" w:eastAsia="仿宋_GB2312"/>
          <w:sz w:val="32"/>
        </w:rPr>
        <w:t>%，自评平均分（开展绩效自评的项目分数总和/开展绩效自评的项目数）</w:t>
      </w:r>
      <w:r>
        <w:rPr>
          <w:rFonts w:hint="eastAsia" w:ascii="仿宋_GB2312" w:eastAsia="仿宋_GB2312"/>
          <w:sz w:val="32"/>
          <w:lang w:val="en-US" w:eastAsia="zh-CN"/>
        </w:rPr>
        <w:t>84.86</w:t>
      </w:r>
      <w:r>
        <w:rPr>
          <w:rFonts w:hint="default" w:ascii="仿宋_GB2312" w:eastAsia="仿宋_GB2312"/>
          <w:sz w:val="32"/>
        </w:rPr>
        <w:t>分。</w:t>
      </w:r>
    </w:p>
    <w:p>
      <w:pPr>
        <w:widowControl/>
        <w:spacing w:line="560" w:lineRule="exact"/>
        <w:ind w:firstLine="640" w:firstLineChars="200"/>
        <w:rPr>
          <w:rFonts w:hint="default" w:ascii="仿宋_GB2312" w:eastAsia="仿宋_GB2312"/>
          <w:sz w:val="32"/>
        </w:rPr>
      </w:pPr>
      <w:r>
        <w:rPr>
          <w:rFonts w:hint="default" w:ascii="仿宋_GB2312" w:eastAsia="仿宋_GB2312"/>
          <w:sz w:val="32"/>
        </w:rPr>
        <w:t>具体评价结果如下：</w:t>
      </w:r>
    </w:p>
    <w:p>
      <w:pPr>
        <w:widowControl/>
        <w:numPr>
          <w:ilvl w:val="0"/>
          <w:numId w:val="3"/>
        </w:numPr>
        <w:spacing w:line="560" w:lineRule="exact"/>
        <w:ind w:firstLine="640" w:firstLineChars="200"/>
        <w:rPr>
          <w:rFonts w:hint="default" w:ascii="仿宋_GB2312" w:eastAsia="仿宋_GB2312"/>
          <w:sz w:val="32"/>
        </w:rPr>
      </w:pPr>
      <w:r>
        <w:rPr>
          <w:rFonts w:hint="default" w:ascii="仿宋_GB2312" w:eastAsia="仿宋_GB2312"/>
          <w:sz w:val="32"/>
        </w:rPr>
        <w:t>“盛京大工匠评选经费”项目自评综述：根据年初设定的绩效目标，项目自评得分</w:t>
      </w:r>
      <w:r>
        <w:rPr>
          <w:rFonts w:hint="eastAsia" w:ascii="仿宋_GB2312" w:eastAsia="仿宋_GB2312"/>
          <w:sz w:val="32"/>
          <w:lang w:val="en-US" w:eastAsia="zh-CN"/>
        </w:rPr>
        <w:t>89</w:t>
      </w:r>
      <w:r>
        <w:rPr>
          <w:rFonts w:hint="default" w:ascii="仿宋_GB2312" w:eastAsia="仿宋_GB2312"/>
          <w:sz w:val="32"/>
        </w:rPr>
        <w:t>分。项目全年预算数为</w:t>
      </w:r>
      <w:r>
        <w:rPr>
          <w:rFonts w:hint="eastAsia" w:ascii="仿宋_GB2312" w:eastAsia="仿宋_GB2312"/>
          <w:sz w:val="32"/>
          <w:lang w:val="en-US" w:eastAsia="zh-CN"/>
        </w:rPr>
        <w:t>126</w:t>
      </w:r>
      <w:r>
        <w:rPr>
          <w:rFonts w:hint="default" w:ascii="仿宋_GB2312" w:eastAsia="仿宋_GB2312"/>
          <w:sz w:val="32"/>
        </w:rPr>
        <w:t>万元，执行数为</w:t>
      </w:r>
      <w:r>
        <w:rPr>
          <w:rFonts w:hint="eastAsia" w:ascii="仿宋_GB2312" w:eastAsia="仿宋_GB2312"/>
          <w:sz w:val="32"/>
          <w:lang w:val="en-US" w:eastAsia="zh-CN"/>
        </w:rPr>
        <w:t>100</w:t>
      </w:r>
      <w:r>
        <w:rPr>
          <w:rFonts w:hint="default" w:ascii="仿宋_GB2312" w:eastAsia="仿宋_GB2312"/>
          <w:sz w:val="32"/>
        </w:rPr>
        <w:t>万元，完成预算的</w:t>
      </w:r>
      <w:r>
        <w:rPr>
          <w:rFonts w:hint="eastAsia" w:ascii="仿宋_GB2312" w:eastAsia="仿宋_GB2312"/>
          <w:sz w:val="32"/>
          <w:lang w:val="en-US" w:eastAsia="zh-CN"/>
        </w:rPr>
        <w:t>79.37</w:t>
      </w:r>
      <w:r>
        <w:rPr>
          <w:rFonts w:hint="default" w:ascii="仿宋_GB2312" w:eastAsia="仿宋_GB2312"/>
          <w:sz w:val="32"/>
        </w:rPr>
        <w:t>%。项目绩效目标完成情况：一是人才补助资金按时发放率</w:t>
      </w:r>
      <w:r>
        <w:rPr>
          <w:rFonts w:hint="eastAsia" w:ascii="仿宋_GB2312" w:eastAsia="仿宋_GB2312"/>
          <w:sz w:val="32"/>
          <w:lang w:val="en-US" w:eastAsia="zh-CN"/>
        </w:rPr>
        <w:t>100%</w:t>
      </w:r>
      <w:r>
        <w:rPr>
          <w:rFonts w:hint="default" w:ascii="仿宋_GB2312" w:eastAsia="仿宋_GB2312"/>
          <w:sz w:val="32"/>
        </w:rPr>
        <w:t>;二是按照规定发放补助</w:t>
      </w:r>
      <w:r>
        <w:rPr>
          <w:rFonts w:hint="eastAsia" w:ascii="仿宋_GB2312" w:eastAsia="仿宋_GB2312"/>
          <w:sz w:val="32"/>
          <w:lang w:val="en-US" w:eastAsia="zh-CN"/>
        </w:rPr>
        <w:t>100万元</w:t>
      </w:r>
      <w:r>
        <w:rPr>
          <w:rFonts w:hint="default" w:ascii="仿宋_GB2312" w:eastAsia="仿宋_GB2312"/>
          <w:sz w:val="32"/>
        </w:rPr>
        <w:t>;三是不断推进专业技术人才队伍建设。发现的主要问题及原因：一是资助人才数</w:t>
      </w:r>
      <w:r>
        <w:rPr>
          <w:rFonts w:hint="default" w:ascii="Arial" w:hAnsi="Arial" w:eastAsia="仿宋_GB2312" w:cs="Arial"/>
          <w:sz w:val="32"/>
        </w:rPr>
        <w:t>≤</w:t>
      </w:r>
      <w:r>
        <w:rPr>
          <w:rFonts w:hint="eastAsia" w:ascii="仿宋_GB2312" w:eastAsia="仿宋_GB2312"/>
          <w:sz w:val="32"/>
          <w:lang w:val="en-US" w:eastAsia="zh-CN"/>
        </w:rPr>
        <w:t>25人</w:t>
      </w:r>
      <w:r>
        <w:rPr>
          <w:rFonts w:hint="default" w:ascii="仿宋_GB2312" w:eastAsia="仿宋_GB2312"/>
          <w:sz w:val="32"/>
        </w:rPr>
        <w:t>。下一步改进措施：一是落实盛京大工匠评选政策。</w:t>
      </w:r>
      <w:r>
        <w:rPr>
          <w:rFonts w:hint="eastAsia" w:ascii="仿宋_GB2312" w:eastAsia="仿宋_GB2312"/>
          <w:sz w:val="32"/>
          <w:lang w:eastAsia="zh-CN"/>
        </w:rPr>
        <w:t>二是</w:t>
      </w:r>
      <w:r>
        <w:rPr>
          <w:rFonts w:hint="default" w:ascii="仿宋_GB2312" w:eastAsia="仿宋_GB2312"/>
          <w:sz w:val="32"/>
        </w:rPr>
        <w:t>尽早的发出公告，扩大宣传力量，让更多的人了解到此次评选活动，争取2022年的时候完成指标值。</w:t>
      </w:r>
    </w:p>
    <w:p>
      <w:pPr>
        <w:widowControl/>
        <w:numPr>
          <w:ilvl w:val="0"/>
          <w:numId w:val="3"/>
        </w:numPr>
        <w:spacing w:line="560" w:lineRule="exact"/>
        <w:ind w:firstLine="640" w:firstLineChars="200"/>
        <w:rPr>
          <w:rFonts w:hint="default" w:ascii="仿宋_GB2312" w:eastAsia="仿宋_GB2312"/>
          <w:sz w:val="32"/>
        </w:rPr>
      </w:pPr>
      <w:r>
        <w:rPr>
          <w:rFonts w:hint="default" w:ascii="仿宋_GB2312" w:eastAsia="仿宋_GB2312"/>
          <w:sz w:val="32"/>
        </w:rPr>
        <w:t>“乡村振兴人才奖励”项目自评综述：根据年初设定的绩效目标，项目自评得分</w:t>
      </w:r>
      <w:r>
        <w:rPr>
          <w:rFonts w:hint="eastAsia" w:ascii="仿宋_GB2312" w:eastAsia="仿宋_GB2312"/>
          <w:sz w:val="32"/>
          <w:lang w:val="en-US" w:eastAsia="zh-CN"/>
        </w:rPr>
        <w:t>98</w:t>
      </w:r>
      <w:r>
        <w:rPr>
          <w:rFonts w:hint="default" w:ascii="仿宋_GB2312" w:eastAsia="仿宋_GB2312"/>
          <w:sz w:val="32"/>
        </w:rPr>
        <w:t>分。项目全年预算数为</w:t>
      </w:r>
      <w:r>
        <w:rPr>
          <w:rFonts w:hint="eastAsia" w:ascii="仿宋_GB2312" w:eastAsia="仿宋_GB2312"/>
          <w:sz w:val="32"/>
          <w:lang w:val="en-US" w:eastAsia="zh-CN"/>
        </w:rPr>
        <w:t>300</w:t>
      </w:r>
      <w:r>
        <w:rPr>
          <w:rFonts w:hint="default" w:ascii="仿宋_GB2312" w:eastAsia="仿宋_GB2312"/>
          <w:sz w:val="32"/>
        </w:rPr>
        <w:t>万元，执行数为</w:t>
      </w:r>
      <w:r>
        <w:rPr>
          <w:rFonts w:hint="eastAsia" w:ascii="仿宋_GB2312" w:eastAsia="仿宋_GB2312"/>
          <w:sz w:val="32"/>
          <w:lang w:val="en-US" w:eastAsia="zh-CN"/>
        </w:rPr>
        <w:t>272</w:t>
      </w:r>
      <w:r>
        <w:rPr>
          <w:rFonts w:hint="default" w:ascii="仿宋_GB2312" w:eastAsia="仿宋_GB2312"/>
          <w:sz w:val="32"/>
        </w:rPr>
        <w:t>万元，完成预算的</w:t>
      </w:r>
      <w:r>
        <w:rPr>
          <w:rFonts w:hint="eastAsia" w:ascii="仿宋_GB2312" w:eastAsia="仿宋_GB2312"/>
          <w:sz w:val="32"/>
          <w:lang w:val="en-US" w:eastAsia="zh-CN"/>
        </w:rPr>
        <w:t>90.67</w:t>
      </w:r>
      <w:r>
        <w:rPr>
          <w:rFonts w:hint="default" w:ascii="仿宋_GB2312" w:eastAsia="仿宋_GB2312"/>
          <w:sz w:val="32"/>
        </w:rPr>
        <w:t>%。项目绩效目标完成情况：一是人才补助资金按时发放率</w:t>
      </w:r>
      <w:r>
        <w:rPr>
          <w:rFonts w:hint="eastAsia" w:ascii="仿宋_GB2312" w:eastAsia="仿宋_GB2312"/>
          <w:sz w:val="32"/>
          <w:lang w:val="en-US" w:eastAsia="zh-CN"/>
        </w:rPr>
        <w:t>100%</w:t>
      </w:r>
      <w:r>
        <w:rPr>
          <w:rFonts w:hint="default" w:ascii="仿宋_GB2312" w:eastAsia="仿宋_GB2312"/>
          <w:sz w:val="32"/>
        </w:rPr>
        <w:t>;二是执行相关文件要求;三是促进经济发展</w:t>
      </w:r>
      <w:r>
        <w:rPr>
          <w:rFonts w:hint="eastAsia" w:ascii="仿宋_GB2312" w:eastAsia="仿宋_GB2312"/>
          <w:sz w:val="32"/>
          <w:lang w:eastAsia="zh-CN"/>
        </w:rPr>
        <w:t>，实现乡村振兴</w:t>
      </w:r>
      <w:r>
        <w:rPr>
          <w:rFonts w:hint="default" w:ascii="仿宋_GB2312" w:eastAsia="仿宋_GB2312"/>
          <w:sz w:val="32"/>
        </w:rPr>
        <w:t>。发现的主要问题及原因：一是资助人才数</w:t>
      </w:r>
      <w:r>
        <w:rPr>
          <w:rFonts w:hint="default" w:ascii="Arial" w:hAnsi="Arial" w:eastAsia="仿宋_GB2312" w:cs="Arial"/>
          <w:sz w:val="32"/>
        </w:rPr>
        <w:t>≤</w:t>
      </w:r>
      <w:r>
        <w:rPr>
          <w:rFonts w:hint="eastAsia" w:ascii="仿宋_GB2312" w:eastAsia="仿宋_GB2312"/>
          <w:sz w:val="32"/>
          <w:lang w:val="en-US" w:eastAsia="zh-CN"/>
        </w:rPr>
        <w:t>280人，</w:t>
      </w:r>
      <w:r>
        <w:rPr>
          <w:rFonts w:hint="default" w:ascii="仿宋_GB2312" w:eastAsia="仿宋_GB2312"/>
          <w:sz w:val="32"/>
        </w:rPr>
        <w:t>其中22人，未通过考评。下一步改进措施：一</w:t>
      </w:r>
      <w:r>
        <w:rPr>
          <w:rFonts w:hint="eastAsia" w:ascii="仿宋_GB2312" w:eastAsia="仿宋_GB2312"/>
          <w:sz w:val="32"/>
          <w:lang w:eastAsia="zh-CN"/>
        </w:rPr>
        <w:t>是根据政策适时进行调整，</w:t>
      </w:r>
      <w:r>
        <w:rPr>
          <w:rFonts w:hint="eastAsia" w:ascii="仿宋_GB2312" w:eastAsia="仿宋_GB2312"/>
          <w:sz w:val="32"/>
          <w:lang w:val="en-US" w:eastAsia="zh-CN"/>
        </w:rPr>
        <w:t>更加细化完善考评细则</w:t>
      </w:r>
      <w:r>
        <w:rPr>
          <w:rFonts w:hint="default" w:ascii="仿宋_GB2312" w:eastAsia="仿宋_GB2312"/>
          <w:sz w:val="32"/>
        </w:rPr>
        <w:t>。</w:t>
      </w:r>
      <w:r>
        <w:rPr>
          <w:rFonts w:hint="eastAsia" w:ascii="仿宋_GB2312" w:eastAsia="仿宋_GB2312"/>
          <w:sz w:val="32"/>
          <w:lang w:eastAsia="zh-CN"/>
        </w:rPr>
        <w:t>二是</w:t>
      </w:r>
      <w:r>
        <w:rPr>
          <w:rFonts w:hint="default" w:ascii="仿宋_GB2312" w:eastAsia="仿宋_GB2312"/>
          <w:sz w:val="32"/>
        </w:rPr>
        <w:t>尽早的发出公告，扩大宣传力量，让更多的人了解到此次</w:t>
      </w:r>
      <w:r>
        <w:rPr>
          <w:rFonts w:hint="eastAsia" w:ascii="仿宋_GB2312" w:eastAsia="仿宋_GB2312"/>
          <w:sz w:val="32"/>
          <w:lang w:eastAsia="zh-CN"/>
        </w:rPr>
        <w:t>项目。</w:t>
      </w:r>
    </w:p>
    <w:p>
      <w:pPr>
        <w:widowControl/>
        <w:numPr>
          <w:ilvl w:val="0"/>
          <w:numId w:val="3"/>
        </w:numPr>
        <w:spacing w:line="560" w:lineRule="exact"/>
        <w:ind w:firstLine="640" w:firstLineChars="200"/>
        <w:rPr>
          <w:rFonts w:hint="default" w:ascii="仿宋_GB2312" w:eastAsia="仿宋_GB2312"/>
          <w:sz w:val="32"/>
        </w:rPr>
      </w:pPr>
      <w:r>
        <w:rPr>
          <w:rFonts w:hint="default" w:ascii="仿宋_GB2312" w:eastAsia="仿宋_GB2312"/>
          <w:sz w:val="32"/>
        </w:rPr>
        <w:t>“高级技师”购房补贴项目自评综述：根据年初设定的绩效目标，项目自评得分</w:t>
      </w:r>
      <w:r>
        <w:rPr>
          <w:rFonts w:hint="eastAsia" w:ascii="仿宋_GB2312" w:eastAsia="仿宋_GB2312"/>
          <w:sz w:val="32"/>
          <w:lang w:val="en-US" w:eastAsia="zh-CN"/>
        </w:rPr>
        <w:t>12.4</w:t>
      </w:r>
      <w:r>
        <w:rPr>
          <w:rFonts w:hint="default" w:ascii="仿宋_GB2312" w:eastAsia="仿宋_GB2312"/>
          <w:sz w:val="32"/>
        </w:rPr>
        <w:t>分。项目全年预算数为</w:t>
      </w:r>
      <w:r>
        <w:rPr>
          <w:rFonts w:hint="eastAsia" w:ascii="仿宋_GB2312" w:eastAsia="仿宋_GB2312"/>
          <w:sz w:val="32"/>
          <w:lang w:val="en-US" w:eastAsia="zh-CN"/>
        </w:rPr>
        <w:t>50</w:t>
      </w:r>
      <w:r>
        <w:rPr>
          <w:rFonts w:hint="default" w:ascii="仿宋_GB2312" w:eastAsia="仿宋_GB2312"/>
          <w:sz w:val="32"/>
        </w:rPr>
        <w:t>万元，执行数为</w:t>
      </w:r>
      <w:r>
        <w:rPr>
          <w:rFonts w:hint="eastAsia" w:ascii="仿宋_GB2312" w:eastAsia="仿宋_GB2312"/>
          <w:sz w:val="32"/>
          <w:lang w:val="en-US" w:eastAsia="zh-CN"/>
        </w:rPr>
        <w:t>0</w:t>
      </w:r>
      <w:r>
        <w:rPr>
          <w:rFonts w:hint="default" w:ascii="仿宋_GB2312" w:eastAsia="仿宋_GB2312"/>
          <w:sz w:val="32"/>
        </w:rPr>
        <w:t>万元，完成预算的</w:t>
      </w:r>
      <w:r>
        <w:rPr>
          <w:rFonts w:hint="eastAsia" w:ascii="仿宋_GB2312" w:eastAsia="仿宋_GB2312"/>
          <w:sz w:val="32"/>
          <w:lang w:val="en-US" w:eastAsia="zh-CN"/>
        </w:rPr>
        <w:t>0</w:t>
      </w:r>
      <w:r>
        <w:rPr>
          <w:rFonts w:hint="default" w:ascii="仿宋_GB2312" w:eastAsia="仿宋_GB2312"/>
          <w:sz w:val="32"/>
        </w:rPr>
        <w:t>%。发现的主要问题及原因</w:t>
      </w:r>
      <w:r>
        <w:rPr>
          <w:rFonts w:hint="eastAsia" w:ascii="仿宋_GB2312" w:eastAsia="仿宋_GB2312"/>
          <w:sz w:val="32"/>
          <w:lang w:eastAsia="zh-CN"/>
        </w:rPr>
        <w:t>：</w:t>
      </w:r>
      <w:r>
        <w:rPr>
          <w:rFonts w:hint="default" w:ascii="仿宋_GB2312" w:eastAsia="仿宋_GB2312"/>
          <w:sz w:val="32"/>
        </w:rPr>
        <w:t>此项目高级技师购房补贴的面向人群较小，符合条件的人数少，导致高级技师购房补贴的项目取消。下一步改进措施：在以后的预算之中希望对高级技师的购房补贴文件进行修改，使其项目受众人群增加，报名人数增多</w:t>
      </w:r>
      <w:r>
        <w:rPr>
          <w:rFonts w:hint="eastAsia" w:ascii="仿宋_GB2312" w:eastAsia="仿宋_GB2312"/>
          <w:sz w:val="32"/>
          <w:lang w:eastAsia="zh-CN"/>
        </w:rPr>
        <w:t>。</w:t>
      </w:r>
    </w:p>
    <w:p>
      <w:pPr>
        <w:widowControl/>
        <w:numPr>
          <w:ilvl w:val="0"/>
          <w:numId w:val="3"/>
        </w:numPr>
        <w:spacing w:line="560" w:lineRule="exact"/>
        <w:ind w:firstLine="640" w:firstLineChars="200"/>
        <w:rPr>
          <w:rFonts w:hint="eastAsia" w:ascii="仿宋_GB2312" w:eastAsia="仿宋_GB2312"/>
          <w:sz w:val="32"/>
          <w:lang w:eastAsia="zh-CN"/>
        </w:rPr>
      </w:pPr>
      <w:r>
        <w:rPr>
          <w:rFonts w:hint="default" w:ascii="仿宋_GB2312" w:eastAsia="仿宋_GB2312"/>
          <w:sz w:val="32"/>
        </w:rPr>
        <w:t>高层次人才创新创业资助项目自评综述：根据年初设定的绩效目标，项目自评得分</w:t>
      </w:r>
      <w:r>
        <w:rPr>
          <w:rFonts w:hint="eastAsia" w:ascii="仿宋_GB2312" w:eastAsia="仿宋_GB2312"/>
          <w:sz w:val="32"/>
          <w:lang w:val="en-US" w:eastAsia="zh-CN"/>
        </w:rPr>
        <w:t>59</w:t>
      </w:r>
      <w:r>
        <w:rPr>
          <w:rFonts w:hint="default" w:ascii="仿宋_GB2312" w:eastAsia="仿宋_GB2312"/>
          <w:sz w:val="32"/>
        </w:rPr>
        <w:t>分。项目全年预算数为</w:t>
      </w:r>
      <w:r>
        <w:rPr>
          <w:rFonts w:hint="eastAsia" w:ascii="仿宋_GB2312" w:eastAsia="仿宋_GB2312"/>
          <w:sz w:val="32"/>
          <w:lang w:val="en-US" w:eastAsia="zh-CN"/>
        </w:rPr>
        <w:t>4600</w:t>
      </w:r>
      <w:r>
        <w:rPr>
          <w:rFonts w:hint="default" w:ascii="仿宋_GB2312" w:eastAsia="仿宋_GB2312"/>
          <w:sz w:val="32"/>
        </w:rPr>
        <w:t>万元，执行数为</w:t>
      </w:r>
      <w:r>
        <w:rPr>
          <w:rFonts w:hint="eastAsia" w:ascii="仿宋_GB2312" w:eastAsia="仿宋_GB2312"/>
          <w:sz w:val="32"/>
          <w:lang w:val="en-US" w:eastAsia="zh-CN"/>
        </w:rPr>
        <w:t>2150</w:t>
      </w:r>
      <w:r>
        <w:rPr>
          <w:rFonts w:hint="default" w:ascii="仿宋_GB2312" w:eastAsia="仿宋_GB2312"/>
          <w:sz w:val="32"/>
        </w:rPr>
        <w:t>万元，完成预算的</w:t>
      </w:r>
      <w:r>
        <w:rPr>
          <w:rFonts w:hint="eastAsia" w:ascii="仿宋_GB2312" w:eastAsia="仿宋_GB2312"/>
          <w:sz w:val="32"/>
          <w:lang w:val="en-US" w:eastAsia="zh-CN"/>
        </w:rPr>
        <w:t>46.74</w:t>
      </w:r>
      <w:r>
        <w:rPr>
          <w:rFonts w:hint="default" w:ascii="仿宋_GB2312" w:eastAsia="仿宋_GB2312"/>
          <w:sz w:val="32"/>
        </w:rPr>
        <w:t>%。项目绩效目标完成情况：一是完成高层次人才团队创新创业年度立项评审与资助工作;二是完成已立项资助的高层次人才团队中期评估审核验收工作。发现的主要问题及原因</w:t>
      </w:r>
      <w:r>
        <w:rPr>
          <w:rFonts w:hint="eastAsia" w:ascii="仿宋_GB2312" w:eastAsia="仿宋_GB2312"/>
          <w:sz w:val="32"/>
          <w:lang w:eastAsia="zh-CN"/>
        </w:rPr>
        <w:t>：</w:t>
      </w:r>
      <w:r>
        <w:rPr>
          <w:rFonts w:hint="default" w:ascii="仿宋_GB2312" w:eastAsia="仿宋_GB2312"/>
          <w:sz w:val="32"/>
        </w:rPr>
        <w:t>由于时间紧迫，面向的群众少，符合条件的人群少，在2021年年底确定评选出盛京大工匠十名。下一步改进措施：尽早的发出公告，扩大宣传力量，让更多的人了解到此次评选活动，争取2022年的时候完成指标值</w:t>
      </w:r>
      <w:r>
        <w:rPr>
          <w:rFonts w:hint="eastAsia" w:ascii="仿宋_GB2312" w:eastAsia="仿宋_GB2312"/>
          <w:sz w:val="32"/>
          <w:lang w:eastAsia="zh-CN"/>
        </w:rPr>
        <w:t>。</w:t>
      </w:r>
    </w:p>
    <w:p>
      <w:pPr>
        <w:widowControl/>
        <w:numPr>
          <w:ilvl w:val="0"/>
          <w:numId w:val="3"/>
        </w:numPr>
        <w:spacing w:line="560" w:lineRule="exact"/>
        <w:ind w:firstLine="640" w:firstLineChars="200"/>
        <w:rPr>
          <w:rFonts w:hint="eastAsia" w:ascii="仿宋_GB2312" w:eastAsia="仿宋_GB2312"/>
          <w:sz w:val="32"/>
          <w:lang w:eastAsia="zh-CN"/>
        </w:rPr>
      </w:pPr>
      <w:r>
        <w:rPr>
          <w:rFonts w:hint="default" w:ascii="仿宋_GB2312" w:eastAsia="仿宋_GB2312"/>
          <w:sz w:val="32"/>
        </w:rPr>
        <w:t>“双元制”校企合作补贴项目自评综述：根据年初设定的绩效目标，项目自评得分</w:t>
      </w:r>
      <w:r>
        <w:rPr>
          <w:rFonts w:hint="eastAsia" w:ascii="仿宋_GB2312" w:eastAsia="仿宋_GB2312"/>
          <w:sz w:val="32"/>
          <w:lang w:val="en-US" w:eastAsia="zh-CN"/>
        </w:rPr>
        <w:t>59</w:t>
      </w:r>
      <w:r>
        <w:rPr>
          <w:rFonts w:hint="default" w:ascii="仿宋_GB2312" w:eastAsia="仿宋_GB2312"/>
          <w:sz w:val="32"/>
        </w:rPr>
        <w:t>分。项目全年预算数为</w:t>
      </w:r>
      <w:r>
        <w:rPr>
          <w:rFonts w:hint="eastAsia" w:ascii="仿宋_GB2312" w:eastAsia="仿宋_GB2312"/>
          <w:sz w:val="32"/>
          <w:lang w:val="en-US" w:eastAsia="zh-CN"/>
        </w:rPr>
        <w:t>150</w:t>
      </w:r>
      <w:r>
        <w:rPr>
          <w:rFonts w:hint="default" w:ascii="仿宋_GB2312" w:eastAsia="仿宋_GB2312"/>
          <w:sz w:val="32"/>
        </w:rPr>
        <w:t>万元，执行数为</w:t>
      </w:r>
      <w:r>
        <w:rPr>
          <w:rFonts w:hint="eastAsia" w:ascii="仿宋_GB2312" w:eastAsia="仿宋_GB2312"/>
          <w:sz w:val="32"/>
          <w:lang w:val="en-US" w:eastAsia="zh-CN"/>
        </w:rPr>
        <w:t>0</w:t>
      </w:r>
      <w:r>
        <w:rPr>
          <w:rFonts w:hint="default" w:ascii="仿宋_GB2312" w:eastAsia="仿宋_GB2312"/>
          <w:sz w:val="32"/>
        </w:rPr>
        <w:t>万元，完成预算的</w:t>
      </w:r>
      <w:r>
        <w:rPr>
          <w:rFonts w:hint="eastAsia" w:ascii="仿宋_GB2312" w:eastAsia="仿宋_GB2312"/>
          <w:sz w:val="32"/>
          <w:lang w:val="en-US" w:eastAsia="zh-CN"/>
        </w:rPr>
        <w:t>0</w:t>
      </w:r>
      <w:r>
        <w:rPr>
          <w:rFonts w:hint="default" w:ascii="仿宋_GB2312" w:eastAsia="仿宋_GB2312"/>
          <w:sz w:val="32"/>
        </w:rPr>
        <w:t>%。项目绩效目标完成情况：一是落实双元制校企合作补贴政策。二是鼓励企业吸纳毕业生促进就业</w:t>
      </w:r>
      <w:r>
        <w:rPr>
          <w:rFonts w:hint="eastAsia" w:ascii="仿宋_GB2312" w:eastAsia="仿宋_GB2312"/>
          <w:sz w:val="32"/>
          <w:lang w:eastAsia="zh-CN"/>
        </w:rPr>
        <w:t>。</w:t>
      </w:r>
    </w:p>
    <w:p>
      <w:pPr>
        <w:widowControl/>
        <w:numPr>
          <w:ilvl w:val="0"/>
          <w:numId w:val="3"/>
        </w:numPr>
        <w:spacing w:line="560" w:lineRule="exact"/>
        <w:ind w:firstLine="640" w:firstLineChars="200"/>
        <w:rPr>
          <w:rFonts w:hint="default" w:ascii="仿宋_GB2312" w:eastAsia="仿宋_GB2312"/>
          <w:sz w:val="32"/>
        </w:rPr>
      </w:pPr>
      <w:r>
        <w:rPr>
          <w:rFonts w:hint="default" w:ascii="仿宋_GB2312" w:eastAsia="仿宋_GB2312"/>
          <w:sz w:val="32"/>
        </w:rPr>
        <w:t>高层次人才税收补贴项目自评综述：根据年初设定的绩效目标，项目自评得分</w:t>
      </w:r>
      <w:r>
        <w:rPr>
          <w:rFonts w:hint="eastAsia" w:ascii="仿宋_GB2312" w:eastAsia="仿宋_GB2312"/>
          <w:sz w:val="32"/>
          <w:lang w:val="en-US" w:eastAsia="zh-CN"/>
        </w:rPr>
        <w:t>24.8</w:t>
      </w:r>
      <w:r>
        <w:rPr>
          <w:rFonts w:hint="default" w:ascii="仿宋_GB2312" w:eastAsia="仿宋_GB2312"/>
          <w:sz w:val="32"/>
        </w:rPr>
        <w:t>分。项目全年预算数为</w:t>
      </w:r>
      <w:r>
        <w:rPr>
          <w:rFonts w:hint="eastAsia" w:ascii="仿宋_GB2312" w:eastAsia="仿宋_GB2312"/>
          <w:sz w:val="32"/>
          <w:lang w:val="en-US" w:eastAsia="zh-CN"/>
        </w:rPr>
        <w:t>0</w:t>
      </w:r>
      <w:r>
        <w:rPr>
          <w:rFonts w:hint="default" w:ascii="仿宋_GB2312" w:eastAsia="仿宋_GB2312"/>
          <w:sz w:val="32"/>
        </w:rPr>
        <w:t>万元，执行数为</w:t>
      </w:r>
      <w:r>
        <w:rPr>
          <w:rFonts w:hint="eastAsia" w:ascii="仿宋_GB2312" w:eastAsia="仿宋_GB2312"/>
          <w:sz w:val="32"/>
          <w:lang w:val="en-US" w:eastAsia="zh-CN"/>
        </w:rPr>
        <w:t>0</w:t>
      </w:r>
      <w:r>
        <w:rPr>
          <w:rFonts w:hint="default" w:ascii="仿宋_GB2312" w:eastAsia="仿宋_GB2312"/>
          <w:sz w:val="32"/>
        </w:rPr>
        <w:t>万元，完成预算的</w:t>
      </w:r>
      <w:r>
        <w:rPr>
          <w:rFonts w:hint="eastAsia" w:ascii="仿宋_GB2312" w:eastAsia="仿宋_GB2312"/>
          <w:sz w:val="32"/>
          <w:lang w:val="en-US" w:eastAsia="zh-CN"/>
        </w:rPr>
        <w:t>0</w:t>
      </w:r>
      <w:r>
        <w:rPr>
          <w:rFonts w:hint="default" w:ascii="仿宋_GB2312" w:eastAsia="仿宋_GB2312"/>
          <w:sz w:val="32"/>
        </w:rPr>
        <w:t>%。发现的主要问题及原因：由于更新人才政策3.0的具体细则和政策，导致未按年初计划年底前完成税收补贴申报人员审核及评审会后进行资金拨付。下一步改进措施：根据适时的政策具体情况，对此项政策要不断完善制度设计，进行政策调整，争取明年按照计划完成。</w:t>
      </w:r>
    </w:p>
    <w:p>
      <w:pPr>
        <w:widowControl/>
        <w:numPr>
          <w:ilvl w:val="0"/>
          <w:numId w:val="3"/>
        </w:numPr>
        <w:spacing w:line="560" w:lineRule="exact"/>
        <w:ind w:firstLine="640" w:firstLineChars="200"/>
        <w:rPr>
          <w:rFonts w:hint="default" w:ascii="仿宋_GB2312" w:eastAsia="仿宋_GB2312"/>
          <w:sz w:val="32"/>
        </w:rPr>
      </w:pPr>
      <w:r>
        <w:rPr>
          <w:rFonts w:hint="default" w:ascii="仿宋_GB2312" w:eastAsia="仿宋_GB2312"/>
          <w:sz w:val="32"/>
        </w:rPr>
        <w:t>高技能人才培育基地建设经费项目自评综述：根据年初设定的绩效目标，项目自评得分</w:t>
      </w:r>
      <w:r>
        <w:rPr>
          <w:rFonts w:hint="eastAsia" w:ascii="仿宋_GB2312" w:eastAsia="仿宋_GB2312"/>
          <w:sz w:val="32"/>
          <w:lang w:val="en-US" w:eastAsia="zh-CN"/>
        </w:rPr>
        <w:t>59</w:t>
      </w:r>
      <w:r>
        <w:rPr>
          <w:rFonts w:hint="default" w:ascii="仿宋_GB2312" w:eastAsia="仿宋_GB2312"/>
          <w:sz w:val="32"/>
        </w:rPr>
        <w:t>分。项目全年预算数为</w:t>
      </w:r>
      <w:r>
        <w:rPr>
          <w:rFonts w:hint="eastAsia" w:ascii="仿宋_GB2312" w:eastAsia="仿宋_GB2312"/>
          <w:sz w:val="32"/>
          <w:lang w:val="en-US" w:eastAsia="zh-CN"/>
        </w:rPr>
        <w:t>251</w:t>
      </w:r>
      <w:r>
        <w:rPr>
          <w:rFonts w:hint="default" w:ascii="仿宋_GB2312" w:eastAsia="仿宋_GB2312"/>
          <w:sz w:val="32"/>
        </w:rPr>
        <w:t>万元，执行数为</w:t>
      </w:r>
      <w:r>
        <w:rPr>
          <w:rFonts w:hint="eastAsia" w:ascii="仿宋_GB2312" w:eastAsia="仿宋_GB2312"/>
          <w:sz w:val="32"/>
          <w:lang w:val="en-US" w:eastAsia="zh-CN"/>
        </w:rPr>
        <w:t>50</w:t>
      </w:r>
      <w:r>
        <w:rPr>
          <w:rFonts w:hint="default" w:ascii="仿宋_GB2312" w:eastAsia="仿宋_GB2312"/>
          <w:sz w:val="32"/>
        </w:rPr>
        <w:t>万元，完成预算的</w:t>
      </w:r>
      <w:r>
        <w:rPr>
          <w:rFonts w:hint="eastAsia" w:ascii="仿宋_GB2312" w:eastAsia="仿宋_GB2312"/>
          <w:sz w:val="32"/>
          <w:lang w:val="en-US" w:eastAsia="zh-CN"/>
        </w:rPr>
        <w:t>19.92</w:t>
      </w:r>
      <w:r>
        <w:rPr>
          <w:rFonts w:hint="default" w:ascii="仿宋_GB2312" w:eastAsia="仿宋_GB2312"/>
          <w:sz w:val="32"/>
        </w:rPr>
        <w:t>%。项目绩效目标完成情况：一是落实高技能人才培育基地建设政策;二是构建完善的人才培训体系。发现的主要问题及原因：由于时间紧迫，面向的群众少，符合条件的人群少，在2021年年底确定评选出三个符合条件基地</w:t>
      </w:r>
      <w:r>
        <w:rPr>
          <w:rFonts w:hint="eastAsia" w:ascii="仿宋_GB2312" w:eastAsia="仿宋_GB2312"/>
          <w:sz w:val="32"/>
          <w:lang w:eastAsia="zh-CN"/>
        </w:rPr>
        <w:t>。</w:t>
      </w:r>
      <w:r>
        <w:rPr>
          <w:rFonts w:hint="default" w:ascii="仿宋_GB2312" w:eastAsia="仿宋_GB2312"/>
          <w:sz w:val="32"/>
        </w:rPr>
        <w:t>下一步改进措施：尽早的发出公告，扩大宣传力量，让更多的人了解到此次评选活动，争取2022年的时候完成指标值</w:t>
      </w:r>
      <w:r>
        <w:rPr>
          <w:rFonts w:hint="eastAsia" w:ascii="仿宋_GB2312" w:eastAsia="仿宋_GB2312"/>
          <w:sz w:val="32"/>
          <w:lang w:eastAsia="zh-CN"/>
        </w:rPr>
        <w:t>。</w:t>
      </w:r>
    </w:p>
    <w:p>
      <w:pPr>
        <w:widowControl/>
        <w:numPr>
          <w:ilvl w:val="0"/>
          <w:numId w:val="3"/>
        </w:numPr>
        <w:spacing w:line="560" w:lineRule="exact"/>
        <w:ind w:firstLine="640" w:firstLineChars="200"/>
        <w:rPr>
          <w:rFonts w:hint="default" w:ascii="仿宋_GB2312" w:eastAsia="仿宋_GB2312"/>
          <w:sz w:val="32"/>
        </w:rPr>
      </w:pPr>
      <w:r>
        <w:rPr>
          <w:rFonts w:hint="eastAsia" w:ascii="仿宋_GB2312" w:eastAsia="仿宋_GB2312"/>
          <w:sz w:val="32"/>
          <w:lang w:eastAsia="zh-CN"/>
        </w:rPr>
        <w:t>“</w:t>
      </w:r>
      <w:r>
        <w:rPr>
          <w:rFonts w:hint="default" w:ascii="仿宋_GB2312" w:eastAsia="仿宋_GB2312"/>
          <w:sz w:val="32"/>
        </w:rPr>
        <w:t>候鸟型</w:t>
      </w:r>
      <w:r>
        <w:rPr>
          <w:rFonts w:hint="eastAsia" w:ascii="仿宋_GB2312" w:eastAsia="仿宋_GB2312"/>
          <w:sz w:val="32"/>
          <w:lang w:eastAsia="zh-CN"/>
        </w:rPr>
        <w:t>”</w:t>
      </w:r>
      <w:r>
        <w:rPr>
          <w:rFonts w:hint="default" w:ascii="仿宋_GB2312" w:eastAsia="仿宋_GB2312"/>
          <w:sz w:val="32"/>
        </w:rPr>
        <w:t>人才工作站奖励项目自评综述：根据年初设定的绩效目标，项目自评得分</w:t>
      </w:r>
      <w:r>
        <w:rPr>
          <w:rFonts w:hint="eastAsia" w:ascii="仿宋_GB2312" w:eastAsia="仿宋_GB2312"/>
          <w:sz w:val="32"/>
          <w:lang w:val="en-US" w:eastAsia="zh-CN"/>
        </w:rPr>
        <w:t>59</w:t>
      </w:r>
      <w:r>
        <w:rPr>
          <w:rFonts w:hint="default" w:ascii="仿宋_GB2312" w:eastAsia="仿宋_GB2312"/>
          <w:sz w:val="32"/>
        </w:rPr>
        <w:t>分。项目全年预算数为</w:t>
      </w:r>
      <w:r>
        <w:rPr>
          <w:rFonts w:hint="eastAsia" w:ascii="仿宋_GB2312" w:eastAsia="仿宋_GB2312"/>
          <w:sz w:val="32"/>
          <w:lang w:val="en-US" w:eastAsia="zh-CN"/>
        </w:rPr>
        <w:t>0</w:t>
      </w:r>
      <w:r>
        <w:rPr>
          <w:rFonts w:hint="default" w:ascii="仿宋_GB2312" w:eastAsia="仿宋_GB2312"/>
          <w:sz w:val="32"/>
        </w:rPr>
        <w:t>万元，执行数为</w:t>
      </w:r>
      <w:r>
        <w:rPr>
          <w:rFonts w:hint="eastAsia" w:ascii="仿宋_GB2312" w:eastAsia="仿宋_GB2312"/>
          <w:sz w:val="32"/>
          <w:lang w:val="en-US" w:eastAsia="zh-CN"/>
        </w:rPr>
        <w:t>0</w:t>
      </w:r>
      <w:r>
        <w:rPr>
          <w:rFonts w:hint="default" w:ascii="仿宋_GB2312" w:eastAsia="仿宋_GB2312"/>
          <w:sz w:val="32"/>
        </w:rPr>
        <w:t>万元，完成预算的</w:t>
      </w:r>
      <w:r>
        <w:rPr>
          <w:rFonts w:hint="eastAsia" w:ascii="仿宋_GB2312" w:eastAsia="仿宋_GB2312"/>
          <w:sz w:val="32"/>
          <w:lang w:val="en-US" w:eastAsia="zh-CN"/>
        </w:rPr>
        <w:t>0</w:t>
      </w:r>
      <w:r>
        <w:rPr>
          <w:rFonts w:hint="default" w:ascii="仿宋_GB2312" w:eastAsia="仿宋_GB2312"/>
          <w:sz w:val="32"/>
        </w:rPr>
        <w:t>%。项目绩效目标完成情况：一是</w:t>
      </w:r>
      <w:r>
        <w:rPr>
          <w:rFonts w:hint="eastAsia" w:ascii="仿宋_GB2312" w:eastAsia="仿宋_GB2312"/>
          <w:sz w:val="32"/>
          <w:lang w:val="en-US" w:eastAsia="zh-CN"/>
        </w:rPr>
        <w:t>2021</w:t>
      </w:r>
      <w:r>
        <w:rPr>
          <w:rFonts w:hint="default" w:ascii="仿宋_GB2312" w:eastAsia="仿宋_GB2312"/>
          <w:sz w:val="32"/>
        </w:rPr>
        <w:t>年底完成“候鸟型”人才工作站考核工作</w:t>
      </w:r>
      <w:r>
        <w:rPr>
          <w:rFonts w:hint="eastAsia" w:ascii="仿宋_GB2312" w:eastAsia="仿宋_GB2312"/>
          <w:sz w:val="32"/>
          <w:lang w:val="en-US" w:eastAsia="zh-CN"/>
        </w:rPr>
        <w:t>;</w:t>
      </w:r>
      <w:r>
        <w:rPr>
          <w:rFonts w:hint="default" w:ascii="仿宋_GB2312" w:eastAsia="仿宋_GB2312"/>
          <w:sz w:val="32"/>
        </w:rPr>
        <w:t>二是对考核合格单位进行评估奖励。</w:t>
      </w:r>
    </w:p>
    <w:p>
      <w:pPr>
        <w:widowControl/>
        <w:numPr>
          <w:ilvl w:val="0"/>
          <w:numId w:val="3"/>
        </w:numPr>
        <w:spacing w:line="560" w:lineRule="exact"/>
        <w:ind w:firstLine="640" w:firstLineChars="200"/>
        <w:rPr>
          <w:rFonts w:hint="default" w:ascii="仿宋_GB2312" w:eastAsia="仿宋_GB2312"/>
          <w:sz w:val="32"/>
        </w:rPr>
      </w:pPr>
      <w:r>
        <w:rPr>
          <w:rFonts w:hint="default" w:ascii="仿宋_GB2312" w:eastAsia="仿宋_GB2312"/>
          <w:sz w:val="32"/>
        </w:rPr>
        <w:t>技能人才选拔激励奖励资金项目自评综述：根据年初设定的绩效目标，项目自评得分</w:t>
      </w:r>
      <w:r>
        <w:rPr>
          <w:rFonts w:hint="eastAsia" w:ascii="仿宋_GB2312" w:eastAsia="仿宋_GB2312"/>
          <w:sz w:val="32"/>
          <w:lang w:val="en-US" w:eastAsia="zh-CN"/>
        </w:rPr>
        <w:t>25.2</w:t>
      </w:r>
      <w:r>
        <w:rPr>
          <w:rFonts w:hint="default" w:ascii="仿宋_GB2312" w:eastAsia="仿宋_GB2312"/>
          <w:sz w:val="32"/>
        </w:rPr>
        <w:t>分。项目全年预算数为</w:t>
      </w:r>
      <w:r>
        <w:rPr>
          <w:rFonts w:hint="eastAsia" w:ascii="仿宋_GB2312" w:eastAsia="仿宋_GB2312"/>
          <w:sz w:val="32"/>
          <w:lang w:val="en-US" w:eastAsia="zh-CN"/>
        </w:rPr>
        <w:t>40</w:t>
      </w:r>
      <w:r>
        <w:rPr>
          <w:rFonts w:hint="default" w:ascii="仿宋_GB2312" w:eastAsia="仿宋_GB2312"/>
          <w:sz w:val="32"/>
        </w:rPr>
        <w:t>万元，执行数为</w:t>
      </w:r>
      <w:r>
        <w:rPr>
          <w:rFonts w:hint="eastAsia" w:ascii="仿宋_GB2312" w:eastAsia="仿宋_GB2312"/>
          <w:sz w:val="32"/>
          <w:lang w:val="en-US" w:eastAsia="zh-CN"/>
        </w:rPr>
        <w:t>0</w:t>
      </w:r>
      <w:r>
        <w:rPr>
          <w:rFonts w:hint="default" w:ascii="仿宋_GB2312" w:eastAsia="仿宋_GB2312"/>
          <w:sz w:val="32"/>
        </w:rPr>
        <w:t>万元，完成预算的</w:t>
      </w:r>
      <w:r>
        <w:rPr>
          <w:rFonts w:hint="eastAsia" w:ascii="仿宋_GB2312" w:eastAsia="仿宋_GB2312"/>
          <w:sz w:val="32"/>
          <w:lang w:val="en-US" w:eastAsia="zh-CN"/>
        </w:rPr>
        <w:t>0</w:t>
      </w:r>
      <w:r>
        <w:rPr>
          <w:rFonts w:hint="default" w:ascii="仿宋_GB2312" w:eastAsia="仿宋_GB2312"/>
          <w:sz w:val="32"/>
        </w:rPr>
        <w:t>%。项目绩效目标完成情况：一是落实技能大赛参赛选手补助政策;二是进一步鼓励技能人才提高职业技能</w:t>
      </w:r>
      <w:r>
        <w:rPr>
          <w:rFonts w:hint="eastAsia" w:ascii="仿宋_GB2312" w:eastAsia="仿宋_GB2312"/>
          <w:sz w:val="32"/>
          <w:lang w:eastAsia="zh-CN"/>
        </w:rPr>
        <w:t>。</w:t>
      </w:r>
      <w:r>
        <w:rPr>
          <w:rFonts w:hint="default" w:ascii="仿宋_GB2312" w:eastAsia="仿宋_GB2312"/>
          <w:sz w:val="32"/>
        </w:rPr>
        <w:t>发现的主要问题及原因：一是高技能人才选拔只参加了市级大赛，国家级大赛由省厅推送，未取得名次。二是高技能人才购房补贴因政策启动时间较晚，面对的群体较少，未有符合条件人员。下一步改进措施：在2022年新修订购房补贴政策，使购房标准更加完善，在今年加大力度向中小企业</w:t>
      </w:r>
      <w:r>
        <w:rPr>
          <w:rFonts w:hint="eastAsia" w:ascii="仿宋_GB2312" w:eastAsia="仿宋_GB2312"/>
          <w:sz w:val="32"/>
          <w:lang w:eastAsia="zh-CN"/>
        </w:rPr>
        <w:t>进行</w:t>
      </w:r>
      <w:r>
        <w:rPr>
          <w:rFonts w:hint="default" w:ascii="仿宋_GB2312" w:eastAsia="仿宋_GB2312"/>
          <w:sz w:val="32"/>
        </w:rPr>
        <w:t>政策宣传。</w:t>
      </w:r>
    </w:p>
    <w:p>
      <w:pPr>
        <w:widowControl/>
        <w:numPr>
          <w:ilvl w:val="0"/>
          <w:numId w:val="3"/>
        </w:numPr>
        <w:spacing w:line="560" w:lineRule="exact"/>
        <w:ind w:firstLine="640" w:firstLineChars="200"/>
        <w:rPr>
          <w:rFonts w:hint="default" w:ascii="仿宋_GB2312" w:eastAsia="仿宋_GB2312"/>
          <w:sz w:val="32"/>
        </w:rPr>
      </w:pPr>
      <w:r>
        <w:rPr>
          <w:rFonts w:hint="default" w:ascii="仿宋_GB2312" w:eastAsia="仿宋_GB2312"/>
          <w:sz w:val="32"/>
        </w:rPr>
        <w:t>紧缺急需人才目录编制和奖励补贴项目自评综述：根据年初设定的绩效目标，项目自评得分</w:t>
      </w:r>
      <w:r>
        <w:rPr>
          <w:rFonts w:hint="eastAsia" w:ascii="仿宋_GB2312" w:eastAsia="仿宋_GB2312"/>
          <w:sz w:val="32"/>
          <w:lang w:val="en-US" w:eastAsia="zh-CN"/>
        </w:rPr>
        <w:t>98.27</w:t>
      </w:r>
      <w:r>
        <w:rPr>
          <w:rFonts w:hint="default" w:ascii="仿宋_GB2312" w:eastAsia="仿宋_GB2312"/>
          <w:sz w:val="32"/>
        </w:rPr>
        <w:t>分。项目全年预算数为</w:t>
      </w:r>
      <w:r>
        <w:rPr>
          <w:rFonts w:hint="eastAsia" w:ascii="仿宋_GB2312" w:eastAsia="仿宋_GB2312"/>
          <w:sz w:val="32"/>
          <w:lang w:val="en-US" w:eastAsia="zh-CN"/>
        </w:rPr>
        <w:t>497.25</w:t>
      </w:r>
      <w:r>
        <w:rPr>
          <w:rFonts w:hint="default" w:ascii="仿宋_GB2312" w:eastAsia="仿宋_GB2312"/>
          <w:sz w:val="32"/>
        </w:rPr>
        <w:t>万元，执行数为</w:t>
      </w:r>
      <w:r>
        <w:rPr>
          <w:rFonts w:hint="eastAsia" w:ascii="仿宋_GB2312" w:eastAsia="仿宋_GB2312"/>
          <w:sz w:val="32"/>
          <w:lang w:val="en-US" w:eastAsia="zh-CN"/>
        </w:rPr>
        <w:t>411</w:t>
      </w:r>
      <w:r>
        <w:rPr>
          <w:rFonts w:hint="default" w:ascii="仿宋_GB2312" w:eastAsia="仿宋_GB2312"/>
          <w:sz w:val="32"/>
        </w:rPr>
        <w:t>万元，完成预算的</w:t>
      </w:r>
      <w:r>
        <w:rPr>
          <w:rFonts w:hint="eastAsia" w:ascii="仿宋_GB2312" w:eastAsia="仿宋_GB2312"/>
          <w:sz w:val="32"/>
          <w:lang w:val="en-US" w:eastAsia="zh-CN"/>
        </w:rPr>
        <w:t>82.65</w:t>
      </w:r>
      <w:r>
        <w:rPr>
          <w:rFonts w:hint="default" w:ascii="仿宋_GB2312" w:eastAsia="仿宋_GB2312"/>
          <w:sz w:val="32"/>
        </w:rPr>
        <w:t>%。项目绩效目标完成情况：一是各类补助经费合规性发放;二是按照时限完成</w:t>
      </w:r>
      <w:r>
        <w:rPr>
          <w:rFonts w:hint="eastAsia" w:ascii="仿宋_GB2312" w:eastAsia="仿宋_GB2312"/>
          <w:sz w:val="32"/>
          <w:lang w:eastAsia="zh-CN"/>
        </w:rPr>
        <w:t>了</w:t>
      </w:r>
      <w:r>
        <w:rPr>
          <w:rFonts w:hint="default" w:ascii="仿宋_GB2312" w:eastAsia="仿宋_GB2312"/>
          <w:sz w:val="32"/>
        </w:rPr>
        <w:t>评审;三是发挥资金使用效益</w:t>
      </w:r>
      <w:r>
        <w:rPr>
          <w:rFonts w:hint="eastAsia" w:ascii="仿宋_GB2312" w:eastAsia="仿宋_GB2312"/>
          <w:sz w:val="32"/>
          <w:lang w:eastAsia="zh-CN"/>
        </w:rPr>
        <w:t>，不断推进专业技术人才队伍建设</w:t>
      </w:r>
      <w:r>
        <w:rPr>
          <w:rFonts w:hint="default" w:ascii="仿宋_GB2312" w:eastAsia="仿宋_GB2312"/>
          <w:sz w:val="32"/>
        </w:rPr>
        <w:t>。</w:t>
      </w:r>
    </w:p>
    <w:p>
      <w:pPr>
        <w:widowControl/>
        <w:numPr>
          <w:ilvl w:val="0"/>
          <w:numId w:val="3"/>
        </w:numPr>
        <w:spacing w:line="560" w:lineRule="exact"/>
        <w:ind w:firstLine="640" w:firstLineChars="200"/>
        <w:rPr>
          <w:rFonts w:hint="default" w:ascii="仿宋_GB2312" w:eastAsia="仿宋_GB2312"/>
          <w:sz w:val="32"/>
        </w:rPr>
      </w:pPr>
      <w:r>
        <w:rPr>
          <w:rFonts w:hint="default" w:ascii="仿宋_GB2312" w:eastAsia="仿宋_GB2312"/>
          <w:sz w:val="32"/>
        </w:rPr>
        <w:t>开展专家服务基层工作经费项目自评综述：根据年初设定的绩效目标，项目自评得分</w:t>
      </w:r>
      <w:r>
        <w:rPr>
          <w:rFonts w:hint="eastAsia" w:ascii="仿宋_GB2312" w:eastAsia="仿宋_GB2312"/>
          <w:sz w:val="32"/>
          <w:lang w:val="en-US" w:eastAsia="zh-CN"/>
        </w:rPr>
        <w:t>59</w:t>
      </w:r>
      <w:r>
        <w:rPr>
          <w:rFonts w:hint="default" w:ascii="仿宋_GB2312" w:eastAsia="仿宋_GB2312"/>
          <w:sz w:val="32"/>
        </w:rPr>
        <w:t>分。项目全年预算数为</w:t>
      </w:r>
      <w:r>
        <w:rPr>
          <w:rFonts w:hint="eastAsia" w:ascii="仿宋_GB2312" w:eastAsia="仿宋_GB2312"/>
          <w:sz w:val="32"/>
          <w:lang w:val="en-US" w:eastAsia="zh-CN"/>
        </w:rPr>
        <w:t>0</w:t>
      </w:r>
      <w:r>
        <w:rPr>
          <w:rFonts w:hint="default" w:ascii="仿宋_GB2312" w:eastAsia="仿宋_GB2312"/>
          <w:sz w:val="32"/>
        </w:rPr>
        <w:t>万元，执行数为</w:t>
      </w:r>
      <w:r>
        <w:rPr>
          <w:rFonts w:hint="eastAsia" w:ascii="仿宋_GB2312" w:eastAsia="仿宋_GB2312"/>
          <w:sz w:val="32"/>
          <w:lang w:val="en-US" w:eastAsia="zh-CN"/>
        </w:rPr>
        <w:t>0</w:t>
      </w:r>
      <w:r>
        <w:rPr>
          <w:rFonts w:hint="default" w:ascii="仿宋_GB2312" w:eastAsia="仿宋_GB2312"/>
          <w:sz w:val="32"/>
        </w:rPr>
        <w:t>万元，完成预算的</w:t>
      </w:r>
      <w:r>
        <w:rPr>
          <w:rFonts w:hint="eastAsia" w:ascii="仿宋_GB2312" w:eastAsia="仿宋_GB2312"/>
          <w:sz w:val="32"/>
          <w:lang w:val="en-US" w:eastAsia="zh-CN"/>
        </w:rPr>
        <w:t>0</w:t>
      </w:r>
      <w:r>
        <w:rPr>
          <w:rFonts w:hint="default" w:ascii="仿宋_GB2312" w:eastAsia="仿宋_GB2312"/>
          <w:sz w:val="32"/>
        </w:rPr>
        <w:t>%。项目绩效目标完成情况：一是支持引导各单位开展专家服务基层活动</w:t>
      </w:r>
      <w:r>
        <w:rPr>
          <w:rFonts w:hint="eastAsia" w:ascii="仿宋_GB2312" w:eastAsia="仿宋_GB2312"/>
          <w:sz w:val="32"/>
          <w:lang w:eastAsia="zh-CN"/>
        </w:rPr>
        <w:t>；</w:t>
      </w:r>
      <w:r>
        <w:rPr>
          <w:rFonts w:hint="default" w:ascii="仿宋_GB2312" w:eastAsia="仿宋_GB2312"/>
          <w:sz w:val="32"/>
        </w:rPr>
        <w:t>二是引导鼓励高级专家深入基层一线服务经济社会发展。</w:t>
      </w:r>
      <w:r>
        <w:rPr>
          <w:rFonts w:hint="eastAsia" w:ascii="仿宋_GB2312" w:eastAsia="仿宋_GB2312"/>
          <w:sz w:val="32"/>
          <w:lang w:eastAsia="zh-CN"/>
        </w:rPr>
        <w:t>三是</w:t>
      </w:r>
      <w:r>
        <w:rPr>
          <w:rFonts w:hint="default" w:ascii="仿宋_GB2312" w:eastAsia="仿宋_GB2312"/>
          <w:sz w:val="32"/>
        </w:rPr>
        <w:t>10家单位的13个项目被列为“2021年沈阳市高级专家服务基层行动（省人社厅额外给予3万元资助）</w:t>
      </w:r>
      <w:r>
        <w:rPr>
          <w:rFonts w:hint="eastAsia" w:ascii="仿宋_GB2312" w:eastAsia="仿宋_GB2312"/>
          <w:sz w:val="32"/>
          <w:lang w:eastAsia="zh-CN"/>
        </w:rPr>
        <w:t>。</w:t>
      </w:r>
    </w:p>
    <w:p>
      <w:pPr>
        <w:widowControl/>
        <w:numPr>
          <w:ilvl w:val="0"/>
          <w:numId w:val="3"/>
        </w:numPr>
        <w:spacing w:line="560" w:lineRule="exact"/>
        <w:ind w:firstLine="640" w:firstLineChars="200"/>
        <w:rPr>
          <w:rFonts w:hint="default" w:ascii="仿宋_GB2312" w:eastAsia="仿宋_GB2312"/>
          <w:sz w:val="32"/>
        </w:rPr>
      </w:pPr>
      <w:r>
        <w:rPr>
          <w:rFonts w:hint="default" w:ascii="仿宋_GB2312" w:eastAsia="仿宋_GB2312"/>
          <w:sz w:val="32"/>
        </w:rPr>
        <w:t>留学归国博士创新创业补贴项目自评综述：根据年初设定的绩效目标，项目自评得分</w:t>
      </w:r>
      <w:r>
        <w:rPr>
          <w:rFonts w:hint="eastAsia" w:ascii="仿宋_GB2312" w:eastAsia="仿宋_GB2312"/>
          <w:sz w:val="32"/>
          <w:lang w:val="en-US" w:eastAsia="zh-CN"/>
        </w:rPr>
        <w:t>24.8</w:t>
      </w:r>
      <w:r>
        <w:rPr>
          <w:rFonts w:hint="default" w:ascii="仿宋_GB2312" w:eastAsia="仿宋_GB2312"/>
          <w:sz w:val="32"/>
        </w:rPr>
        <w:t>分。项目全年预算数为</w:t>
      </w:r>
      <w:r>
        <w:rPr>
          <w:rFonts w:hint="eastAsia" w:ascii="仿宋_GB2312" w:eastAsia="仿宋_GB2312"/>
          <w:sz w:val="32"/>
          <w:lang w:val="en-US" w:eastAsia="zh-CN"/>
        </w:rPr>
        <w:t>0</w:t>
      </w:r>
      <w:r>
        <w:rPr>
          <w:rFonts w:hint="default" w:ascii="仿宋_GB2312" w:eastAsia="仿宋_GB2312"/>
          <w:sz w:val="32"/>
        </w:rPr>
        <w:t>万元，执行数为</w:t>
      </w:r>
      <w:r>
        <w:rPr>
          <w:rFonts w:hint="eastAsia" w:ascii="仿宋_GB2312" w:eastAsia="仿宋_GB2312"/>
          <w:sz w:val="32"/>
          <w:lang w:val="en-US" w:eastAsia="zh-CN"/>
        </w:rPr>
        <w:t>0</w:t>
      </w:r>
      <w:r>
        <w:rPr>
          <w:rFonts w:hint="default" w:ascii="仿宋_GB2312" w:eastAsia="仿宋_GB2312"/>
          <w:sz w:val="32"/>
        </w:rPr>
        <w:t>万元，完成预算的</w:t>
      </w:r>
      <w:r>
        <w:rPr>
          <w:rFonts w:hint="eastAsia" w:ascii="仿宋_GB2312" w:eastAsia="仿宋_GB2312"/>
          <w:sz w:val="32"/>
          <w:lang w:val="en-US" w:eastAsia="zh-CN"/>
        </w:rPr>
        <w:t>0</w:t>
      </w:r>
      <w:r>
        <w:rPr>
          <w:rFonts w:hint="default" w:ascii="仿宋_GB2312" w:eastAsia="仿宋_GB2312"/>
          <w:sz w:val="32"/>
        </w:rPr>
        <w:t>%。更新人才新政3.0，此项政策删除</w:t>
      </w:r>
      <w:r>
        <w:rPr>
          <w:rFonts w:hint="eastAsia" w:ascii="仿宋_GB2312" w:eastAsia="仿宋_GB2312"/>
          <w:sz w:val="32"/>
          <w:lang w:eastAsia="zh-CN"/>
        </w:rPr>
        <w:t>。</w:t>
      </w:r>
    </w:p>
    <w:p>
      <w:pPr>
        <w:widowControl/>
        <w:numPr>
          <w:ilvl w:val="0"/>
          <w:numId w:val="3"/>
        </w:numPr>
        <w:spacing w:line="560" w:lineRule="exact"/>
        <w:ind w:firstLine="640" w:firstLineChars="200"/>
        <w:rPr>
          <w:rFonts w:hint="default" w:ascii="仿宋_GB2312" w:eastAsia="仿宋_GB2312"/>
          <w:sz w:val="32"/>
        </w:rPr>
      </w:pPr>
      <w:r>
        <w:rPr>
          <w:rFonts w:hint="default" w:ascii="仿宋_GB2312" w:eastAsia="仿宋_GB2312"/>
          <w:sz w:val="32"/>
        </w:rPr>
        <w:t>落实沈阳市政府特殊津贴制度经费项目自评综述：根据年初设定的绩效目标，项目自评得分</w:t>
      </w:r>
      <w:r>
        <w:rPr>
          <w:rFonts w:hint="eastAsia" w:ascii="仿宋_GB2312" w:eastAsia="仿宋_GB2312"/>
          <w:sz w:val="32"/>
          <w:lang w:val="en-US" w:eastAsia="zh-CN"/>
        </w:rPr>
        <w:t>69</w:t>
      </w:r>
      <w:r>
        <w:rPr>
          <w:rFonts w:hint="default" w:ascii="仿宋_GB2312" w:eastAsia="仿宋_GB2312"/>
          <w:sz w:val="32"/>
        </w:rPr>
        <w:t>分。项目全年预算数为</w:t>
      </w:r>
      <w:r>
        <w:rPr>
          <w:rFonts w:hint="eastAsia" w:ascii="仿宋_GB2312" w:eastAsia="仿宋_GB2312"/>
          <w:sz w:val="32"/>
          <w:lang w:val="en-US" w:eastAsia="zh-CN"/>
        </w:rPr>
        <w:t>93</w:t>
      </w:r>
      <w:r>
        <w:rPr>
          <w:rFonts w:hint="default" w:ascii="仿宋_GB2312" w:eastAsia="仿宋_GB2312"/>
          <w:sz w:val="32"/>
        </w:rPr>
        <w:t>万元，执行数</w:t>
      </w:r>
      <w:r>
        <w:rPr>
          <w:rFonts w:hint="eastAsia" w:ascii="仿宋_GB2312" w:eastAsia="仿宋_GB2312"/>
          <w:sz w:val="32"/>
          <w:lang w:val="en-US" w:eastAsia="zh-CN"/>
        </w:rPr>
        <w:t>50</w:t>
      </w:r>
      <w:r>
        <w:rPr>
          <w:rFonts w:hint="default" w:ascii="仿宋_GB2312" w:eastAsia="仿宋_GB2312"/>
          <w:sz w:val="32"/>
        </w:rPr>
        <w:t>万元，完成预算的</w:t>
      </w:r>
      <w:r>
        <w:rPr>
          <w:rFonts w:hint="eastAsia" w:ascii="仿宋_GB2312" w:eastAsia="仿宋_GB2312"/>
          <w:sz w:val="32"/>
          <w:lang w:val="en-US" w:eastAsia="zh-CN"/>
        </w:rPr>
        <w:t>53.76</w:t>
      </w:r>
      <w:r>
        <w:rPr>
          <w:rFonts w:hint="default" w:ascii="仿宋_GB2312" w:eastAsia="仿宋_GB2312"/>
          <w:sz w:val="32"/>
        </w:rPr>
        <w:t>%。项目绩效目标完成情况：一是由于疫情防控等原因，2021年度未开展享受政府特殊津贴专家疗养休假活动；二是组织开展了选拔工作，确定25名同志享受2021年度沈阳市政府特殊津贴，每人一次性发放2万元津贴。</w:t>
      </w:r>
    </w:p>
    <w:p>
      <w:pPr>
        <w:widowControl/>
        <w:numPr>
          <w:ilvl w:val="0"/>
          <w:numId w:val="3"/>
        </w:numPr>
        <w:spacing w:line="560" w:lineRule="exact"/>
        <w:ind w:firstLine="640" w:firstLineChars="200"/>
        <w:rPr>
          <w:rFonts w:hint="default" w:ascii="仿宋_GB2312" w:eastAsia="仿宋_GB2312"/>
          <w:sz w:val="32"/>
        </w:rPr>
      </w:pPr>
      <w:r>
        <w:rPr>
          <w:rFonts w:hint="default" w:ascii="仿宋_GB2312" w:eastAsia="仿宋_GB2312"/>
          <w:sz w:val="32"/>
        </w:rPr>
        <w:t>引博工程资助项目自评综述：根据年初设定的绩效目标，项目自评得分</w:t>
      </w:r>
      <w:r>
        <w:rPr>
          <w:rFonts w:hint="eastAsia" w:ascii="仿宋_GB2312" w:eastAsia="仿宋_GB2312"/>
          <w:sz w:val="32"/>
          <w:lang w:val="en-US" w:eastAsia="zh-CN"/>
        </w:rPr>
        <w:t>59</w:t>
      </w:r>
      <w:r>
        <w:rPr>
          <w:rFonts w:hint="default" w:ascii="仿宋_GB2312" w:eastAsia="仿宋_GB2312"/>
          <w:sz w:val="32"/>
        </w:rPr>
        <w:t>分。项目全年预算数为</w:t>
      </w:r>
      <w:r>
        <w:rPr>
          <w:rFonts w:hint="eastAsia" w:ascii="仿宋_GB2312" w:eastAsia="仿宋_GB2312"/>
          <w:sz w:val="32"/>
          <w:lang w:val="en-US" w:eastAsia="zh-CN"/>
        </w:rPr>
        <w:t>0</w:t>
      </w:r>
      <w:r>
        <w:rPr>
          <w:rFonts w:hint="default" w:ascii="仿宋_GB2312" w:eastAsia="仿宋_GB2312"/>
          <w:sz w:val="32"/>
        </w:rPr>
        <w:t>万元，执行数为</w:t>
      </w:r>
      <w:r>
        <w:rPr>
          <w:rFonts w:hint="eastAsia" w:ascii="仿宋_GB2312" w:eastAsia="仿宋_GB2312"/>
          <w:sz w:val="32"/>
          <w:lang w:val="en-US" w:eastAsia="zh-CN"/>
        </w:rPr>
        <w:t>0</w:t>
      </w:r>
      <w:r>
        <w:rPr>
          <w:rFonts w:hint="default" w:ascii="仿宋_GB2312" w:eastAsia="仿宋_GB2312"/>
          <w:sz w:val="32"/>
        </w:rPr>
        <w:t>万元，完成预算的</w:t>
      </w:r>
      <w:r>
        <w:rPr>
          <w:rFonts w:hint="eastAsia" w:ascii="仿宋_GB2312" w:eastAsia="仿宋_GB2312"/>
          <w:sz w:val="32"/>
          <w:lang w:val="en-US" w:eastAsia="zh-CN"/>
        </w:rPr>
        <w:t>0</w:t>
      </w:r>
      <w:r>
        <w:rPr>
          <w:rFonts w:hint="default" w:ascii="仿宋_GB2312" w:eastAsia="仿宋_GB2312"/>
          <w:sz w:val="32"/>
        </w:rPr>
        <w:t>%。项目绩效目标完成情况：一是深入实施引博工程</w:t>
      </w:r>
      <w:r>
        <w:rPr>
          <w:rFonts w:hint="eastAsia" w:ascii="仿宋_GB2312" w:eastAsia="仿宋_GB2312"/>
          <w:sz w:val="32"/>
          <w:lang w:eastAsia="zh-CN"/>
        </w:rPr>
        <w:t>引进国内人才</w:t>
      </w:r>
      <w:r>
        <w:rPr>
          <w:rFonts w:hint="eastAsia" w:ascii="仿宋_GB2312" w:eastAsia="仿宋_GB2312"/>
          <w:sz w:val="32"/>
          <w:lang w:val="en-US" w:eastAsia="zh-CN"/>
        </w:rPr>
        <w:t>425人，</w:t>
      </w:r>
      <w:r>
        <w:rPr>
          <w:rFonts w:hint="eastAsia" w:ascii="仿宋_GB2312" w:eastAsia="仿宋_GB2312"/>
          <w:sz w:val="32"/>
          <w:lang w:eastAsia="zh-CN"/>
        </w:rPr>
        <w:t>二是最大化发挥资金使用效益。</w:t>
      </w:r>
    </w:p>
    <w:p>
      <w:pPr>
        <w:widowControl/>
        <w:numPr>
          <w:ilvl w:val="0"/>
          <w:numId w:val="3"/>
        </w:numPr>
        <w:spacing w:line="560" w:lineRule="exact"/>
        <w:ind w:firstLine="640" w:firstLineChars="200"/>
        <w:rPr>
          <w:rFonts w:hint="eastAsia" w:ascii="仿宋_GB2312" w:eastAsia="仿宋_GB2312"/>
          <w:sz w:val="32"/>
          <w:lang w:eastAsia="zh-CN"/>
        </w:rPr>
      </w:pPr>
      <w:r>
        <w:rPr>
          <w:rFonts w:hint="default" w:ascii="仿宋_GB2312" w:eastAsia="仿宋_GB2312"/>
          <w:sz w:val="32"/>
        </w:rPr>
        <w:t>优秀高技能人才项目奖励经费项目自评综述：根据年初设定的绩效目标，项目自评得分</w:t>
      </w:r>
      <w:r>
        <w:rPr>
          <w:rFonts w:hint="eastAsia" w:ascii="仿宋_GB2312" w:eastAsia="仿宋_GB2312"/>
          <w:sz w:val="32"/>
          <w:lang w:val="en-US" w:eastAsia="zh-CN"/>
        </w:rPr>
        <w:t>79</w:t>
      </w:r>
      <w:r>
        <w:rPr>
          <w:rFonts w:hint="default" w:ascii="仿宋_GB2312" w:eastAsia="仿宋_GB2312"/>
          <w:sz w:val="32"/>
        </w:rPr>
        <w:t>分。项目全年预算数为</w:t>
      </w:r>
      <w:r>
        <w:rPr>
          <w:rFonts w:hint="eastAsia" w:ascii="仿宋_GB2312" w:eastAsia="仿宋_GB2312"/>
          <w:sz w:val="32"/>
          <w:lang w:val="en-US" w:eastAsia="zh-CN"/>
        </w:rPr>
        <w:t>20</w:t>
      </w:r>
      <w:r>
        <w:rPr>
          <w:rFonts w:hint="default" w:ascii="仿宋_GB2312" w:eastAsia="仿宋_GB2312"/>
          <w:sz w:val="32"/>
        </w:rPr>
        <w:t>万元，执行数</w:t>
      </w:r>
      <w:r>
        <w:rPr>
          <w:rFonts w:hint="eastAsia" w:ascii="仿宋_GB2312" w:eastAsia="仿宋_GB2312"/>
          <w:sz w:val="32"/>
          <w:lang w:val="en-US" w:eastAsia="zh-CN"/>
        </w:rPr>
        <w:t>13</w:t>
      </w:r>
      <w:r>
        <w:rPr>
          <w:rFonts w:hint="default" w:ascii="仿宋_GB2312" w:eastAsia="仿宋_GB2312"/>
          <w:sz w:val="32"/>
        </w:rPr>
        <w:t>万元，完成预算的</w:t>
      </w:r>
      <w:r>
        <w:rPr>
          <w:rFonts w:hint="eastAsia" w:ascii="仿宋_GB2312" w:eastAsia="仿宋_GB2312"/>
          <w:sz w:val="32"/>
          <w:lang w:val="en-US" w:eastAsia="zh-CN"/>
        </w:rPr>
        <w:t>65.0</w:t>
      </w:r>
      <w:r>
        <w:rPr>
          <w:rFonts w:hint="default" w:ascii="仿宋_GB2312" w:eastAsia="仿宋_GB2312"/>
          <w:sz w:val="32"/>
        </w:rPr>
        <w:t>%。项目绩效目标完成情况：一是补贴的</w:t>
      </w:r>
      <w:r>
        <w:rPr>
          <w:rFonts w:hint="eastAsia" w:ascii="仿宋_GB2312" w:eastAsia="仿宋_GB2312"/>
          <w:sz w:val="32"/>
          <w:lang w:val="en-US" w:eastAsia="zh-CN"/>
        </w:rPr>
        <w:t>3家</w:t>
      </w:r>
      <w:r>
        <w:rPr>
          <w:rFonts w:hint="default" w:ascii="仿宋_GB2312" w:eastAsia="仿宋_GB2312"/>
          <w:sz w:val="32"/>
        </w:rPr>
        <w:t>企事业单位，资助人才</w:t>
      </w:r>
      <w:r>
        <w:rPr>
          <w:rFonts w:hint="eastAsia" w:ascii="仿宋_GB2312" w:eastAsia="仿宋_GB2312"/>
          <w:sz w:val="32"/>
          <w:lang w:val="en-US" w:eastAsia="zh-CN"/>
        </w:rPr>
        <w:t>5人；</w:t>
      </w:r>
      <w:r>
        <w:rPr>
          <w:rFonts w:hint="default" w:ascii="仿宋_GB2312" w:eastAsia="仿宋_GB2312"/>
          <w:sz w:val="32"/>
        </w:rPr>
        <w:t>二是</w:t>
      </w:r>
      <w:r>
        <w:rPr>
          <w:rFonts w:hint="eastAsia" w:ascii="仿宋_GB2312" w:eastAsia="仿宋_GB2312"/>
          <w:sz w:val="32"/>
          <w:lang w:val="en-US" w:eastAsia="zh-CN"/>
        </w:rPr>
        <w:t>鼓励职工提升职业技能。</w:t>
      </w:r>
    </w:p>
    <w:p>
      <w:pPr>
        <w:widowControl/>
        <w:numPr>
          <w:ilvl w:val="0"/>
          <w:numId w:val="3"/>
        </w:numPr>
        <w:spacing w:line="560" w:lineRule="exact"/>
        <w:ind w:firstLine="640" w:firstLineChars="200"/>
        <w:rPr>
          <w:rFonts w:hint="default" w:ascii="仿宋_GB2312" w:eastAsia="仿宋_GB2312"/>
          <w:sz w:val="32"/>
        </w:rPr>
      </w:pPr>
      <w:r>
        <w:rPr>
          <w:rFonts w:hint="eastAsia" w:ascii="仿宋_GB2312" w:eastAsia="仿宋_GB2312"/>
          <w:sz w:val="32"/>
          <w:lang w:eastAsia="zh-CN"/>
        </w:rPr>
        <w:t>院校输送毕业生奖励</w:t>
      </w:r>
      <w:r>
        <w:rPr>
          <w:rFonts w:hint="default" w:ascii="仿宋_GB2312" w:eastAsia="仿宋_GB2312"/>
          <w:sz w:val="32"/>
        </w:rPr>
        <w:t>项目自评综述：根据年初设定的绩效目标，项目自评得分</w:t>
      </w:r>
      <w:r>
        <w:rPr>
          <w:rFonts w:hint="eastAsia" w:ascii="仿宋_GB2312" w:eastAsia="仿宋_GB2312"/>
          <w:sz w:val="32"/>
          <w:lang w:val="en-US" w:eastAsia="zh-CN"/>
        </w:rPr>
        <w:t>12.4</w:t>
      </w:r>
      <w:r>
        <w:rPr>
          <w:rFonts w:hint="default" w:ascii="仿宋_GB2312" w:eastAsia="仿宋_GB2312"/>
          <w:sz w:val="32"/>
        </w:rPr>
        <w:t>分。项目全年预算数为</w:t>
      </w:r>
      <w:r>
        <w:rPr>
          <w:rFonts w:hint="eastAsia" w:ascii="仿宋_GB2312" w:eastAsia="仿宋_GB2312"/>
          <w:sz w:val="32"/>
          <w:lang w:val="en-US" w:eastAsia="zh-CN"/>
        </w:rPr>
        <w:t>200</w:t>
      </w:r>
      <w:r>
        <w:rPr>
          <w:rFonts w:hint="default" w:ascii="仿宋_GB2312" w:eastAsia="仿宋_GB2312"/>
          <w:sz w:val="32"/>
        </w:rPr>
        <w:t>万元，执行数</w:t>
      </w:r>
      <w:r>
        <w:rPr>
          <w:rFonts w:hint="eastAsia" w:ascii="仿宋_GB2312" w:eastAsia="仿宋_GB2312"/>
          <w:sz w:val="32"/>
          <w:lang w:val="en-US" w:eastAsia="zh-CN"/>
        </w:rPr>
        <w:t>0</w:t>
      </w:r>
      <w:r>
        <w:rPr>
          <w:rFonts w:hint="default" w:ascii="仿宋_GB2312" w:eastAsia="仿宋_GB2312"/>
          <w:sz w:val="32"/>
        </w:rPr>
        <w:t>万元，完成预算的</w:t>
      </w:r>
      <w:r>
        <w:rPr>
          <w:rFonts w:hint="eastAsia" w:ascii="仿宋_GB2312" w:eastAsia="仿宋_GB2312"/>
          <w:sz w:val="32"/>
          <w:lang w:val="en-US" w:eastAsia="zh-CN"/>
        </w:rPr>
        <w:t>0</w:t>
      </w:r>
      <w:r>
        <w:rPr>
          <w:rFonts w:hint="default" w:ascii="仿宋_GB2312" w:eastAsia="仿宋_GB2312"/>
          <w:sz w:val="32"/>
        </w:rPr>
        <w:t>%。发现的主要问题及原因：由于时间紧迫，受疫情影响，宣传力度不到位，导致相关技工院校毕业生输送未满足100人</w:t>
      </w:r>
      <w:r>
        <w:rPr>
          <w:rFonts w:hint="eastAsia" w:ascii="仿宋_GB2312" w:eastAsia="仿宋_GB2312"/>
          <w:sz w:val="32"/>
          <w:lang w:eastAsia="zh-CN"/>
        </w:rPr>
        <w:t>。</w:t>
      </w:r>
      <w:r>
        <w:rPr>
          <w:rFonts w:hint="default" w:ascii="仿宋_GB2312" w:eastAsia="仿宋_GB2312"/>
          <w:sz w:val="32"/>
        </w:rPr>
        <w:t>下一步改进措施：尽早的发出公告，扩大政策宣传力量，让更多的人了解到此项政策，争取2022年的时候完成指标值</w:t>
      </w:r>
      <w:r>
        <w:rPr>
          <w:rFonts w:hint="eastAsia" w:ascii="仿宋_GB2312" w:eastAsia="仿宋_GB2312"/>
          <w:sz w:val="32"/>
          <w:lang w:eastAsia="zh-CN"/>
        </w:rPr>
        <w:t>。</w:t>
      </w:r>
    </w:p>
    <w:p>
      <w:pPr>
        <w:widowControl/>
        <w:numPr>
          <w:ilvl w:val="0"/>
          <w:numId w:val="3"/>
        </w:numPr>
        <w:spacing w:line="560" w:lineRule="exact"/>
        <w:ind w:firstLine="640" w:firstLineChars="200"/>
        <w:rPr>
          <w:rFonts w:hint="eastAsia" w:ascii="仿宋_GB2312" w:eastAsia="仿宋_GB2312"/>
          <w:sz w:val="32"/>
          <w:lang w:eastAsia="zh-CN"/>
        </w:rPr>
      </w:pPr>
      <w:r>
        <w:rPr>
          <w:rFonts w:hint="eastAsia" w:ascii="仿宋_GB2312" w:eastAsia="仿宋_GB2312"/>
          <w:sz w:val="32"/>
          <w:lang w:eastAsia="zh-CN"/>
        </w:rPr>
        <w:t>中介组织和个人引进人才及团队奖励</w:t>
      </w:r>
      <w:r>
        <w:rPr>
          <w:rFonts w:hint="default" w:ascii="仿宋_GB2312" w:eastAsia="仿宋_GB2312"/>
          <w:sz w:val="32"/>
        </w:rPr>
        <w:t>项目自评综述：根据年初设定的绩效目标，项目自评得分</w:t>
      </w:r>
      <w:r>
        <w:rPr>
          <w:rFonts w:hint="eastAsia" w:ascii="仿宋_GB2312" w:eastAsia="仿宋_GB2312"/>
          <w:sz w:val="32"/>
          <w:lang w:val="en-US" w:eastAsia="zh-CN"/>
        </w:rPr>
        <w:t>24.8</w:t>
      </w:r>
      <w:r>
        <w:rPr>
          <w:rFonts w:hint="default" w:ascii="仿宋_GB2312" w:eastAsia="仿宋_GB2312"/>
          <w:sz w:val="32"/>
        </w:rPr>
        <w:t>分。项目全年预算数为</w:t>
      </w:r>
      <w:r>
        <w:rPr>
          <w:rFonts w:hint="eastAsia" w:ascii="仿宋_GB2312" w:eastAsia="仿宋_GB2312"/>
          <w:sz w:val="32"/>
          <w:lang w:val="en-US" w:eastAsia="zh-CN"/>
        </w:rPr>
        <w:t>0</w:t>
      </w:r>
      <w:r>
        <w:rPr>
          <w:rFonts w:hint="default" w:ascii="仿宋_GB2312" w:eastAsia="仿宋_GB2312"/>
          <w:sz w:val="32"/>
        </w:rPr>
        <w:t>万元，执行数</w:t>
      </w:r>
      <w:r>
        <w:rPr>
          <w:rFonts w:hint="eastAsia" w:ascii="仿宋_GB2312" w:eastAsia="仿宋_GB2312"/>
          <w:sz w:val="32"/>
          <w:lang w:val="en-US" w:eastAsia="zh-CN"/>
        </w:rPr>
        <w:t>0</w:t>
      </w:r>
      <w:r>
        <w:rPr>
          <w:rFonts w:hint="default" w:ascii="仿宋_GB2312" w:eastAsia="仿宋_GB2312"/>
          <w:sz w:val="32"/>
        </w:rPr>
        <w:t>万元，完成预算的</w:t>
      </w:r>
      <w:r>
        <w:rPr>
          <w:rFonts w:hint="eastAsia" w:ascii="仿宋_GB2312" w:eastAsia="仿宋_GB2312"/>
          <w:sz w:val="32"/>
          <w:lang w:val="en-US" w:eastAsia="zh-CN"/>
        </w:rPr>
        <w:t>0</w:t>
      </w:r>
      <w:r>
        <w:rPr>
          <w:rFonts w:hint="default" w:ascii="仿宋_GB2312" w:eastAsia="仿宋_GB2312"/>
          <w:sz w:val="32"/>
        </w:rPr>
        <w:t>%。项目绩效目标完成情况：</w:t>
      </w:r>
      <w:r>
        <w:rPr>
          <w:rFonts w:hint="eastAsia" w:ascii="仿宋_GB2312" w:eastAsia="仿宋_GB2312"/>
          <w:sz w:val="32"/>
          <w:lang w:eastAsia="zh-CN"/>
        </w:rPr>
        <w:t>全年</w:t>
      </w:r>
      <w:r>
        <w:rPr>
          <w:rFonts w:hint="default" w:ascii="仿宋_GB2312" w:eastAsia="仿宋_GB2312"/>
          <w:sz w:val="32"/>
        </w:rPr>
        <w:t>无申报</w:t>
      </w:r>
      <w:r>
        <w:rPr>
          <w:rFonts w:hint="eastAsia" w:ascii="仿宋_GB2312" w:eastAsia="仿宋_GB2312"/>
          <w:sz w:val="32"/>
          <w:lang w:eastAsia="zh-CN"/>
        </w:rPr>
        <w:t>企业。</w:t>
      </w:r>
      <w:r>
        <w:rPr>
          <w:rFonts w:hint="default" w:ascii="仿宋_GB2312" w:eastAsia="仿宋_GB2312"/>
          <w:sz w:val="32"/>
        </w:rPr>
        <w:t>发现的主要问题及原因：由于客观因素的影响年初计划完成中介组织审核及时兑现奖励，由于无申报的中介组织和个人导致没按时完成</w:t>
      </w:r>
      <w:r>
        <w:rPr>
          <w:rFonts w:hint="eastAsia" w:ascii="仿宋_GB2312" w:eastAsia="仿宋_GB2312"/>
          <w:sz w:val="32"/>
          <w:lang w:eastAsia="zh-CN"/>
        </w:rPr>
        <w:t>。</w:t>
      </w:r>
      <w:r>
        <w:rPr>
          <w:rFonts w:hint="default" w:ascii="仿宋_GB2312" w:eastAsia="仿宋_GB2312"/>
          <w:sz w:val="32"/>
        </w:rPr>
        <w:t>下一步改进措施：在根据适时的政策具体情况，对中介组织的审核要不断完善制度设计，进行政策调整，争取明年按照计划完成</w:t>
      </w:r>
      <w:r>
        <w:rPr>
          <w:rFonts w:hint="eastAsia" w:ascii="仿宋_GB2312" w:eastAsia="仿宋_GB2312"/>
          <w:sz w:val="32"/>
          <w:lang w:eastAsia="zh-CN"/>
        </w:rPr>
        <w:t>。</w:t>
      </w:r>
    </w:p>
    <w:p>
      <w:pPr>
        <w:widowControl/>
        <w:numPr>
          <w:ilvl w:val="0"/>
          <w:numId w:val="3"/>
        </w:numPr>
        <w:spacing w:line="560" w:lineRule="exact"/>
        <w:ind w:firstLine="640" w:firstLineChars="200"/>
        <w:rPr>
          <w:rFonts w:hint="eastAsia" w:ascii="仿宋_GB2312" w:eastAsia="仿宋_GB2312"/>
          <w:sz w:val="32"/>
          <w:lang w:eastAsia="zh-CN"/>
        </w:rPr>
      </w:pPr>
      <w:r>
        <w:rPr>
          <w:rFonts w:hint="eastAsia" w:ascii="仿宋_GB2312" w:eastAsia="仿宋_GB2312"/>
          <w:sz w:val="32"/>
          <w:lang w:eastAsia="zh-CN"/>
        </w:rPr>
        <w:t>中青科技英才培养工程奖励</w:t>
      </w:r>
      <w:r>
        <w:rPr>
          <w:rFonts w:hint="default" w:ascii="仿宋_GB2312" w:eastAsia="仿宋_GB2312"/>
          <w:sz w:val="32"/>
        </w:rPr>
        <w:t>项目自评综述：根据年初设定的绩效目标，项目自评得分</w:t>
      </w:r>
      <w:r>
        <w:rPr>
          <w:rFonts w:hint="eastAsia" w:ascii="仿宋_GB2312" w:eastAsia="仿宋_GB2312"/>
          <w:sz w:val="32"/>
          <w:lang w:val="en-US" w:eastAsia="zh-CN"/>
        </w:rPr>
        <w:t>59</w:t>
      </w:r>
      <w:r>
        <w:rPr>
          <w:rFonts w:hint="default" w:ascii="仿宋_GB2312" w:eastAsia="仿宋_GB2312"/>
          <w:sz w:val="32"/>
        </w:rPr>
        <w:t>分。项目全年预算数为</w:t>
      </w:r>
      <w:r>
        <w:rPr>
          <w:rFonts w:hint="eastAsia" w:ascii="仿宋_GB2312" w:eastAsia="仿宋_GB2312"/>
          <w:sz w:val="32"/>
          <w:lang w:val="en-US" w:eastAsia="zh-CN"/>
        </w:rPr>
        <w:t>0</w:t>
      </w:r>
      <w:r>
        <w:rPr>
          <w:rFonts w:hint="default" w:ascii="仿宋_GB2312" w:eastAsia="仿宋_GB2312"/>
          <w:sz w:val="32"/>
        </w:rPr>
        <w:t>万元，执行数</w:t>
      </w:r>
      <w:r>
        <w:rPr>
          <w:rFonts w:hint="eastAsia" w:ascii="仿宋_GB2312" w:eastAsia="仿宋_GB2312"/>
          <w:sz w:val="32"/>
          <w:lang w:val="en-US" w:eastAsia="zh-CN"/>
        </w:rPr>
        <w:t>0</w:t>
      </w:r>
      <w:r>
        <w:rPr>
          <w:rFonts w:hint="default" w:ascii="仿宋_GB2312" w:eastAsia="仿宋_GB2312"/>
          <w:sz w:val="32"/>
        </w:rPr>
        <w:t>万元，完成预算的</w:t>
      </w:r>
      <w:r>
        <w:rPr>
          <w:rFonts w:hint="eastAsia" w:ascii="仿宋_GB2312" w:eastAsia="仿宋_GB2312"/>
          <w:sz w:val="32"/>
          <w:lang w:val="en-US" w:eastAsia="zh-CN"/>
        </w:rPr>
        <w:t>0</w:t>
      </w:r>
      <w:r>
        <w:rPr>
          <w:rFonts w:hint="default" w:ascii="仿宋_GB2312" w:eastAsia="仿宋_GB2312"/>
          <w:sz w:val="32"/>
        </w:rPr>
        <w:t>%。项目绩效目标完成情况：</w:t>
      </w:r>
      <w:r>
        <w:rPr>
          <w:rFonts w:hint="eastAsia" w:ascii="仿宋_GB2312" w:eastAsia="仿宋_GB2312"/>
          <w:sz w:val="32"/>
          <w:lang w:eastAsia="zh-CN"/>
        </w:rPr>
        <w:t>一是对入选国家有关人才工程计划的高层次人才给予奖励，二是对培育人才效果显著的单位给予奖励，三是根据工作安排，实际奖励22人。</w:t>
      </w:r>
    </w:p>
    <w:p>
      <w:pPr>
        <w:widowControl/>
        <w:numPr>
          <w:ilvl w:val="0"/>
          <w:numId w:val="3"/>
        </w:numPr>
        <w:spacing w:line="560" w:lineRule="exact"/>
        <w:ind w:firstLine="640" w:firstLineChars="200"/>
        <w:rPr>
          <w:rFonts w:hint="eastAsia" w:ascii="仿宋_GB2312" w:eastAsia="仿宋_GB2312"/>
          <w:sz w:val="32"/>
          <w:lang w:eastAsia="zh-CN"/>
        </w:rPr>
      </w:pPr>
      <w:r>
        <w:rPr>
          <w:rFonts w:hint="eastAsia" w:ascii="仿宋_GB2312" w:eastAsia="仿宋_GB2312"/>
          <w:sz w:val="32"/>
          <w:lang w:eastAsia="zh-CN"/>
        </w:rPr>
        <w:t>博士后培养工程资助</w:t>
      </w:r>
      <w:r>
        <w:rPr>
          <w:rFonts w:hint="default" w:ascii="仿宋_GB2312" w:eastAsia="仿宋_GB2312"/>
          <w:sz w:val="32"/>
        </w:rPr>
        <w:t>项目自评综述：根据年初设定的绩效目标，项目自评得分</w:t>
      </w:r>
      <w:r>
        <w:rPr>
          <w:rFonts w:hint="eastAsia" w:ascii="仿宋_GB2312" w:eastAsia="仿宋_GB2312"/>
          <w:sz w:val="32"/>
          <w:lang w:val="en-US" w:eastAsia="zh-CN"/>
        </w:rPr>
        <w:t>59</w:t>
      </w:r>
      <w:r>
        <w:rPr>
          <w:rFonts w:hint="default" w:ascii="仿宋_GB2312" w:eastAsia="仿宋_GB2312"/>
          <w:sz w:val="32"/>
        </w:rPr>
        <w:t>分。项目全年预算数为</w:t>
      </w:r>
      <w:r>
        <w:rPr>
          <w:rFonts w:hint="eastAsia" w:ascii="仿宋_GB2312" w:eastAsia="仿宋_GB2312"/>
          <w:sz w:val="32"/>
          <w:lang w:val="en-US" w:eastAsia="zh-CN"/>
        </w:rPr>
        <w:t>0</w:t>
      </w:r>
      <w:r>
        <w:rPr>
          <w:rFonts w:hint="default" w:ascii="仿宋_GB2312" w:eastAsia="仿宋_GB2312"/>
          <w:sz w:val="32"/>
        </w:rPr>
        <w:t>万元，执行数</w:t>
      </w:r>
      <w:r>
        <w:rPr>
          <w:rFonts w:hint="eastAsia" w:ascii="仿宋_GB2312" w:eastAsia="仿宋_GB2312"/>
          <w:sz w:val="32"/>
          <w:lang w:val="en-US" w:eastAsia="zh-CN"/>
        </w:rPr>
        <w:t>0</w:t>
      </w:r>
      <w:r>
        <w:rPr>
          <w:rFonts w:hint="default" w:ascii="仿宋_GB2312" w:eastAsia="仿宋_GB2312"/>
          <w:sz w:val="32"/>
        </w:rPr>
        <w:t>万元，完成预算的</w:t>
      </w:r>
      <w:r>
        <w:rPr>
          <w:rFonts w:hint="eastAsia" w:ascii="仿宋_GB2312" w:eastAsia="仿宋_GB2312"/>
          <w:sz w:val="32"/>
          <w:lang w:val="en-US" w:eastAsia="zh-CN"/>
        </w:rPr>
        <w:t>0</w:t>
      </w:r>
      <w:r>
        <w:rPr>
          <w:rFonts w:hint="default" w:ascii="仿宋_GB2312" w:eastAsia="仿宋_GB2312"/>
          <w:sz w:val="32"/>
        </w:rPr>
        <w:t>%。项目绩效目标完成情况：</w:t>
      </w:r>
      <w:r>
        <w:rPr>
          <w:rFonts w:hint="eastAsia" w:ascii="仿宋_GB2312" w:eastAsia="仿宋_GB2312"/>
          <w:sz w:val="32"/>
          <w:lang w:eastAsia="zh-CN"/>
        </w:rPr>
        <w:t>完成对博士后创新实践基地的审核，将资助人选名单报市政府审定。</w:t>
      </w:r>
    </w:p>
    <w:p>
      <w:pPr>
        <w:widowControl/>
        <w:numPr>
          <w:ilvl w:val="0"/>
          <w:numId w:val="3"/>
        </w:numPr>
        <w:spacing w:line="560" w:lineRule="exact"/>
        <w:ind w:firstLine="640" w:firstLineChars="200"/>
        <w:rPr>
          <w:rFonts w:hint="eastAsia" w:ascii="仿宋_GB2312" w:eastAsia="仿宋_GB2312"/>
          <w:sz w:val="32"/>
          <w:lang w:eastAsia="zh-CN"/>
        </w:rPr>
      </w:pPr>
      <w:r>
        <w:rPr>
          <w:rFonts w:hint="eastAsia" w:ascii="仿宋_GB2312" w:eastAsia="仿宋_GB2312"/>
          <w:sz w:val="32"/>
          <w:lang w:eastAsia="zh-CN"/>
        </w:rPr>
        <w:t>“招才引智”系列招聘活动经费</w:t>
      </w:r>
      <w:r>
        <w:rPr>
          <w:rFonts w:hint="default" w:ascii="仿宋_GB2312" w:eastAsia="仿宋_GB2312"/>
          <w:sz w:val="32"/>
        </w:rPr>
        <w:t>项目自评综述：根据年初设定的绩效目标，项目自评得分</w:t>
      </w:r>
      <w:r>
        <w:rPr>
          <w:rFonts w:hint="eastAsia" w:ascii="仿宋_GB2312" w:eastAsia="仿宋_GB2312"/>
          <w:sz w:val="32"/>
          <w:lang w:val="en-US" w:eastAsia="zh-CN"/>
        </w:rPr>
        <w:t>59</w:t>
      </w:r>
      <w:r>
        <w:rPr>
          <w:rFonts w:hint="default" w:ascii="仿宋_GB2312" w:eastAsia="仿宋_GB2312"/>
          <w:sz w:val="32"/>
        </w:rPr>
        <w:t>分。项目全年预算数为</w:t>
      </w:r>
      <w:r>
        <w:rPr>
          <w:rFonts w:hint="eastAsia" w:ascii="仿宋_GB2312" w:eastAsia="仿宋_GB2312"/>
          <w:sz w:val="32"/>
          <w:lang w:val="en-US" w:eastAsia="zh-CN"/>
        </w:rPr>
        <w:t>0</w:t>
      </w:r>
      <w:r>
        <w:rPr>
          <w:rFonts w:hint="default" w:ascii="仿宋_GB2312" w:eastAsia="仿宋_GB2312"/>
          <w:sz w:val="32"/>
        </w:rPr>
        <w:t>万元，执行数</w:t>
      </w:r>
      <w:r>
        <w:rPr>
          <w:rFonts w:hint="eastAsia" w:ascii="仿宋_GB2312" w:eastAsia="仿宋_GB2312"/>
          <w:sz w:val="32"/>
          <w:lang w:val="en-US" w:eastAsia="zh-CN"/>
        </w:rPr>
        <w:t>0</w:t>
      </w:r>
      <w:r>
        <w:rPr>
          <w:rFonts w:hint="default" w:ascii="仿宋_GB2312" w:eastAsia="仿宋_GB2312"/>
          <w:sz w:val="32"/>
        </w:rPr>
        <w:t>万元，完成预算的</w:t>
      </w:r>
      <w:r>
        <w:rPr>
          <w:rFonts w:hint="eastAsia" w:ascii="仿宋_GB2312" w:eastAsia="仿宋_GB2312"/>
          <w:sz w:val="32"/>
          <w:lang w:val="en-US" w:eastAsia="zh-CN"/>
        </w:rPr>
        <w:t>0</w:t>
      </w:r>
      <w:r>
        <w:rPr>
          <w:rFonts w:hint="default" w:ascii="仿宋_GB2312" w:eastAsia="仿宋_GB2312"/>
          <w:sz w:val="32"/>
        </w:rPr>
        <w:t>%。项目绩效目标完成情况：</w:t>
      </w:r>
      <w:r>
        <w:rPr>
          <w:rFonts w:hint="eastAsia" w:ascii="仿宋_GB2312" w:eastAsia="仿宋_GB2312"/>
          <w:sz w:val="32"/>
          <w:lang w:eastAsia="zh-CN"/>
        </w:rPr>
        <w:t>组织企事业单位参加网上招聘</w:t>
      </w:r>
      <w:r>
        <w:rPr>
          <w:rFonts w:hint="eastAsia" w:ascii="仿宋_GB2312" w:eastAsia="仿宋_GB2312"/>
          <w:sz w:val="32"/>
          <w:lang w:val="en-US" w:eastAsia="zh-CN"/>
        </w:rPr>
        <w:t>,面向北京、上海、广州、深圳等人才聚集地区和全国双一流高校，持续开展了24场“双一流”高校网络招聘会和10场急需紧缺人才网络招聘会，组织了参会沈阳市企事业单位1500余家。</w:t>
      </w:r>
    </w:p>
    <w:p>
      <w:pPr>
        <w:widowControl/>
        <w:numPr>
          <w:ilvl w:val="0"/>
          <w:numId w:val="3"/>
        </w:numPr>
        <w:spacing w:line="560" w:lineRule="exact"/>
        <w:ind w:firstLine="640" w:firstLineChars="200"/>
        <w:rPr>
          <w:rFonts w:ascii="仿宋_GB2312" w:hAnsi="宋体" w:eastAsia="仿宋_GB2312" w:cs="宋体"/>
          <w:color w:val="000000"/>
          <w:kern w:val="0"/>
          <w:sz w:val="32"/>
          <w:szCs w:val="32"/>
        </w:rPr>
      </w:pPr>
      <w:r>
        <w:rPr>
          <w:rFonts w:hint="eastAsia" w:ascii="仿宋_GB2312" w:eastAsia="仿宋_GB2312"/>
          <w:sz w:val="32"/>
          <w:lang w:eastAsia="zh-CN"/>
        </w:rPr>
        <w:t>高精尖优才集聚工程奖励</w:t>
      </w:r>
      <w:r>
        <w:rPr>
          <w:rFonts w:hint="default" w:ascii="仿宋_GB2312" w:eastAsia="仿宋_GB2312"/>
          <w:sz w:val="32"/>
        </w:rPr>
        <w:t>项目自评综述：根据年初设定的绩效目标，项目自评得分</w:t>
      </w:r>
      <w:r>
        <w:rPr>
          <w:rFonts w:hint="eastAsia" w:ascii="仿宋_GB2312" w:eastAsia="仿宋_GB2312"/>
          <w:sz w:val="32"/>
          <w:lang w:val="en-US" w:eastAsia="zh-CN"/>
        </w:rPr>
        <w:t>24.8</w:t>
      </w:r>
      <w:r>
        <w:rPr>
          <w:rFonts w:hint="default" w:ascii="仿宋_GB2312" w:eastAsia="仿宋_GB2312"/>
          <w:sz w:val="32"/>
        </w:rPr>
        <w:t>分。项目全年预算数为</w:t>
      </w:r>
      <w:r>
        <w:rPr>
          <w:rFonts w:hint="eastAsia" w:ascii="仿宋_GB2312" w:eastAsia="仿宋_GB2312"/>
          <w:sz w:val="32"/>
          <w:lang w:val="en-US" w:eastAsia="zh-CN"/>
        </w:rPr>
        <w:t>0</w:t>
      </w:r>
      <w:r>
        <w:rPr>
          <w:rFonts w:hint="default" w:ascii="仿宋_GB2312" w:eastAsia="仿宋_GB2312"/>
          <w:sz w:val="32"/>
        </w:rPr>
        <w:t>万元，执行数</w:t>
      </w:r>
      <w:r>
        <w:rPr>
          <w:rFonts w:hint="eastAsia" w:ascii="仿宋_GB2312" w:eastAsia="仿宋_GB2312"/>
          <w:sz w:val="32"/>
          <w:lang w:val="en-US" w:eastAsia="zh-CN"/>
        </w:rPr>
        <w:t>0</w:t>
      </w:r>
      <w:r>
        <w:rPr>
          <w:rFonts w:hint="default" w:ascii="仿宋_GB2312" w:eastAsia="仿宋_GB2312"/>
          <w:sz w:val="32"/>
        </w:rPr>
        <w:t>万元，完成预算的</w:t>
      </w:r>
      <w:r>
        <w:rPr>
          <w:rFonts w:hint="eastAsia" w:ascii="仿宋_GB2312" w:eastAsia="仿宋_GB2312"/>
          <w:sz w:val="32"/>
          <w:lang w:val="en-US" w:eastAsia="zh-CN"/>
        </w:rPr>
        <w:t>0</w:t>
      </w:r>
      <w:r>
        <w:rPr>
          <w:rFonts w:hint="default" w:ascii="仿宋_GB2312" w:eastAsia="仿宋_GB2312"/>
          <w:sz w:val="32"/>
        </w:rPr>
        <w:t>%。项目绩效目标完成情况：</w:t>
      </w:r>
      <w:r>
        <w:rPr>
          <w:rFonts w:hint="eastAsia" w:ascii="仿宋_GB2312" w:eastAsia="仿宋_GB2312"/>
          <w:sz w:val="32"/>
          <w:lang w:eastAsia="zh-CN"/>
        </w:rPr>
        <w:t>按照兴辽英才计划重新明确资助人数，评审时间延后。</w:t>
      </w:r>
      <w:r>
        <w:rPr>
          <w:rFonts w:hint="default" w:ascii="仿宋_GB2312" w:eastAsia="仿宋_GB2312"/>
          <w:sz w:val="32"/>
        </w:rPr>
        <w:t>发现的主要问题及原因：因为按照2021年度兴辽英才计划的标准重新明确了此项目的资助人数，导致了评审时间的延后</w:t>
      </w:r>
      <w:r>
        <w:rPr>
          <w:rFonts w:hint="eastAsia" w:ascii="仿宋_GB2312" w:eastAsia="仿宋_GB2312"/>
          <w:sz w:val="32"/>
          <w:lang w:eastAsia="zh-CN"/>
        </w:rPr>
        <w:t>。</w:t>
      </w:r>
      <w:r>
        <w:rPr>
          <w:rFonts w:hint="default" w:ascii="仿宋_GB2312" w:eastAsia="仿宋_GB2312"/>
          <w:sz w:val="32"/>
        </w:rPr>
        <w:t>下一步改进措施：在下一年度的高精尖优才集聚工作中，严格按照兴辽英才的计划，加大此项工作的推进力度</w:t>
      </w:r>
      <w:r>
        <w:rPr>
          <w:rFonts w:hint="eastAsia" w:ascii="仿宋_GB2312" w:eastAsia="仿宋_GB2312"/>
          <w:sz w:val="32"/>
          <w:lang w:eastAsia="zh-CN"/>
        </w:rPr>
        <w:t>。</w:t>
      </w:r>
    </w:p>
    <w:p>
      <w:pPr>
        <w:widowControl/>
        <w:numPr>
          <w:ilvl w:val="0"/>
          <w:numId w:val="3"/>
        </w:numPr>
        <w:spacing w:line="560" w:lineRule="exact"/>
        <w:ind w:firstLine="640" w:firstLineChars="200"/>
        <w:rPr>
          <w:rFonts w:ascii="仿宋_GB2312" w:eastAsia="仿宋_GB2312"/>
          <w:color w:val="000000"/>
          <w:sz w:val="32"/>
        </w:rPr>
      </w:pPr>
      <w:r>
        <w:rPr>
          <w:rFonts w:ascii="仿宋_GB2312" w:eastAsia="仿宋_GB2312"/>
          <w:color w:val="000000"/>
          <w:sz w:val="32"/>
        </w:rPr>
        <w:t>“</w:t>
      </w:r>
      <w:r>
        <w:rPr>
          <w:rFonts w:ascii="仿宋_GB2312" w:hAnsi="宋体" w:eastAsia="仿宋_GB2312" w:cs="宋体"/>
          <w:color w:val="000000"/>
          <w:kern w:val="0"/>
          <w:sz w:val="32"/>
          <w:szCs w:val="32"/>
        </w:rPr>
        <w:t>‘五送’进校园专场招聘会经费</w:t>
      </w:r>
      <w:r>
        <w:rPr>
          <w:rFonts w:ascii="仿宋_GB2312" w:eastAsia="仿宋_GB2312"/>
          <w:color w:val="000000"/>
          <w:sz w:val="32"/>
        </w:rPr>
        <w:t>”项目自评综述：根据年初设定的绩效目标，项目自评得分69分。项目全年预算数为50万元，执行数为25万元，完成预算的50%。项目绩效目标完成情况：</w:t>
      </w:r>
      <w:r>
        <w:rPr>
          <w:rFonts w:ascii="黑体" w:eastAsia="黑体"/>
          <w:b/>
          <w:color w:val="000000"/>
          <w:sz w:val="32"/>
        </w:rPr>
        <w:t>一是</w:t>
      </w:r>
      <w:r>
        <w:rPr>
          <w:rFonts w:ascii="仿宋_GB2312" w:hAnsi="宋体" w:eastAsia="仿宋_GB2312" w:cs="宋体"/>
          <w:color w:val="000000"/>
          <w:kern w:val="0"/>
          <w:sz w:val="32"/>
          <w:szCs w:val="32"/>
        </w:rPr>
        <w:t>落实关于高校毕业生就业创业的总体部署，吸引高校毕业生留沈，回沈，来沈就业创业</w:t>
      </w:r>
      <w:bookmarkStart w:id="0" w:name="_GoBack"/>
      <w:bookmarkEnd w:id="0"/>
      <w:r>
        <w:rPr>
          <w:rFonts w:ascii="仿宋_GB2312" w:hAnsi="宋体" w:eastAsia="仿宋_GB2312" w:cs="宋体"/>
          <w:color w:val="000000"/>
          <w:kern w:val="0"/>
          <w:sz w:val="32"/>
          <w:szCs w:val="32"/>
        </w:rPr>
        <w:t>；</w:t>
      </w:r>
      <w:r>
        <w:rPr>
          <w:rFonts w:ascii="黑体" w:eastAsia="黑体"/>
          <w:b/>
          <w:color w:val="000000"/>
          <w:sz w:val="32"/>
        </w:rPr>
        <w:t>二是</w:t>
      </w:r>
      <w:r>
        <w:rPr>
          <w:rFonts w:ascii="仿宋_GB2312" w:hAnsi="宋体" w:eastAsia="仿宋_GB2312" w:cs="宋体"/>
          <w:color w:val="000000"/>
          <w:kern w:val="0"/>
          <w:sz w:val="32"/>
          <w:szCs w:val="32"/>
        </w:rPr>
        <w:t>通过线下校园专场招聘会，就业政策宣讲，线上供求精准匹配等途径；</w:t>
      </w:r>
      <w:r>
        <w:rPr>
          <w:rFonts w:ascii="黑体" w:eastAsia="黑体"/>
          <w:b/>
          <w:color w:val="000000"/>
          <w:sz w:val="32"/>
        </w:rPr>
        <w:t>三是</w:t>
      </w:r>
      <w:r>
        <w:rPr>
          <w:rFonts w:ascii="仿宋_GB2312" w:hAnsi="宋体" w:eastAsia="仿宋_GB2312" w:cs="宋体"/>
          <w:color w:val="000000"/>
          <w:kern w:val="0"/>
          <w:sz w:val="32"/>
          <w:szCs w:val="32"/>
        </w:rPr>
        <w:t>全市人社系统“送岗位，送政策，送项目，送技能，送信息”进校园专场招聘会。</w:t>
      </w:r>
      <w:r>
        <w:rPr>
          <w:rFonts w:ascii="仿宋_GB2312" w:eastAsia="仿宋_GB2312"/>
          <w:color w:val="000000"/>
          <w:sz w:val="32"/>
        </w:rPr>
        <w:t>发现的主要问题及原因：</w:t>
      </w:r>
      <w:r>
        <w:rPr>
          <w:rFonts w:ascii="仿宋_GB2312" w:hAnsi="宋体" w:eastAsia="仿宋_GB2312" w:cs="宋体"/>
          <w:color w:val="000000"/>
          <w:kern w:val="0"/>
          <w:sz w:val="32"/>
          <w:szCs w:val="32"/>
        </w:rPr>
        <w:t>因疫情原因与第三方承办单位签订延期补充合同</w:t>
      </w:r>
      <w:r>
        <w:rPr>
          <w:rFonts w:ascii="仿宋_GB2312" w:eastAsia="仿宋_GB2312"/>
          <w:color w:val="000000"/>
          <w:sz w:val="32"/>
        </w:rPr>
        <w:t>。下一步改进措施：</w:t>
      </w:r>
      <w:r>
        <w:rPr>
          <w:rFonts w:ascii="仿宋_GB2312" w:hAnsi="宋体" w:eastAsia="仿宋_GB2312" w:cs="宋体"/>
          <w:color w:val="000000"/>
          <w:kern w:val="0"/>
          <w:sz w:val="32"/>
          <w:szCs w:val="32"/>
        </w:rPr>
        <w:t>目前活动已按合同规定的时间和场次数完成，已于2022年6月份支付剩余尾款24.95万元。</w:t>
      </w:r>
    </w:p>
    <w:p>
      <w:pPr>
        <w:widowControl/>
        <w:numPr>
          <w:ilvl w:val="0"/>
          <w:numId w:val="3"/>
        </w:numPr>
        <w:spacing w:line="560" w:lineRule="exact"/>
        <w:ind w:firstLine="640" w:firstLineChars="200"/>
        <w:rPr>
          <w:rFonts w:ascii="仿宋_GB2312" w:hAnsi="宋体" w:eastAsia="仿宋_GB2312" w:cs="宋体"/>
          <w:color w:val="000000"/>
          <w:kern w:val="0"/>
          <w:sz w:val="32"/>
          <w:szCs w:val="32"/>
        </w:rPr>
      </w:pPr>
      <w:r>
        <w:rPr>
          <w:rFonts w:ascii="仿宋_GB2312" w:eastAsia="仿宋_GB2312"/>
          <w:color w:val="000000"/>
          <w:sz w:val="32"/>
        </w:rPr>
        <w:t>“</w:t>
      </w:r>
      <w:r>
        <w:rPr>
          <w:rFonts w:ascii="仿宋_GB2312" w:hAnsi="宋体" w:eastAsia="仿宋_GB2312" w:cs="宋体"/>
          <w:color w:val="000000"/>
          <w:kern w:val="0"/>
          <w:sz w:val="32"/>
          <w:szCs w:val="32"/>
        </w:rPr>
        <w:t>大中城市联合招聘经费</w:t>
      </w:r>
      <w:r>
        <w:rPr>
          <w:rFonts w:ascii="仿宋_GB2312" w:eastAsia="仿宋_GB2312"/>
          <w:color w:val="000000"/>
          <w:sz w:val="32"/>
        </w:rPr>
        <w:t>”项目自评综述：根据年初设定的绩效目标，项目自评得分69分。项目全年预算数为9万元，执行数为4.36万元，完成预算的48.44%。项目绩效目标完成情况：</w:t>
      </w:r>
      <w:r>
        <w:rPr>
          <w:rFonts w:ascii="黑体" w:eastAsia="黑体"/>
          <w:b/>
          <w:color w:val="000000"/>
          <w:sz w:val="32"/>
        </w:rPr>
        <w:t>一是</w:t>
      </w:r>
      <w:r>
        <w:rPr>
          <w:rFonts w:ascii="仿宋_GB2312" w:hAnsi="宋体" w:eastAsia="仿宋_GB2312" w:cs="宋体"/>
          <w:color w:val="000000"/>
          <w:kern w:val="0"/>
          <w:sz w:val="32"/>
          <w:szCs w:val="32"/>
        </w:rPr>
        <w:t>按照全国人才流动中心和省就业和人才中心要求，参加大中城市联合招聘活动；</w:t>
      </w:r>
      <w:r>
        <w:rPr>
          <w:rFonts w:ascii="黑体" w:eastAsia="黑体"/>
          <w:b/>
          <w:color w:val="000000"/>
          <w:sz w:val="32"/>
        </w:rPr>
        <w:t>二是</w:t>
      </w:r>
      <w:r>
        <w:rPr>
          <w:rFonts w:ascii="仿宋_GB2312" w:hAnsi="宋体" w:eastAsia="仿宋_GB2312" w:cs="宋体"/>
          <w:color w:val="000000"/>
          <w:kern w:val="0"/>
          <w:sz w:val="32"/>
          <w:szCs w:val="32"/>
        </w:rPr>
        <w:t>为我市吸引人才，宣传我市城市形象及引才新政。</w:t>
      </w:r>
      <w:r>
        <w:rPr>
          <w:rFonts w:ascii="仿宋_GB2312" w:eastAsia="仿宋_GB2312"/>
          <w:color w:val="000000"/>
          <w:sz w:val="32"/>
        </w:rPr>
        <w:t>发现的主要问题及原因：</w:t>
      </w:r>
      <w:r>
        <w:rPr>
          <w:rFonts w:ascii="仿宋_GB2312" w:hAnsi="宋体" w:eastAsia="仿宋_GB2312" w:cs="宋体"/>
          <w:color w:val="000000"/>
          <w:kern w:val="0"/>
          <w:sz w:val="32"/>
          <w:szCs w:val="32"/>
        </w:rPr>
        <w:t>预计全年招聘会8场，因出现疫情，根据人社部和省人社厅要求，原计划已经无法继续实施，实际开展四场招聘活动</w:t>
      </w:r>
      <w:r>
        <w:rPr>
          <w:rFonts w:ascii="仿宋_GB2312" w:eastAsia="仿宋_GB2312"/>
          <w:color w:val="000000"/>
          <w:sz w:val="32"/>
        </w:rPr>
        <w:t>。</w:t>
      </w:r>
    </w:p>
    <w:p>
      <w:pPr>
        <w:widowControl/>
        <w:numPr>
          <w:ilvl w:val="0"/>
          <w:numId w:val="3"/>
        </w:numPr>
        <w:spacing w:line="560" w:lineRule="exact"/>
        <w:ind w:firstLine="640" w:firstLineChars="200"/>
        <w:rPr>
          <w:rFonts w:ascii="仿宋_GB2312" w:hAnsi="宋体" w:eastAsia="仿宋_GB2312" w:cs="宋体"/>
          <w:color w:val="000000"/>
          <w:kern w:val="0"/>
          <w:sz w:val="32"/>
          <w:szCs w:val="32"/>
        </w:rPr>
      </w:pPr>
      <w:r>
        <w:rPr>
          <w:rFonts w:ascii="仿宋_GB2312" w:eastAsia="仿宋_GB2312"/>
          <w:color w:val="000000"/>
          <w:sz w:val="32"/>
        </w:rPr>
        <w:t>“</w:t>
      </w:r>
      <w:r>
        <w:rPr>
          <w:rFonts w:ascii="仿宋_GB2312" w:hAnsi="宋体" w:eastAsia="仿宋_GB2312" w:cs="宋体"/>
          <w:color w:val="000000"/>
          <w:kern w:val="0"/>
          <w:sz w:val="32"/>
          <w:szCs w:val="32"/>
        </w:rPr>
        <w:t>高校毕业生沈阳站巡回招聘活动经费</w:t>
      </w:r>
      <w:r>
        <w:rPr>
          <w:rFonts w:ascii="仿宋_GB2312" w:eastAsia="仿宋_GB2312"/>
          <w:color w:val="000000"/>
          <w:sz w:val="32"/>
        </w:rPr>
        <w:t>”项目自评综述：根据年初设定的绩效目标，项目自评得分69分。项目全年预算数为126.6万元，执行数为62.02万元，完成预算的48.99%。项目绩效目标完成情况：年初预算下达126.6万元，分为春秋两季招聘会。春季活动支出62.2万元，秋季活动因疫情原因，未开展</w:t>
      </w:r>
      <w:r>
        <w:rPr>
          <w:rFonts w:ascii="仿宋_GB2312" w:hAnsi="宋体" w:eastAsia="仿宋_GB2312" w:cs="宋体"/>
          <w:color w:val="000000"/>
          <w:kern w:val="0"/>
          <w:sz w:val="32"/>
          <w:szCs w:val="32"/>
        </w:rPr>
        <w:t>。</w:t>
      </w:r>
      <w:r>
        <w:rPr>
          <w:rFonts w:ascii="仿宋_GB2312" w:eastAsia="仿宋_GB2312"/>
          <w:color w:val="000000"/>
          <w:sz w:val="32"/>
        </w:rPr>
        <w:t>发现的主要问题及原因：</w:t>
      </w:r>
      <w:r>
        <w:rPr>
          <w:rFonts w:ascii="仿宋_GB2312" w:hAnsi="宋体" w:eastAsia="仿宋_GB2312" w:cs="宋体"/>
          <w:color w:val="000000"/>
          <w:kern w:val="0"/>
          <w:sz w:val="32"/>
          <w:szCs w:val="32"/>
        </w:rPr>
        <w:t>高校毕业生沈阳站巡回招聘会分为春秋两季进行，春季活动支出62.2万元，秋季活动因疫情原因未开展</w:t>
      </w:r>
      <w:r>
        <w:rPr>
          <w:rFonts w:ascii="仿宋_GB2312" w:eastAsia="仿宋_GB2312"/>
          <w:color w:val="000000"/>
          <w:sz w:val="32"/>
        </w:rPr>
        <w:t>。下一步改进措施：</w:t>
      </w:r>
      <w:r>
        <w:rPr>
          <w:rFonts w:ascii="仿宋_GB2312" w:hAnsi="宋体" w:eastAsia="仿宋_GB2312" w:cs="宋体"/>
          <w:color w:val="000000"/>
          <w:kern w:val="0"/>
          <w:sz w:val="32"/>
          <w:szCs w:val="32"/>
        </w:rPr>
        <w:t>视全国疫情情况，适时开展。</w:t>
      </w:r>
    </w:p>
    <w:p>
      <w:pPr>
        <w:widowControl/>
        <w:numPr>
          <w:ilvl w:val="0"/>
          <w:numId w:val="3"/>
        </w:numPr>
        <w:spacing w:line="560" w:lineRule="exact"/>
        <w:ind w:firstLine="640" w:firstLineChars="200"/>
        <w:rPr>
          <w:rFonts w:ascii="仿宋_GB2312" w:eastAsia="仿宋_GB2312"/>
          <w:color w:val="000000"/>
          <w:sz w:val="32"/>
        </w:rPr>
      </w:pPr>
      <w:r>
        <w:rPr>
          <w:rFonts w:ascii="仿宋_GB2312" w:eastAsia="仿宋_GB2312"/>
          <w:color w:val="000000"/>
          <w:sz w:val="32"/>
        </w:rPr>
        <w:t>“</w:t>
      </w:r>
      <w:r>
        <w:rPr>
          <w:rFonts w:ascii="仿宋_GB2312" w:hAnsi="宋体" w:eastAsia="仿宋_GB2312" w:cs="宋体"/>
          <w:color w:val="000000"/>
          <w:kern w:val="0"/>
          <w:sz w:val="32"/>
          <w:szCs w:val="32"/>
        </w:rPr>
        <w:t>贡献突出人力资源机构奖励资金</w:t>
      </w:r>
      <w:r>
        <w:rPr>
          <w:rFonts w:ascii="仿宋_GB2312" w:eastAsia="仿宋_GB2312"/>
          <w:color w:val="000000"/>
          <w:sz w:val="32"/>
        </w:rPr>
        <w:t>”项目自评综述：根据年初设定的绩效目标，项目自评得分59分。项目全年预算数为75万元，执行数为0万元，完成预算的0%。项目绩效目标完成情况：2020年我市辽宁省外商企业服务有限公司、华厦外包服务（辽宁）有限公司、沈阳外国企业服务有限公司3家人力资源服务机构拟被确定为“国家级人力资源诚信服务示范机构”，名单已在人社部网站公示，但一直未发布确定文件，经与人社部沟通，此次评选活动国家审计建议暂停，最终确认文件暂停发布，具体发布时间未定。因此未发放奖励资金。发现的主要问题及原因：</w:t>
      </w:r>
      <w:r>
        <w:rPr>
          <w:rFonts w:ascii="仿宋_GB2312" w:hAnsi="宋体" w:eastAsia="仿宋_GB2312" w:cs="宋体"/>
          <w:color w:val="000000"/>
          <w:kern w:val="0"/>
          <w:sz w:val="32"/>
          <w:szCs w:val="32"/>
        </w:rPr>
        <w:t>2020年我市辽宁省外商企业服务有限公司、华厦外包服务（辽宁）有限公司、沈阳外国企业服务有限公司3家人力资源服务机构拟被确定为“国家级人力资源诚信服务示范机构”，名单已在人社部网站公示，但一直未发布确定文件，经与人社部沟通，此次评选活动国家审计建议暂停，最终确认文件暂停发布，具体发布时间未定。因此未发放奖励资金。</w:t>
      </w:r>
    </w:p>
    <w:p>
      <w:pPr>
        <w:widowControl/>
        <w:numPr>
          <w:ilvl w:val="0"/>
          <w:numId w:val="3"/>
        </w:numPr>
        <w:spacing w:line="560" w:lineRule="exact"/>
        <w:ind w:firstLine="640" w:firstLineChars="200"/>
        <w:rPr>
          <w:rFonts w:ascii="仿宋_GB2312" w:eastAsia="仿宋_GB2312"/>
          <w:color w:val="000000"/>
          <w:sz w:val="32"/>
        </w:rPr>
      </w:pPr>
      <w:r>
        <w:rPr>
          <w:rFonts w:ascii="仿宋_GB2312" w:eastAsia="仿宋_GB2312"/>
          <w:color w:val="000000"/>
          <w:sz w:val="32"/>
        </w:rPr>
        <w:t>“</w:t>
      </w:r>
      <w:r>
        <w:rPr>
          <w:rFonts w:ascii="仿宋_GB2312" w:hAnsi="宋体" w:eastAsia="仿宋_GB2312" w:cs="宋体"/>
          <w:color w:val="000000"/>
          <w:kern w:val="0"/>
          <w:sz w:val="32"/>
          <w:szCs w:val="32"/>
        </w:rPr>
        <w:t>江苏对口合作招聘经费</w:t>
      </w:r>
      <w:r>
        <w:rPr>
          <w:rFonts w:ascii="仿宋_GB2312" w:eastAsia="仿宋_GB2312"/>
          <w:color w:val="000000"/>
          <w:sz w:val="32"/>
        </w:rPr>
        <w:t>”项目自评综述：根据年初设定的绩效目标，项目自评得分59分。项目全年预算数为12.3万元，执行数为0万元，完成预算的0%。项目绩效目标完成情况：根据省厅工作安排，省厅预计安排2场招聘活动。但由于疫情原因，省厅仅组织1次招聘活动。根据省厅文件通知要求，我市仅负责协助省就业和人才服务中心征集企业信息，疫情原因，未实际前往参加“走进江苏，走进高校”活动，无资金支出。发现的主要问题及原因：</w:t>
      </w:r>
      <w:r>
        <w:rPr>
          <w:rFonts w:ascii="仿宋_GB2312" w:hAnsi="宋体" w:eastAsia="仿宋_GB2312" w:cs="宋体"/>
          <w:color w:val="000000"/>
          <w:kern w:val="0"/>
          <w:sz w:val="32"/>
          <w:szCs w:val="32"/>
        </w:rPr>
        <w:t>根据省厅工作安排，省厅预计安排2场招聘活动。但由于疫情原因，省厅仅组织1次招聘活动。根据省厅文件通知要求，我市仅负责协助省就业和人才服务中心征集企业信息，疫情原因，未实际前往参加“走进江苏，走进高校”活动，无资金支出。</w:t>
      </w:r>
      <w:r>
        <w:rPr>
          <w:rFonts w:ascii="仿宋_GB2312" w:eastAsia="仿宋_GB2312"/>
          <w:color w:val="000000"/>
          <w:sz w:val="32"/>
        </w:rPr>
        <w:t>下一步改进措施：根据疫情变化，按照省厅文件通知要求，我市配合省就业和人才服务中心，负责征集企业信息，开展线上“走进江苏，走进高校”活动。</w:t>
      </w:r>
    </w:p>
    <w:p>
      <w:pPr>
        <w:widowControl/>
        <w:numPr>
          <w:ilvl w:val="0"/>
          <w:numId w:val="3"/>
        </w:numPr>
        <w:spacing w:line="560" w:lineRule="exact"/>
        <w:ind w:firstLine="640" w:firstLineChars="200"/>
        <w:rPr>
          <w:rFonts w:ascii="仿宋_GB2312" w:eastAsia="仿宋_GB2312"/>
          <w:color w:val="000000"/>
          <w:sz w:val="32"/>
        </w:rPr>
      </w:pPr>
      <w:r>
        <w:rPr>
          <w:rFonts w:ascii="仿宋_GB2312" w:eastAsia="仿宋_GB2312"/>
          <w:color w:val="000000"/>
          <w:sz w:val="32"/>
        </w:rPr>
        <w:t>“</w:t>
      </w:r>
      <w:r>
        <w:rPr>
          <w:rFonts w:ascii="仿宋_GB2312" w:hAnsi="宋体" w:eastAsia="仿宋_GB2312" w:cs="宋体"/>
          <w:color w:val="000000"/>
          <w:kern w:val="0"/>
          <w:sz w:val="32"/>
          <w:szCs w:val="32"/>
        </w:rPr>
        <w:t>就业补助资金</w:t>
      </w:r>
      <w:r>
        <w:rPr>
          <w:rFonts w:ascii="仿宋_GB2312" w:eastAsia="仿宋_GB2312"/>
          <w:color w:val="000000"/>
          <w:sz w:val="32"/>
        </w:rPr>
        <w:t>”项目自评综述：根据年初设定的绩效目标，项目自评得分96.5分。项目全年预算数为16365万元，执行数为16365万元，完成预算的100%。项目绩效目标完成情况：</w:t>
      </w:r>
      <w:r>
        <w:rPr>
          <w:rFonts w:ascii="黑体" w:eastAsia="黑体"/>
          <w:b/>
          <w:color w:val="000000"/>
          <w:sz w:val="32"/>
        </w:rPr>
        <w:t>一是</w:t>
      </w:r>
      <w:r>
        <w:rPr>
          <w:rFonts w:ascii="仿宋_GB2312" w:eastAsia="仿宋_GB2312"/>
          <w:color w:val="000000"/>
          <w:sz w:val="32"/>
        </w:rPr>
        <w:t>有针对性地出台，调整就业创业相关政策并有效落实，开展就业援助，扩大就业规模。</w:t>
      </w:r>
      <w:r>
        <w:rPr>
          <w:rFonts w:ascii="黑体" w:eastAsia="黑体"/>
          <w:b/>
          <w:color w:val="000000"/>
          <w:sz w:val="32"/>
        </w:rPr>
        <w:t>二是</w:t>
      </w:r>
      <w:r>
        <w:rPr>
          <w:rFonts w:ascii="仿宋_GB2312" w:eastAsia="仿宋_GB2312"/>
          <w:color w:val="000000"/>
          <w:sz w:val="32"/>
        </w:rPr>
        <w:t>不断扩大就业规模，改善创业环境，提高就业质量。</w:t>
      </w:r>
    </w:p>
    <w:p>
      <w:pPr>
        <w:widowControl/>
        <w:numPr>
          <w:ilvl w:val="0"/>
          <w:numId w:val="3"/>
        </w:numPr>
        <w:spacing w:line="560" w:lineRule="exact"/>
        <w:ind w:firstLine="640" w:firstLineChars="200"/>
        <w:rPr>
          <w:rFonts w:ascii="仿宋_GB2312" w:eastAsia="仿宋_GB2312"/>
          <w:color w:val="000000"/>
          <w:sz w:val="32"/>
        </w:rPr>
      </w:pPr>
      <w:r>
        <w:rPr>
          <w:rFonts w:ascii="仿宋_GB2312" w:eastAsia="仿宋_GB2312"/>
          <w:color w:val="000000"/>
          <w:sz w:val="32"/>
        </w:rPr>
        <w:t>“</w:t>
      </w:r>
      <w:r>
        <w:rPr>
          <w:rFonts w:ascii="仿宋_GB2312" w:hAnsi="宋体" w:eastAsia="仿宋_GB2312" w:cs="宋体"/>
          <w:color w:val="000000"/>
          <w:kern w:val="0"/>
          <w:sz w:val="32"/>
          <w:szCs w:val="32"/>
        </w:rPr>
        <w:t>开设‘人才驿站’工作经费</w:t>
      </w:r>
      <w:r>
        <w:rPr>
          <w:rFonts w:ascii="仿宋_GB2312" w:eastAsia="仿宋_GB2312"/>
          <w:color w:val="000000"/>
          <w:sz w:val="32"/>
        </w:rPr>
        <w:t>”项目自评综述：根据年初设定的绩效目标，项目自评得分99.32分。项目全年预算数为185.8万元，执行数为173.2万元，完成预算的93.22%。项目绩效目标完成情况：</w:t>
      </w:r>
      <w:r>
        <w:rPr>
          <w:rFonts w:ascii="黑体" w:eastAsia="黑体"/>
          <w:b/>
          <w:color w:val="000000"/>
          <w:sz w:val="32"/>
        </w:rPr>
        <w:t>一是</w:t>
      </w:r>
      <w:r>
        <w:rPr>
          <w:rFonts w:ascii="仿宋_GB2312" w:eastAsia="仿宋_GB2312"/>
          <w:color w:val="000000"/>
          <w:sz w:val="32"/>
        </w:rPr>
        <w:t>降低求职成本，吸引4039名外地人才来沈就业。</w:t>
      </w:r>
      <w:r>
        <w:rPr>
          <w:rFonts w:ascii="黑体" w:eastAsia="黑体"/>
          <w:b/>
          <w:color w:val="000000"/>
          <w:sz w:val="32"/>
        </w:rPr>
        <w:t>二是</w:t>
      </w:r>
      <w:r>
        <w:rPr>
          <w:rFonts w:ascii="仿宋_GB2312" w:eastAsia="仿宋_GB2312"/>
          <w:color w:val="000000"/>
          <w:sz w:val="32"/>
        </w:rPr>
        <w:t>断完善服务流程，提升服务质量，打造我市人才驿站服务品牌。</w:t>
      </w:r>
      <w:r>
        <w:rPr>
          <w:rFonts w:ascii="黑体" w:eastAsia="黑体"/>
          <w:b/>
          <w:color w:val="000000"/>
          <w:sz w:val="32"/>
        </w:rPr>
        <w:t>三是</w:t>
      </w:r>
      <w:r>
        <w:rPr>
          <w:rFonts w:ascii="仿宋_GB2312" w:eastAsia="仿宋_GB2312"/>
          <w:color w:val="000000"/>
          <w:sz w:val="32"/>
        </w:rPr>
        <w:t>为来沈应聘的普通高校毕业生提供最多10天免费入住服务。</w:t>
      </w:r>
      <w:r>
        <w:rPr>
          <w:rFonts w:ascii="黑体" w:eastAsia="黑体"/>
          <w:b/>
          <w:color w:val="000000"/>
          <w:sz w:val="32"/>
        </w:rPr>
        <w:t>四是</w:t>
      </w:r>
      <w:r>
        <w:rPr>
          <w:rFonts w:ascii="仿宋_GB2312" w:eastAsia="仿宋_GB2312"/>
          <w:color w:val="000000"/>
          <w:sz w:val="32"/>
        </w:rPr>
        <w:t>提供就业指导，信息发布，城市融入，人才交流等服务。</w:t>
      </w:r>
    </w:p>
    <w:p>
      <w:pPr>
        <w:widowControl/>
        <w:numPr>
          <w:ilvl w:val="0"/>
          <w:numId w:val="3"/>
        </w:numPr>
        <w:spacing w:line="560" w:lineRule="exact"/>
        <w:ind w:firstLine="640" w:firstLineChars="200"/>
        <w:rPr>
          <w:rFonts w:hint="eastAsia" w:ascii="仿宋_GB2312" w:eastAsia="仿宋_GB2312"/>
          <w:sz w:val="32"/>
          <w:lang w:eastAsia="zh-CN"/>
        </w:rPr>
      </w:pPr>
      <w:r>
        <w:rPr>
          <w:rFonts w:ascii="仿宋_GB2312" w:eastAsia="仿宋_GB2312"/>
          <w:color w:val="000000"/>
          <w:sz w:val="32"/>
        </w:rPr>
        <w:t>“</w:t>
      </w:r>
      <w:r>
        <w:rPr>
          <w:rFonts w:ascii="仿宋_GB2312" w:hAnsi="宋体" w:eastAsia="仿宋_GB2312" w:cs="宋体"/>
          <w:color w:val="000000"/>
          <w:kern w:val="0"/>
          <w:sz w:val="32"/>
          <w:szCs w:val="32"/>
        </w:rPr>
        <w:t>开展‘百校千企’活动经费</w:t>
      </w:r>
      <w:r>
        <w:rPr>
          <w:rFonts w:ascii="仿宋_GB2312" w:eastAsia="仿宋_GB2312"/>
          <w:color w:val="000000"/>
          <w:sz w:val="32"/>
        </w:rPr>
        <w:t>”项目自评综述：根据年初设定的绩效目标，项目自评得分59分。项目全年预算数为11.04万元，执行数为0万元，完成预算的0%。项目绩效目标完成情况：根据省厅工作安排，省厅预计安排4场招聘活动。但由于疫情原因，省厅仅组织2次招聘活动。根据省厅文件通知要求，我市仅负责协助省就业和人才服务中心征集企业信息，因疫情原因，未带队前往参与百校千企活动，故2021年未使用百校千企资金预算。下一步改进措施：根据疫情变化，按照省厅文件通知要求，我市配合省就业和人才服务中心，负责征集企业信息，开展线上百校千企活动。</w:t>
      </w:r>
    </w:p>
    <w:p>
      <w:pPr>
        <w:widowControl/>
        <w:numPr>
          <w:ilvl w:val="0"/>
          <w:numId w:val="3"/>
        </w:numPr>
        <w:spacing w:line="560" w:lineRule="exact"/>
        <w:ind w:firstLine="640" w:firstLineChars="200"/>
        <w:rPr>
          <w:rFonts w:hint="default" w:ascii="仿宋_GB2312" w:eastAsia="仿宋_GB2312"/>
          <w:sz w:val="32"/>
        </w:rPr>
      </w:pPr>
      <w:r>
        <w:rPr>
          <w:rFonts w:ascii="仿宋_GB2312" w:eastAsia="仿宋_GB2312"/>
          <w:sz w:val="32"/>
          <w:szCs w:val="32"/>
        </w:rPr>
        <w:t>“</w:t>
      </w:r>
      <w:r>
        <w:rPr>
          <w:rFonts w:ascii="仿宋_GB2312" w:hAnsi="宋体" w:eastAsia="仿宋_GB2312" w:cs="宋体"/>
          <w:kern w:val="0"/>
          <w:sz w:val="32"/>
          <w:szCs w:val="32"/>
        </w:rPr>
        <w:t>优秀大学生‘辽宁行’活动经费</w:t>
      </w:r>
      <w:r>
        <w:rPr>
          <w:rFonts w:ascii="仿宋_GB2312" w:eastAsia="仿宋_GB2312"/>
          <w:sz w:val="32"/>
          <w:szCs w:val="32"/>
        </w:rPr>
        <w:t>”项目自评综述：根据年初设定的绩效目标，项目自评得分69分。项目全年预算数为6.54万元，执行数为3.19万元，完成预算的48.78%。项目绩效目标完成情况：以此次活动为契机，与相关高校初步建立长期稳定的合作关系，持续开展校园招聘、岗位推送、政策宣传、走访观摩等活动。发现的主要问题及原因：北大学子因疫情原因，没有来沈，余3.35万元经费没有支出。</w:t>
      </w:r>
    </w:p>
    <w:p>
      <w:pPr>
        <w:widowControl/>
        <w:numPr>
          <w:ilvl w:val="0"/>
          <w:numId w:val="3"/>
        </w:numPr>
        <w:spacing w:line="560" w:lineRule="exact"/>
        <w:ind w:firstLine="640" w:firstLineChars="200"/>
        <w:rPr>
          <w:rFonts w:hint="eastAsia" w:ascii="仿宋_GB2312" w:eastAsia="仿宋_GB2312"/>
          <w:sz w:val="32"/>
          <w:lang w:eastAsia="zh-CN"/>
        </w:rPr>
      </w:pPr>
      <w:r>
        <w:rPr>
          <w:rFonts w:hint="default" w:ascii="仿宋_GB2312" w:eastAsia="仿宋_GB2312"/>
          <w:sz w:val="32"/>
        </w:rPr>
        <w:t>“</w:t>
      </w:r>
      <w:r>
        <w:rPr>
          <w:rFonts w:hint="eastAsia" w:ascii="仿宋_GB2312" w:eastAsia="仿宋_GB2312"/>
          <w:sz w:val="32"/>
          <w:lang w:eastAsia="zh-CN"/>
        </w:rPr>
        <w:t>社会保险银行代发手续费</w:t>
      </w:r>
      <w:r>
        <w:rPr>
          <w:rFonts w:hint="default" w:ascii="仿宋_GB2312" w:eastAsia="仿宋_GB2312"/>
          <w:sz w:val="32"/>
        </w:rPr>
        <w:t>”项目自评综述：根据年初设定的绩效目标，项目自评得分</w:t>
      </w:r>
      <w:r>
        <w:rPr>
          <w:rFonts w:hint="eastAsia" w:ascii="仿宋_GB2312" w:eastAsia="仿宋_GB2312"/>
          <w:sz w:val="32"/>
          <w:lang w:val="en-US" w:eastAsia="zh-CN"/>
        </w:rPr>
        <w:t>100</w:t>
      </w:r>
      <w:r>
        <w:rPr>
          <w:rFonts w:hint="default" w:ascii="仿宋_GB2312" w:eastAsia="仿宋_GB2312"/>
          <w:sz w:val="32"/>
        </w:rPr>
        <w:t>分。项目全年预算数为</w:t>
      </w:r>
      <w:r>
        <w:rPr>
          <w:rFonts w:hint="eastAsia" w:ascii="仿宋_GB2312" w:eastAsia="仿宋_GB2312"/>
          <w:sz w:val="32"/>
          <w:lang w:val="en-US" w:eastAsia="zh-CN"/>
        </w:rPr>
        <w:t>654</w:t>
      </w:r>
      <w:r>
        <w:rPr>
          <w:rFonts w:hint="default" w:ascii="仿宋_GB2312" w:eastAsia="仿宋_GB2312"/>
          <w:sz w:val="32"/>
        </w:rPr>
        <w:t>万元，执行数为</w:t>
      </w:r>
      <w:r>
        <w:rPr>
          <w:rFonts w:hint="eastAsia" w:ascii="仿宋_GB2312" w:eastAsia="仿宋_GB2312"/>
          <w:sz w:val="32"/>
          <w:lang w:val="en-US" w:eastAsia="zh-CN"/>
        </w:rPr>
        <w:t>654</w:t>
      </w:r>
      <w:r>
        <w:rPr>
          <w:rFonts w:hint="default" w:ascii="仿宋_GB2312" w:eastAsia="仿宋_GB2312"/>
          <w:sz w:val="32"/>
        </w:rPr>
        <w:t>万元，完成预算的</w:t>
      </w:r>
      <w:r>
        <w:rPr>
          <w:rFonts w:hint="eastAsia" w:ascii="仿宋_GB2312" w:eastAsia="仿宋_GB2312"/>
          <w:sz w:val="32"/>
          <w:lang w:val="en-US" w:eastAsia="zh-CN"/>
        </w:rPr>
        <w:t>100</w:t>
      </w:r>
      <w:r>
        <w:rPr>
          <w:rFonts w:hint="default" w:ascii="仿宋_GB2312" w:eastAsia="仿宋_GB2312"/>
          <w:sz w:val="32"/>
        </w:rPr>
        <w:t>%。项目绩效目标完成情况：一是</w:t>
      </w:r>
      <w:r>
        <w:rPr>
          <w:rFonts w:hint="eastAsia" w:ascii="仿宋_GB2312" w:eastAsia="仿宋_GB2312"/>
          <w:sz w:val="32"/>
          <w:lang w:eastAsia="zh-CN"/>
        </w:rPr>
        <w:t>确保了社会保险各项待遇按时足额发放；</w:t>
      </w:r>
      <w:r>
        <w:rPr>
          <w:rFonts w:hint="default" w:ascii="仿宋_GB2312" w:eastAsia="仿宋_GB2312"/>
          <w:sz w:val="32"/>
        </w:rPr>
        <w:t>二是</w:t>
      </w:r>
      <w:r>
        <w:rPr>
          <w:rFonts w:hint="eastAsia" w:ascii="仿宋_GB2312" w:eastAsia="仿宋_GB2312"/>
          <w:sz w:val="32"/>
          <w:lang w:eastAsia="zh-CN"/>
        </w:rPr>
        <w:t>全年共支付手续费654万元，保障了沈阳市离退休人员权益。</w:t>
      </w:r>
    </w:p>
    <w:p>
      <w:pPr>
        <w:widowControl/>
        <w:numPr>
          <w:ilvl w:val="0"/>
          <w:numId w:val="3"/>
        </w:numPr>
        <w:spacing w:line="560" w:lineRule="exact"/>
        <w:ind w:firstLine="640" w:firstLineChars="200"/>
        <w:rPr>
          <w:rFonts w:hint="eastAsia" w:ascii="仿宋_GB2312" w:eastAsia="仿宋_GB2312"/>
          <w:sz w:val="32"/>
          <w:lang w:eastAsia="zh-CN"/>
        </w:rPr>
      </w:pPr>
      <w:r>
        <w:rPr>
          <w:rFonts w:hint="default" w:ascii="仿宋_GB2312" w:eastAsia="仿宋_GB2312"/>
          <w:sz w:val="32"/>
        </w:rPr>
        <w:t>“原沈阳冶炼厂离退休、工伤人员统筹项目外养老金及采暖费等”项目自评综述：根据年初设定的绩效目标，项目自评得分</w:t>
      </w:r>
      <w:r>
        <w:rPr>
          <w:rFonts w:hint="eastAsia" w:ascii="仿宋_GB2312" w:eastAsia="仿宋_GB2312"/>
          <w:sz w:val="32"/>
          <w:lang w:val="en-US" w:eastAsia="zh-CN"/>
        </w:rPr>
        <w:t>99.42</w:t>
      </w:r>
      <w:r>
        <w:rPr>
          <w:rFonts w:hint="default" w:ascii="仿宋_GB2312" w:eastAsia="仿宋_GB2312"/>
          <w:sz w:val="32"/>
        </w:rPr>
        <w:t>分。项目全年预算数为</w:t>
      </w:r>
      <w:r>
        <w:rPr>
          <w:rFonts w:hint="eastAsia" w:ascii="仿宋_GB2312" w:eastAsia="仿宋_GB2312"/>
          <w:sz w:val="32"/>
          <w:lang w:val="en-US" w:eastAsia="zh-CN"/>
        </w:rPr>
        <w:t>1477</w:t>
      </w:r>
      <w:r>
        <w:rPr>
          <w:rFonts w:hint="default" w:ascii="仿宋_GB2312" w:eastAsia="仿宋_GB2312"/>
          <w:sz w:val="32"/>
        </w:rPr>
        <w:t>万元，执行数为</w:t>
      </w:r>
      <w:r>
        <w:rPr>
          <w:rFonts w:hint="eastAsia" w:ascii="仿宋_GB2312" w:eastAsia="仿宋_GB2312"/>
          <w:sz w:val="32"/>
          <w:lang w:val="en-US" w:eastAsia="zh-CN"/>
        </w:rPr>
        <w:t>1391.72</w:t>
      </w:r>
      <w:r>
        <w:rPr>
          <w:rFonts w:hint="default" w:ascii="仿宋_GB2312" w:eastAsia="仿宋_GB2312"/>
          <w:sz w:val="32"/>
        </w:rPr>
        <w:t>万元，完成预算的</w:t>
      </w:r>
      <w:r>
        <w:rPr>
          <w:rFonts w:hint="eastAsia" w:ascii="仿宋_GB2312" w:eastAsia="仿宋_GB2312"/>
          <w:sz w:val="32"/>
          <w:lang w:val="en-US" w:eastAsia="zh-CN"/>
        </w:rPr>
        <w:t>94.23</w:t>
      </w:r>
      <w:r>
        <w:rPr>
          <w:rFonts w:hint="default" w:ascii="仿宋_GB2312" w:eastAsia="仿宋_GB2312"/>
          <w:sz w:val="32"/>
        </w:rPr>
        <w:t>%。项目绩效目标完成情况：保障了沈阳市离退休人员权益，确保了各项待遇按时足额发放。下一步改进措施：应更加规范预算填报工作</w:t>
      </w:r>
      <w:r>
        <w:rPr>
          <w:rFonts w:hint="eastAsia" w:ascii="仿宋_GB2312" w:eastAsia="仿宋_GB2312"/>
          <w:sz w:val="32"/>
          <w:lang w:eastAsia="zh-CN"/>
        </w:rPr>
        <w:t>，加强</w:t>
      </w:r>
      <w:r>
        <w:rPr>
          <w:rFonts w:hint="default" w:ascii="仿宋_GB2312" w:eastAsia="仿宋_GB2312"/>
          <w:sz w:val="32"/>
        </w:rPr>
        <w:t>执行与绩效考核流程监督监管，</w:t>
      </w:r>
      <w:r>
        <w:rPr>
          <w:rFonts w:hint="eastAsia" w:ascii="仿宋_GB2312" w:eastAsia="仿宋_GB2312"/>
          <w:sz w:val="32"/>
          <w:lang w:eastAsia="zh-CN"/>
        </w:rPr>
        <w:t>进一步</w:t>
      </w:r>
      <w:r>
        <w:rPr>
          <w:rFonts w:hint="default" w:ascii="仿宋_GB2312" w:eastAsia="仿宋_GB2312"/>
          <w:sz w:val="32"/>
        </w:rPr>
        <w:t>规范预算管理。</w:t>
      </w:r>
    </w:p>
    <w:p>
      <w:pPr>
        <w:pStyle w:val="7"/>
        <w:numPr>
          <w:ilvl w:val="0"/>
          <w:numId w:val="0"/>
        </w:numPr>
        <w:spacing w:line="560" w:lineRule="exact"/>
        <w:ind w:firstLine="640" w:firstLineChars="200"/>
        <w:rPr>
          <w:rFonts w:hint="default" w:ascii="仿宋_GB2312" w:eastAsia="仿宋_GB2312"/>
          <w:sz w:val="32"/>
        </w:rPr>
      </w:pPr>
      <w:r>
        <w:rPr>
          <w:rFonts w:hint="eastAsia" w:ascii="仿宋_GB2312" w:eastAsia="仿宋_GB2312"/>
          <w:sz w:val="32"/>
          <w:lang w:val="en-US" w:eastAsia="zh-CN"/>
        </w:rPr>
        <w:t>3.</w:t>
      </w:r>
      <w:r>
        <w:rPr>
          <w:rFonts w:hint="default" w:ascii="仿宋_GB2312" w:eastAsia="仿宋_GB2312"/>
          <w:sz w:val="32"/>
        </w:rPr>
        <w:t>部门重点评价情况。</w:t>
      </w:r>
    </w:p>
    <w:p>
      <w:pPr>
        <w:pStyle w:val="7"/>
        <w:numPr>
          <w:ilvl w:val="0"/>
          <w:numId w:val="0"/>
        </w:numPr>
        <w:spacing w:line="560" w:lineRule="exact"/>
        <w:ind w:firstLine="640" w:firstLineChars="200"/>
        <w:rPr>
          <w:rFonts w:hint="eastAsia" w:ascii="Times New Roman" w:hAnsi="Times New Roman" w:eastAsia="仿宋_GB2312" w:cs="Times New Roman"/>
          <w:kern w:val="0"/>
          <w:szCs w:val="21"/>
          <w:lang w:eastAsia="zh-CN"/>
        </w:rPr>
      </w:pPr>
      <w:r>
        <w:rPr>
          <w:rFonts w:hint="default" w:ascii="仿宋_GB2312" w:eastAsia="仿宋_GB2312"/>
          <w:sz w:val="32"/>
        </w:rPr>
        <w:t>我部门</w:t>
      </w:r>
      <w:r>
        <w:rPr>
          <w:rFonts w:hint="eastAsia" w:ascii="仿宋_GB2312" w:eastAsia="仿宋_GB2312"/>
          <w:sz w:val="32"/>
          <w:lang w:eastAsia="zh-CN"/>
        </w:rPr>
        <w:t>没有重点评价项目。</w:t>
      </w:r>
    </w:p>
    <w:p>
      <w:pPr>
        <w:pStyle w:val="7"/>
        <w:keepNext w:val="0"/>
        <w:keepLines w:val="0"/>
        <w:pageBreakBefore w:val="0"/>
        <w:widowControl/>
        <w:numPr>
          <w:ilvl w:val="0"/>
          <w:numId w:val="0"/>
        </w:numPr>
        <w:kinsoku/>
        <w:wordWrap/>
        <w:overflowPunct/>
        <w:topLinePunct w:val="0"/>
        <w:autoSpaceDE/>
        <w:bidi w:val="0"/>
        <w:adjustRightInd/>
        <w:snapToGrid/>
        <w:spacing w:before="0" w:beforeLines="0" w:after="0" w:afterLines="0" w:line="560" w:lineRule="exact"/>
        <w:ind w:right="0" w:rightChars="0" w:firstLine="640" w:firstLineChars="200"/>
        <w:jc w:val="both"/>
        <w:textAlignment w:val="auto"/>
        <w:outlineLvl w:val="9"/>
        <w:rPr>
          <w:rFonts w:hint="default" w:ascii="仿宋_GB2312" w:eastAsia="仿宋_GB2312"/>
          <w:sz w:val="32"/>
          <w:highlight w:val="none"/>
        </w:rPr>
      </w:pPr>
      <w:r>
        <w:rPr>
          <w:rFonts w:hint="default" w:ascii="仿宋_GB2312" w:eastAsia="仿宋_GB2312"/>
          <w:sz w:val="32"/>
        </w:rPr>
        <w:t>4.其他。制定或者完善制度方面情况</w:t>
      </w:r>
      <w:r>
        <w:rPr>
          <w:rFonts w:hint="eastAsia" w:ascii="仿宋_GB2312" w:eastAsia="仿宋_GB2312"/>
          <w:sz w:val="32"/>
          <w:highlight w:val="none"/>
        </w:rPr>
        <w:t>。从</w:t>
      </w:r>
      <w:r>
        <w:rPr>
          <w:rFonts w:hint="default" w:ascii="仿宋_GB2312" w:eastAsia="仿宋_GB2312"/>
          <w:sz w:val="32"/>
          <w:highlight w:val="none"/>
        </w:rPr>
        <w:t>2018</w:t>
      </w:r>
      <w:r>
        <w:rPr>
          <w:rFonts w:hint="eastAsia" w:ascii="仿宋_GB2312" w:eastAsia="仿宋_GB2312"/>
          <w:sz w:val="32"/>
          <w:highlight w:val="none"/>
        </w:rPr>
        <w:t>年</w:t>
      </w:r>
      <w:r>
        <w:rPr>
          <w:rFonts w:hint="default" w:ascii="仿宋_GB2312" w:eastAsia="仿宋_GB2312"/>
          <w:sz w:val="32"/>
          <w:highlight w:val="none"/>
        </w:rPr>
        <w:t>9</w:t>
      </w:r>
      <w:r>
        <w:rPr>
          <w:rFonts w:hint="eastAsia" w:ascii="仿宋_GB2312" w:eastAsia="仿宋_GB2312"/>
          <w:sz w:val="32"/>
          <w:highlight w:val="none"/>
        </w:rPr>
        <w:t>月至</w:t>
      </w:r>
      <w:r>
        <w:rPr>
          <w:rFonts w:hint="default" w:ascii="仿宋_GB2312" w:eastAsia="仿宋_GB2312"/>
          <w:sz w:val="32"/>
          <w:highlight w:val="none"/>
        </w:rPr>
        <w:t>202</w:t>
      </w:r>
      <w:r>
        <w:rPr>
          <w:rFonts w:hint="eastAsia" w:ascii="仿宋_GB2312" w:eastAsia="仿宋_GB2312"/>
          <w:sz w:val="32"/>
          <w:highlight w:val="none"/>
          <w:lang w:val="en-US" w:eastAsia="zh-CN"/>
        </w:rPr>
        <w:t>1</w:t>
      </w:r>
      <w:r>
        <w:rPr>
          <w:rFonts w:hint="eastAsia" w:ascii="仿宋_GB2312" w:eastAsia="仿宋_GB2312"/>
          <w:sz w:val="32"/>
          <w:highlight w:val="none"/>
        </w:rPr>
        <w:t>年底，累计制定了</w:t>
      </w:r>
      <w:r>
        <w:rPr>
          <w:rFonts w:hint="eastAsia" w:ascii="仿宋_GB2312" w:eastAsia="仿宋_GB2312"/>
          <w:sz w:val="32"/>
          <w:highlight w:val="none"/>
          <w:lang w:val="en-US" w:eastAsia="zh-CN"/>
        </w:rPr>
        <w:t>1</w:t>
      </w:r>
      <w:r>
        <w:rPr>
          <w:rFonts w:hint="eastAsia" w:ascii="仿宋_GB2312" w:eastAsia="仿宋_GB2312"/>
          <w:sz w:val="32"/>
          <w:highlight w:val="none"/>
        </w:rPr>
        <w:t>条预算绩效管理相关制度，对以往的制度进行完善或者修订</w:t>
      </w:r>
      <w:r>
        <w:rPr>
          <w:rFonts w:hint="eastAsia" w:ascii="仿宋_GB2312" w:eastAsia="仿宋_GB2312"/>
          <w:sz w:val="32"/>
          <w:highlight w:val="none"/>
          <w:lang w:val="en-US" w:eastAsia="zh-CN"/>
        </w:rPr>
        <w:t>0</w:t>
      </w:r>
      <w:r>
        <w:rPr>
          <w:rFonts w:hint="eastAsia" w:ascii="仿宋_GB2312" w:eastAsia="仿宋_GB2312"/>
          <w:sz w:val="32"/>
          <w:highlight w:val="none"/>
        </w:rPr>
        <w:t>条。</w:t>
      </w:r>
    </w:p>
    <w:p>
      <w:pPr>
        <w:pStyle w:val="7"/>
        <w:keepNext w:val="0"/>
        <w:keepLines w:val="0"/>
        <w:pageBreakBefore w:val="0"/>
        <w:widowControl/>
        <w:kinsoku/>
        <w:wordWrap/>
        <w:overflowPunct/>
        <w:topLinePunct w:val="0"/>
        <w:autoSpaceDE/>
        <w:bidi w:val="0"/>
        <w:adjustRightInd/>
        <w:snapToGrid/>
        <w:spacing w:before="0" w:beforeLines="0" w:after="0" w:afterLines="0" w:line="560" w:lineRule="exact"/>
        <w:ind w:left="0" w:leftChars="0" w:right="0" w:rightChars="0" w:firstLine="640"/>
        <w:jc w:val="both"/>
        <w:textAlignment w:val="auto"/>
        <w:outlineLvl w:val="9"/>
        <w:rPr>
          <w:rFonts w:hint="default" w:ascii="仿宋_GB2312" w:eastAsia="仿宋_GB2312"/>
          <w:sz w:val="32"/>
          <w:highlight w:val="none"/>
        </w:rPr>
      </w:pPr>
      <w:r>
        <w:rPr>
          <w:rFonts w:hint="eastAsia" w:ascii="仿宋_GB2312" w:eastAsia="仿宋_GB2312"/>
          <w:sz w:val="32"/>
          <w:highlight w:val="none"/>
        </w:rPr>
        <w:t>绩效监控管理方面。</w:t>
      </w:r>
      <w:r>
        <w:rPr>
          <w:rFonts w:hint="default" w:ascii="仿宋_GB2312" w:eastAsia="仿宋_GB2312"/>
          <w:sz w:val="32"/>
          <w:highlight w:val="none"/>
        </w:rPr>
        <w:t>202</w:t>
      </w:r>
      <w:r>
        <w:rPr>
          <w:rFonts w:hint="eastAsia" w:ascii="仿宋_GB2312" w:eastAsia="仿宋_GB2312"/>
          <w:sz w:val="32"/>
          <w:highlight w:val="none"/>
          <w:lang w:val="en-US" w:eastAsia="zh-CN"/>
        </w:rPr>
        <w:t>1</w:t>
      </w:r>
      <w:r>
        <w:rPr>
          <w:rFonts w:hint="eastAsia" w:ascii="仿宋_GB2312" w:eastAsia="仿宋_GB2312"/>
          <w:sz w:val="32"/>
          <w:highlight w:val="none"/>
        </w:rPr>
        <w:t>年特定目标类项目</w:t>
      </w:r>
      <w:r>
        <w:rPr>
          <w:rFonts w:hint="eastAsia" w:ascii="仿宋_GB2312" w:eastAsia="仿宋_GB2312"/>
          <w:sz w:val="32"/>
          <w:highlight w:val="none"/>
          <w:lang w:val="en-US" w:eastAsia="zh-CN"/>
        </w:rPr>
        <w:t>32</w:t>
      </w:r>
      <w:r>
        <w:rPr>
          <w:rFonts w:hint="eastAsia" w:ascii="仿宋_GB2312" w:eastAsia="仿宋_GB2312"/>
          <w:sz w:val="32"/>
          <w:highlight w:val="none"/>
        </w:rPr>
        <w:t>个，已对</w:t>
      </w:r>
      <w:r>
        <w:rPr>
          <w:rFonts w:hint="eastAsia" w:ascii="仿宋_GB2312" w:eastAsia="仿宋_GB2312"/>
          <w:sz w:val="32"/>
          <w:highlight w:val="none"/>
          <w:lang w:val="en-US" w:eastAsia="zh-CN"/>
        </w:rPr>
        <w:t>32</w:t>
      </w:r>
      <w:r>
        <w:rPr>
          <w:rFonts w:hint="eastAsia" w:ascii="仿宋_GB2312" w:eastAsia="仿宋_GB2312"/>
          <w:sz w:val="32"/>
          <w:highlight w:val="none"/>
        </w:rPr>
        <w:t>个特定目标类项目进行监控，占比</w:t>
      </w:r>
      <w:r>
        <w:rPr>
          <w:rFonts w:hint="eastAsia" w:ascii="仿宋_GB2312" w:eastAsia="仿宋_GB2312"/>
          <w:sz w:val="32"/>
          <w:highlight w:val="none"/>
          <w:lang w:val="en-US" w:eastAsia="zh-CN"/>
        </w:rPr>
        <w:t>100</w:t>
      </w:r>
      <w:r>
        <w:rPr>
          <w:rFonts w:hint="default" w:ascii="仿宋_GB2312" w:eastAsia="仿宋_GB2312"/>
          <w:sz w:val="32"/>
          <w:highlight w:val="none"/>
        </w:rPr>
        <w:t>%</w:t>
      </w:r>
      <w:r>
        <w:rPr>
          <w:rFonts w:hint="eastAsia" w:ascii="仿宋_GB2312" w:eastAsia="仿宋_GB2312"/>
          <w:sz w:val="32"/>
          <w:highlight w:val="none"/>
        </w:rPr>
        <w:t>，共涉及资金</w:t>
      </w:r>
      <w:r>
        <w:rPr>
          <w:rFonts w:hint="eastAsia" w:ascii="仿宋_GB2312" w:eastAsia="仿宋_GB2312"/>
          <w:sz w:val="32"/>
          <w:lang w:val="en-US" w:eastAsia="zh-CN"/>
        </w:rPr>
        <w:t>44826.25</w:t>
      </w:r>
      <w:r>
        <w:rPr>
          <w:rFonts w:hint="eastAsia" w:ascii="仿宋_GB2312" w:eastAsia="仿宋_GB2312"/>
          <w:sz w:val="32"/>
          <w:highlight w:val="none"/>
        </w:rPr>
        <w:t>万元，发现问题及时纠偏</w:t>
      </w:r>
      <w:r>
        <w:rPr>
          <w:rFonts w:hint="eastAsia" w:ascii="仿宋_GB2312" w:eastAsia="仿宋_GB2312"/>
          <w:sz w:val="32"/>
          <w:highlight w:val="none"/>
          <w:lang w:val="en-US" w:eastAsia="zh-CN"/>
        </w:rPr>
        <w:t>0</w:t>
      </w:r>
      <w:r>
        <w:rPr>
          <w:rFonts w:hint="eastAsia" w:ascii="仿宋_GB2312" w:eastAsia="仿宋_GB2312"/>
          <w:sz w:val="32"/>
          <w:highlight w:val="none"/>
        </w:rPr>
        <w:t>个问题。</w:t>
      </w:r>
    </w:p>
    <w:p>
      <w:pPr>
        <w:pStyle w:val="4"/>
        <w:spacing w:before="0" w:beforeAutospacing="0" w:after="0" w:afterAutospacing="0" w:line="450" w:lineRule="atLeast"/>
        <w:ind w:firstLine="640" w:firstLineChars="200"/>
        <w:contextualSpacing/>
        <w:rPr>
          <w:rFonts w:hint="eastAsia" w:ascii="仿宋" w:hAnsi="仿宋" w:eastAsia="仿宋"/>
          <w:bCs/>
          <w:sz w:val="32"/>
          <w:szCs w:val="32"/>
          <w:lang w:eastAsia="zh-CN"/>
        </w:rPr>
      </w:pPr>
      <w:r>
        <w:rPr>
          <w:rFonts w:hint="eastAsia" w:ascii="仿宋" w:hAnsi="仿宋" w:eastAsia="仿宋"/>
          <w:bCs/>
          <w:sz w:val="32"/>
          <w:szCs w:val="32"/>
        </w:rPr>
        <w:t>我</w:t>
      </w:r>
      <w:r>
        <w:rPr>
          <w:rFonts w:hint="eastAsia" w:ascii="仿宋" w:hAnsi="仿宋" w:eastAsia="仿宋"/>
          <w:bCs/>
          <w:sz w:val="32"/>
          <w:szCs w:val="32"/>
          <w:lang w:val="en-US" w:eastAsia="zh-CN"/>
        </w:rPr>
        <w:t>部门</w:t>
      </w:r>
      <w:r>
        <w:rPr>
          <w:rFonts w:ascii="仿宋" w:hAnsi="仿宋" w:eastAsia="仿宋"/>
          <w:bCs/>
          <w:sz w:val="32"/>
          <w:szCs w:val="32"/>
        </w:rPr>
        <w:t>进一步提高预算绩效管理认识，强化以“绩效为中心、对支出结果负责、对社会公众负责”的理念，加强预算绩效动态监控管理，及时跟踪项目进度，</w:t>
      </w:r>
      <w:r>
        <w:rPr>
          <w:rFonts w:hint="eastAsia" w:ascii="仿宋" w:hAnsi="仿宋" w:eastAsia="仿宋"/>
          <w:bCs/>
          <w:sz w:val="32"/>
          <w:szCs w:val="32"/>
          <w:lang w:eastAsia="zh-CN"/>
        </w:rPr>
        <w:t>组织</w:t>
      </w:r>
      <w:r>
        <w:rPr>
          <w:rFonts w:ascii="仿宋" w:hAnsi="仿宋" w:eastAsia="仿宋"/>
          <w:bCs/>
          <w:sz w:val="32"/>
          <w:szCs w:val="32"/>
        </w:rPr>
        <w:t>相关业务培训，进一步提高预算绩效评价质量</w:t>
      </w:r>
      <w:r>
        <w:rPr>
          <w:rFonts w:hint="eastAsia" w:ascii="仿宋" w:hAnsi="仿宋" w:eastAsia="仿宋"/>
          <w:bCs/>
          <w:sz w:val="32"/>
          <w:szCs w:val="32"/>
          <w:lang w:eastAsia="zh-CN"/>
        </w:rPr>
        <w:t>。</w:t>
      </w:r>
    </w:p>
    <w:p>
      <w:pPr>
        <w:widowControl/>
        <w:numPr>
          <w:ilvl w:val="0"/>
          <w:numId w:val="0"/>
        </w:numPr>
        <w:spacing w:line="560" w:lineRule="exact"/>
        <w:rPr>
          <w:rFonts w:hint="eastAsia" w:ascii="仿宋_GB2312" w:eastAsia="仿宋_GB2312"/>
          <w:sz w:val="32"/>
          <w:lang w:val="en-US" w:eastAsia="zh-CN"/>
        </w:rPr>
      </w:pPr>
    </w:p>
    <w:p>
      <w:pPr>
        <w:widowControl/>
        <w:spacing w:line="560" w:lineRule="exact"/>
        <w:ind w:firstLine="640" w:firstLineChars="200"/>
        <w:rPr>
          <w:rFonts w:hint="default" w:ascii="仿宋_GB2312" w:eastAsia="仿宋_GB2312"/>
          <w:sz w:val="32"/>
          <w:lang w:eastAsia="zh-CN"/>
        </w:rPr>
      </w:pPr>
    </w:p>
    <w:p>
      <w:pPr>
        <w:widowControl/>
        <w:spacing w:line="560" w:lineRule="exact"/>
        <w:ind w:firstLine="640" w:firstLineChars="200"/>
        <w:rPr>
          <w:rFonts w:hint="default" w:ascii="仿宋_GB2312" w:eastAsia="仿宋_GB2312"/>
          <w:sz w:val="32"/>
        </w:rPr>
      </w:pPr>
    </w:p>
    <w:p>
      <w:pPr>
        <w:widowControl/>
        <w:spacing w:line="240" w:lineRule="auto"/>
        <w:rPr>
          <w:rFonts w:hint="eastAsia" w:ascii="仿宋_GB2312" w:eastAsia="仿宋_GB2312"/>
          <w:sz w:val="32"/>
          <w:lang w:eastAsia="zh-CN"/>
        </w:rPr>
      </w:pPr>
    </w:p>
    <w:p>
      <w:pPr>
        <w:widowControl/>
        <w:spacing w:line="240" w:lineRule="auto"/>
        <w:rPr>
          <w:rFonts w:hint="eastAsia" w:ascii="仿宋_GB2312" w:eastAsia="仿宋_GB2312"/>
          <w:sz w:val="32"/>
          <w:lang w:eastAsia="zh-CN"/>
        </w:rPr>
      </w:pPr>
      <w:r>
        <w:rPr>
          <w:rFonts w:hint="eastAsia" w:ascii="仿宋_GB2312" w:eastAsia="仿宋_GB2312"/>
          <w:sz w:val="32"/>
          <w:lang w:eastAsia="zh-CN"/>
        </w:rPr>
        <w:drawing>
          <wp:inline distT="0" distB="0" distL="114300" distR="114300">
            <wp:extent cx="5763260" cy="8917940"/>
            <wp:effectExtent l="0" t="0" r="8890" b="16510"/>
            <wp:docPr id="23" name="图片 23" descr="548001沈阳市人力资源和社会保障局本级-210100000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48001沈阳市人力资源和社会保障局本级-210100000自评表"/>
                    <pic:cNvPicPr>
                      <a:picLocks noChangeAspect="1"/>
                    </pic:cNvPicPr>
                  </pic:nvPicPr>
                  <pic:blipFill>
                    <a:blip r:embed="rId6"/>
                    <a:stretch>
                      <a:fillRect/>
                    </a:stretch>
                  </pic:blipFill>
                  <pic:spPr>
                    <a:xfrm>
                      <a:off x="0" y="0"/>
                      <a:ext cx="5763260" cy="8917940"/>
                    </a:xfrm>
                    <a:prstGeom prst="rect">
                      <a:avLst/>
                    </a:prstGeom>
                  </pic:spPr>
                </pic:pic>
              </a:graphicData>
            </a:graphic>
          </wp:inline>
        </w:drawing>
      </w:r>
    </w:p>
    <w:p>
      <w:pPr>
        <w:widowControl/>
        <w:spacing w:line="240" w:lineRule="auto"/>
        <w:rPr>
          <w:rFonts w:hint="eastAsia" w:ascii="仿宋_GB2312" w:eastAsia="仿宋_GB2312"/>
          <w:sz w:val="32"/>
          <w:lang w:eastAsia="zh-CN"/>
        </w:rPr>
      </w:pPr>
      <w:r>
        <w:rPr>
          <w:rFonts w:hint="eastAsia" w:ascii="仿宋_GB2312" w:eastAsia="仿宋_GB2312"/>
          <w:sz w:val="32"/>
          <w:lang w:eastAsia="zh-CN"/>
        </w:rPr>
        <w:drawing>
          <wp:inline distT="0" distB="0" distL="114300" distR="114300">
            <wp:extent cx="5838825" cy="8775065"/>
            <wp:effectExtent l="0" t="0" r="9525" b="6985"/>
            <wp:docPr id="2" name="图片 2" descr="548002沈阳市人力资源服务与行政执法中心-210100000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48002沈阳市人力资源服务与行政执法中心-210100000自评表"/>
                    <pic:cNvPicPr>
                      <a:picLocks noChangeAspect="1"/>
                    </pic:cNvPicPr>
                  </pic:nvPicPr>
                  <pic:blipFill>
                    <a:blip r:embed="rId7"/>
                    <a:stretch>
                      <a:fillRect/>
                    </a:stretch>
                  </pic:blipFill>
                  <pic:spPr>
                    <a:xfrm>
                      <a:off x="0" y="0"/>
                      <a:ext cx="5838825" cy="8775065"/>
                    </a:xfrm>
                    <a:prstGeom prst="rect">
                      <a:avLst/>
                    </a:prstGeom>
                  </pic:spPr>
                </pic:pic>
              </a:graphicData>
            </a:graphic>
          </wp:inline>
        </w:drawing>
      </w:r>
    </w:p>
    <w:p>
      <w:pPr>
        <w:widowControl/>
        <w:spacing w:line="240" w:lineRule="auto"/>
        <w:rPr>
          <w:rFonts w:hint="eastAsia" w:ascii="仿宋_GB2312" w:eastAsia="仿宋_GB2312"/>
          <w:sz w:val="32"/>
          <w:lang w:eastAsia="zh-CN"/>
        </w:rPr>
      </w:pPr>
      <w:r>
        <w:drawing>
          <wp:inline distT="0" distB="0" distL="114300" distR="114300">
            <wp:extent cx="5267325" cy="8728710"/>
            <wp:effectExtent l="0" t="0" r="9525" b="152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8"/>
                    <a:stretch>
                      <a:fillRect/>
                    </a:stretch>
                  </pic:blipFill>
                  <pic:spPr>
                    <a:xfrm>
                      <a:off x="0" y="0"/>
                      <a:ext cx="5267325" cy="8728710"/>
                    </a:xfrm>
                    <a:prstGeom prst="rect">
                      <a:avLst/>
                    </a:prstGeom>
                    <a:noFill/>
                    <a:ln>
                      <a:noFill/>
                    </a:ln>
                  </pic:spPr>
                </pic:pic>
              </a:graphicData>
            </a:graphic>
          </wp:inline>
        </w:drawing>
      </w:r>
    </w:p>
    <w:p>
      <w:pPr>
        <w:widowControl/>
        <w:spacing w:line="240" w:lineRule="auto"/>
        <w:rPr>
          <w:rFonts w:hint="eastAsia" w:ascii="仿宋_GB2312" w:eastAsia="仿宋_GB2312"/>
          <w:sz w:val="32"/>
          <w:lang w:eastAsia="zh-CN"/>
        </w:rPr>
      </w:pPr>
      <w:r>
        <w:rPr>
          <w:rFonts w:hint="eastAsia" w:ascii="仿宋_GB2312" w:eastAsia="仿宋_GB2312"/>
          <w:sz w:val="32"/>
          <w:lang w:eastAsia="zh-CN"/>
        </w:rPr>
        <w:drawing>
          <wp:inline distT="0" distB="0" distL="114300" distR="114300">
            <wp:extent cx="5701030" cy="8096250"/>
            <wp:effectExtent l="0" t="0" r="13970" b="0"/>
            <wp:docPr id="1" name="图片 1" descr="“高级技师”购房补贴自评表_A1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高级技师”购房补贴自评表_A1R24"/>
                    <pic:cNvPicPr>
                      <a:picLocks noChangeAspect="1"/>
                    </pic:cNvPicPr>
                  </pic:nvPicPr>
                  <pic:blipFill>
                    <a:blip r:embed="rId9"/>
                    <a:stretch>
                      <a:fillRect/>
                    </a:stretch>
                  </pic:blipFill>
                  <pic:spPr>
                    <a:xfrm>
                      <a:off x="0" y="0"/>
                      <a:ext cx="5701030" cy="8096250"/>
                    </a:xfrm>
                    <a:prstGeom prst="rect">
                      <a:avLst/>
                    </a:prstGeom>
                  </pic:spPr>
                </pic:pic>
              </a:graphicData>
            </a:graphic>
          </wp:inline>
        </w:drawing>
      </w:r>
    </w:p>
    <w:p>
      <w:pPr>
        <w:widowControl/>
        <w:spacing w:line="240" w:lineRule="auto"/>
        <w:rPr>
          <w:rFonts w:hint="eastAsia" w:ascii="仿宋_GB2312" w:eastAsia="仿宋_GB2312"/>
          <w:sz w:val="32"/>
          <w:lang w:eastAsia="zh-CN"/>
        </w:rPr>
      </w:pPr>
      <w:r>
        <w:rPr>
          <w:rFonts w:hint="eastAsia" w:ascii="仿宋_GB2312" w:eastAsia="仿宋_GB2312"/>
          <w:sz w:val="32"/>
          <w:lang w:eastAsia="zh-CN"/>
        </w:rPr>
        <w:drawing>
          <wp:inline distT="0" distB="0" distL="114300" distR="114300">
            <wp:extent cx="5609590" cy="8121650"/>
            <wp:effectExtent l="0" t="0" r="10160" b="12700"/>
            <wp:docPr id="4" name="图片 4" descr="“双元制”校企合作补贴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双元制”校企合作补贴自评表"/>
                    <pic:cNvPicPr>
                      <a:picLocks noChangeAspect="1"/>
                    </pic:cNvPicPr>
                  </pic:nvPicPr>
                  <pic:blipFill>
                    <a:blip r:embed="rId10"/>
                    <a:stretch>
                      <a:fillRect/>
                    </a:stretch>
                  </pic:blipFill>
                  <pic:spPr>
                    <a:xfrm>
                      <a:off x="0" y="0"/>
                      <a:ext cx="5609590" cy="8121650"/>
                    </a:xfrm>
                    <a:prstGeom prst="rect">
                      <a:avLst/>
                    </a:prstGeom>
                  </pic:spPr>
                </pic:pic>
              </a:graphicData>
            </a:graphic>
          </wp:inline>
        </w:drawing>
      </w:r>
    </w:p>
    <w:p>
      <w:pPr>
        <w:widowControl/>
        <w:spacing w:line="240" w:lineRule="auto"/>
        <w:rPr>
          <w:rFonts w:hint="eastAsia" w:ascii="仿宋_GB2312" w:eastAsia="仿宋_GB2312"/>
          <w:sz w:val="32"/>
          <w:lang w:eastAsia="zh-CN"/>
        </w:rPr>
      </w:pPr>
      <w:r>
        <w:rPr>
          <w:rFonts w:hint="eastAsia" w:ascii="仿宋_GB2312" w:eastAsia="仿宋_GB2312"/>
          <w:sz w:val="32"/>
          <w:lang w:eastAsia="zh-CN"/>
        </w:rPr>
        <w:drawing>
          <wp:inline distT="0" distB="0" distL="114300" distR="114300">
            <wp:extent cx="5609590" cy="8115935"/>
            <wp:effectExtent l="0" t="0" r="10160" b="18415"/>
            <wp:docPr id="5" name="图片 5" descr="博士后培养工程资助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博士后培养工程资助自评表"/>
                    <pic:cNvPicPr>
                      <a:picLocks noChangeAspect="1"/>
                    </pic:cNvPicPr>
                  </pic:nvPicPr>
                  <pic:blipFill>
                    <a:blip r:embed="rId11"/>
                    <a:stretch>
                      <a:fillRect/>
                    </a:stretch>
                  </pic:blipFill>
                  <pic:spPr>
                    <a:xfrm>
                      <a:off x="0" y="0"/>
                      <a:ext cx="5609590" cy="8115935"/>
                    </a:xfrm>
                    <a:prstGeom prst="rect">
                      <a:avLst/>
                    </a:prstGeom>
                  </pic:spPr>
                </pic:pic>
              </a:graphicData>
            </a:graphic>
          </wp:inline>
        </w:drawing>
      </w:r>
    </w:p>
    <w:p>
      <w:pPr>
        <w:widowControl/>
        <w:spacing w:line="240" w:lineRule="auto"/>
        <w:rPr>
          <w:rFonts w:hint="eastAsia" w:ascii="仿宋_GB2312" w:eastAsia="仿宋_GB2312"/>
          <w:sz w:val="32"/>
          <w:lang w:eastAsia="zh-CN"/>
        </w:rPr>
      </w:pPr>
      <w:r>
        <w:rPr>
          <w:rFonts w:hint="eastAsia" w:ascii="仿宋_GB2312" w:eastAsia="仿宋_GB2312"/>
          <w:sz w:val="32"/>
          <w:lang w:eastAsia="zh-CN"/>
        </w:rPr>
        <w:drawing>
          <wp:inline distT="0" distB="0" distL="114300" distR="114300">
            <wp:extent cx="5609590" cy="8190230"/>
            <wp:effectExtent l="0" t="0" r="10160" b="1270"/>
            <wp:docPr id="6" name="图片 6" descr="高层次人才创新创业资助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高层次人才创新创业资助自评表"/>
                    <pic:cNvPicPr>
                      <a:picLocks noChangeAspect="1"/>
                    </pic:cNvPicPr>
                  </pic:nvPicPr>
                  <pic:blipFill>
                    <a:blip r:embed="rId12"/>
                    <a:stretch>
                      <a:fillRect/>
                    </a:stretch>
                  </pic:blipFill>
                  <pic:spPr>
                    <a:xfrm>
                      <a:off x="0" y="0"/>
                      <a:ext cx="5609590" cy="8190230"/>
                    </a:xfrm>
                    <a:prstGeom prst="rect">
                      <a:avLst/>
                    </a:prstGeom>
                  </pic:spPr>
                </pic:pic>
              </a:graphicData>
            </a:graphic>
          </wp:inline>
        </w:drawing>
      </w:r>
    </w:p>
    <w:p>
      <w:pPr>
        <w:widowControl/>
        <w:spacing w:line="240" w:lineRule="auto"/>
        <w:rPr>
          <w:rFonts w:hint="eastAsia" w:ascii="仿宋_GB2312" w:eastAsia="仿宋_GB2312"/>
          <w:sz w:val="32"/>
          <w:lang w:eastAsia="zh-CN"/>
        </w:rPr>
      </w:pPr>
      <w:r>
        <w:rPr>
          <w:rFonts w:hint="eastAsia" w:ascii="仿宋_GB2312" w:eastAsia="仿宋_GB2312"/>
          <w:sz w:val="32"/>
          <w:lang w:eastAsia="zh-CN"/>
        </w:rPr>
        <w:drawing>
          <wp:inline distT="0" distB="0" distL="114300" distR="114300">
            <wp:extent cx="5813425" cy="8214995"/>
            <wp:effectExtent l="0" t="0" r="15875" b="14605"/>
            <wp:docPr id="7" name="图片 7" descr="高层次人才税收补贴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高层次人才税收补贴自评表"/>
                    <pic:cNvPicPr>
                      <a:picLocks noChangeAspect="1"/>
                    </pic:cNvPicPr>
                  </pic:nvPicPr>
                  <pic:blipFill>
                    <a:blip r:embed="rId13"/>
                    <a:stretch>
                      <a:fillRect/>
                    </a:stretch>
                  </pic:blipFill>
                  <pic:spPr>
                    <a:xfrm>
                      <a:off x="0" y="0"/>
                      <a:ext cx="5813425" cy="8214995"/>
                    </a:xfrm>
                    <a:prstGeom prst="rect">
                      <a:avLst/>
                    </a:prstGeom>
                  </pic:spPr>
                </pic:pic>
              </a:graphicData>
            </a:graphic>
          </wp:inline>
        </w:drawing>
      </w:r>
    </w:p>
    <w:p>
      <w:pPr>
        <w:widowControl/>
        <w:spacing w:line="240" w:lineRule="auto"/>
        <w:rPr>
          <w:rFonts w:hint="eastAsia" w:ascii="仿宋_GB2312" w:eastAsia="仿宋_GB2312"/>
          <w:sz w:val="32"/>
          <w:lang w:eastAsia="zh-CN"/>
        </w:rPr>
      </w:pPr>
      <w:r>
        <w:rPr>
          <w:rFonts w:hint="eastAsia" w:ascii="仿宋_GB2312" w:eastAsia="仿宋_GB2312"/>
          <w:sz w:val="32"/>
          <w:lang w:eastAsia="zh-CN"/>
        </w:rPr>
        <w:drawing>
          <wp:inline distT="0" distB="0" distL="114300" distR="114300">
            <wp:extent cx="5786755" cy="8225790"/>
            <wp:effectExtent l="0" t="0" r="4445" b="3810"/>
            <wp:docPr id="9" name="图片 9" descr="高技能人才培育基地建设经费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高技能人才培育基地建设经费自评表"/>
                    <pic:cNvPicPr>
                      <a:picLocks noChangeAspect="1"/>
                    </pic:cNvPicPr>
                  </pic:nvPicPr>
                  <pic:blipFill>
                    <a:blip r:embed="rId14"/>
                    <a:stretch>
                      <a:fillRect/>
                    </a:stretch>
                  </pic:blipFill>
                  <pic:spPr>
                    <a:xfrm>
                      <a:off x="0" y="0"/>
                      <a:ext cx="5786755" cy="8225790"/>
                    </a:xfrm>
                    <a:prstGeom prst="rect">
                      <a:avLst/>
                    </a:prstGeom>
                  </pic:spPr>
                </pic:pic>
              </a:graphicData>
            </a:graphic>
          </wp:inline>
        </w:drawing>
      </w:r>
    </w:p>
    <w:p>
      <w:pPr>
        <w:widowControl/>
        <w:spacing w:line="240" w:lineRule="auto"/>
        <w:rPr>
          <w:rFonts w:hint="eastAsia" w:ascii="仿宋_GB2312" w:eastAsia="仿宋_GB2312"/>
          <w:sz w:val="32"/>
          <w:lang w:eastAsia="zh-CN"/>
        </w:rPr>
      </w:pPr>
      <w:r>
        <w:rPr>
          <w:rFonts w:hint="eastAsia" w:ascii="仿宋_GB2312" w:eastAsia="仿宋_GB2312"/>
          <w:sz w:val="32"/>
          <w:lang w:eastAsia="zh-CN"/>
        </w:rPr>
        <w:drawing>
          <wp:inline distT="0" distB="0" distL="114300" distR="114300">
            <wp:extent cx="5609590" cy="8136255"/>
            <wp:effectExtent l="0" t="0" r="10160" b="17145"/>
            <wp:docPr id="10" name="图片 10" descr="候鸟型人才工作站奖励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候鸟型人才工作站奖励自评表"/>
                    <pic:cNvPicPr>
                      <a:picLocks noChangeAspect="1"/>
                    </pic:cNvPicPr>
                  </pic:nvPicPr>
                  <pic:blipFill>
                    <a:blip r:embed="rId15"/>
                    <a:stretch>
                      <a:fillRect/>
                    </a:stretch>
                  </pic:blipFill>
                  <pic:spPr>
                    <a:xfrm>
                      <a:off x="0" y="0"/>
                      <a:ext cx="5609590" cy="8136255"/>
                    </a:xfrm>
                    <a:prstGeom prst="rect">
                      <a:avLst/>
                    </a:prstGeom>
                  </pic:spPr>
                </pic:pic>
              </a:graphicData>
            </a:graphic>
          </wp:inline>
        </w:drawing>
      </w:r>
    </w:p>
    <w:p>
      <w:pPr>
        <w:widowControl/>
        <w:spacing w:line="240" w:lineRule="auto"/>
        <w:rPr>
          <w:rFonts w:hint="eastAsia" w:ascii="仿宋_GB2312" w:eastAsia="仿宋_GB2312"/>
          <w:sz w:val="32"/>
          <w:lang w:eastAsia="zh-CN"/>
        </w:rPr>
      </w:pPr>
      <w:r>
        <w:rPr>
          <w:rFonts w:hint="eastAsia" w:ascii="仿宋_GB2312" w:eastAsia="仿宋_GB2312"/>
          <w:sz w:val="32"/>
          <w:lang w:eastAsia="zh-CN"/>
        </w:rPr>
        <w:drawing>
          <wp:inline distT="0" distB="0" distL="114300" distR="114300">
            <wp:extent cx="5732145" cy="8084820"/>
            <wp:effectExtent l="0" t="0" r="1905" b="11430"/>
            <wp:docPr id="11" name="图片 11" descr="技能人才选拔激励奖励资金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技能人才选拔激励奖励资金自评表"/>
                    <pic:cNvPicPr>
                      <a:picLocks noChangeAspect="1"/>
                    </pic:cNvPicPr>
                  </pic:nvPicPr>
                  <pic:blipFill>
                    <a:blip r:embed="rId16"/>
                    <a:stretch>
                      <a:fillRect/>
                    </a:stretch>
                  </pic:blipFill>
                  <pic:spPr>
                    <a:xfrm>
                      <a:off x="0" y="0"/>
                      <a:ext cx="5732145" cy="8084820"/>
                    </a:xfrm>
                    <a:prstGeom prst="rect">
                      <a:avLst/>
                    </a:prstGeom>
                  </pic:spPr>
                </pic:pic>
              </a:graphicData>
            </a:graphic>
          </wp:inline>
        </w:drawing>
      </w:r>
    </w:p>
    <w:p>
      <w:pPr>
        <w:widowControl/>
        <w:spacing w:line="240" w:lineRule="auto"/>
        <w:rPr>
          <w:rFonts w:hint="eastAsia" w:ascii="仿宋_GB2312" w:eastAsia="仿宋_GB2312"/>
          <w:sz w:val="32"/>
          <w:lang w:eastAsia="zh-CN"/>
        </w:rPr>
      </w:pPr>
      <w:r>
        <w:rPr>
          <w:rFonts w:hint="eastAsia" w:ascii="仿宋_GB2312" w:eastAsia="仿宋_GB2312"/>
          <w:sz w:val="32"/>
          <w:lang w:eastAsia="zh-CN"/>
        </w:rPr>
        <w:drawing>
          <wp:inline distT="0" distB="0" distL="114300" distR="114300">
            <wp:extent cx="5609590" cy="8278495"/>
            <wp:effectExtent l="0" t="0" r="10160" b="8255"/>
            <wp:docPr id="12" name="图片 12" descr="中青科技英才培养工程奖励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中青科技英才培养工程奖励自评表"/>
                    <pic:cNvPicPr>
                      <a:picLocks noChangeAspect="1"/>
                    </pic:cNvPicPr>
                  </pic:nvPicPr>
                  <pic:blipFill>
                    <a:blip r:embed="rId17"/>
                    <a:stretch>
                      <a:fillRect/>
                    </a:stretch>
                  </pic:blipFill>
                  <pic:spPr>
                    <a:xfrm>
                      <a:off x="0" y="0"/>
                      <a:ext cx="5609590" cy="8278495"/>
                    </a:xfrm>
                    <a:prstGeom prst="rect">
                      <a:avLst/>
                    </a:prstGeom>
                  </pic:spPr>
                </pic:pic>
              </a:graphicData>
            </a:graphic>
          </wp:inline>
        </w:drawing>
      </w:r>
    </w:p>
    <w:p>
      <w:pPr>
        <w:widowControl/>
        <w:spacing w:line="240" w:lineRule="auto"/>
        <w:rPr>
          <w:rFonts w:hint="eastAsia" w:ascii="仿宋_GB2312" w:eastAsia="仿宋_GB2312"/>
          <w:sz w:val="32"/>
          <w:lang w:eastAsia="zh-CN"/>
        </w:rPr>
      </w:pPr>
      <w:r>
        <w:rPr>
          <w:rFonts w:hint="eastAsia" w:ascii="仿宋_GB2312" w:eastAsia="仿宋_GB2312"/>
          <w:sz w:val="32"/>
          <w:lang w:eastAsia="zh-CN"/>
        </w:rPr>
        <w:drawing>
          <wp:inline distT="0" distB="0" distL="114300" distR="114300">
            <wp:extent cx="5609590" cy="8182610"/>
            <wp:effectExtent l="0" t="0" r="10160" b="8890"/>
            <wp:docPr id="13" name="图片 13" descr="紧缺急需人才目录编制和奖励补贴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紧缺急需人才目录编制和奖励补贴自评表"/>
                    <pic:cNvPicPr>
                      <a:picLocks noChangeAspect="1"/>
                    </pic:cNvPicPr>
                  </pic:nvPicPr>
                  <pic:blipFill>
                    <a:blip r:embed="rId18"/>
                    <a:stretch>
                      <a:fillRect/>
                    </a:stretch>
                  </pic:blipFill>
                  <pic:spPr>
                    <a:xfrm>
                      <a:off x="0" y="0"/>
                      <a:ext cx="5609590" cy="8182610"/>
                    </a:xfrm>
                    <a:prstGeom prst="rect">
                      <a:avLst/>
                    </a:prstGeom>
                  </pic:spPr>
                </pic:pic>
              </a:graphicData>
            </a:graphic>
          </wp:inline>
        </w:drawing>
      </w:r>
    </w:p>
    <w:p>
      <w:pPr>
        <w:widowControl/>
        <w:spacing w:line="240" w:lineRule="auto"/>
        <w:rPr>
          <w:rFonts w:hint="eastAsia" w:ascii="仿宋_GB2312" w:eastAsia="仿宋_GB2312"/>
          <w:sz w:val="32"/>
          <w:lang w:eastAsia="zh-CN"/>
        </w:rPr>
      </w:pPr>
      <w:r>
        <w:rPr>
          <w:rFonts w:hint="eastAsia" w:ascii="仿宋_GB2312" w:eastAsia="仿宋_GB2312"/>
          <w:sz w:val="32"/>
          <w:lang w:eastAsia="zh-CN"/>
        </w:rPr>
        <w:drawing>
          <wp:inline distT="0" distB="0" distL="114300" distR="114300">
            <wp:extent cx="5609590" cy="8136890"/>
            <wp:effectExtent l="0" t="0" r="10160" b="16510"/>
            <wp:docPr id="14" name="图片 14" descr="开展专家服务基层工作经费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开展专家服务基层工作经费自评表"/>
                    <pic:cNvPicPr>
                      <a:picLocks noChangeAspect="1"/>
                    </pic:cNvPicPr>
                  </pic:nvPicPr>
                  <pic:blipFill>
                    <a:blip r:embed="rId19"/>
                    <a:stretch>
                      <a:fillRect/>
                    </a:stretch>
                  </pic:blipFill>
                  <pic:spPr>
                    <a:xfrm>
                      <a:off x="0" y="0"/>
                      <a:ext cx="5609590" cy="8136890"/>
                    </a:xfrm>
                    <a:prstGeom prst="rect">
                      <a:avLst/>
                    </a:prstGeom>
                  </pic:spPr>
                </pic:pic>
              </a:graphicData>
            </a:graphic>
          </wp:inline>
        </w:drawing>
      </w:r>
    </w:p>
    <w:p>
      <w:pPr>
        <w:widowControl/>
        <w:spacing w:line="240" w:lineRule="auto"/>
        <w:rPr>
          <w:rFonts w:hint="eastAsia" w:ascii="仿宋_GB2312" w:eastAsia="仿宋_GB2312"/>
          <w:sz w:val="32"/>
          <w:lang w:eastAsia="zh-CN"/>
        </w:rPr>
      </w:pPr>
      <w:r>
        <w:rPr>
          <w:rFonts w:hint="eastAsia" w:ascii="仿宋_GB2312" w:eastAsia="仿宋_GB2312"/>
          <w:sz w:val="32"/>
          <w:lang w:eastAsia="zh-CN"/>
        </w:rPr>
        <w:drawing>
          <wp:inline distT="0" distB="0" distL="114300" distR="114300">
            <wp:extent cx="5777865" cy="8492490"/>
            <wp:effectExtent l="0" t="0" r="13335" b="3810"/>
            <wp:docPr id="15" name="图片 15" descr="留学归国博士创新创业补贴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留学归国博士创新创业补贴自评表"/>
                    <pic:cNvPicPr>
                      <a:picLocks noChangeAspect="1"/>
                    </pic:cNvPicPr>
                  </pic:nvPicPr>
                  <pic:blipFill>
                    <a:blip r:embed="rId20"/>
                    <a:stretch>
                      <a:fillRect/>
                    </a:stretch>
                  </pic:blipFill>
                  <pic:spPr>
                    <a:xfrm>
                      <a:off x="0" y="0"/>
                      <a:ext cx="5777865" cy="8492490"/>
                    </a:xfrm>
                    <a:prstGeom prst="rect">
                      <a:avLst/>
                    </a:prstGeom>
                  </pic:spPr>
                </pic:pic>
              </a:graphicData>
            </a:graphic>
          </wp:inline>
        </w:drawing>
      </w:r>
    </w:p>
    <w:p>
      <w:pPr>
        <w:pStyle w:val="7"/>
        <w:spacing w:line="240" w:lineRule="auto"/>
        <w:rPr>
          <w:rFonts w:hint="eastAsia" w:ascii="仿宋_GB2312" w:eastAsia="仿宋_GB2312"/>
          <w:sz w:val="32"/>
          <w:lang w:eastAsia="zh-CN"/>
        </w:rPr>
      </w:pPr>
      <w:r>
        <w:rPr>
          <w:rFonts w:hint="eastAsia" w:ascii="仿宋_GB2312" w:eastAsia="仿宋_GB2312"/>
          <w:sz w:val="32"/>
          <w:lang w:eastAsia="zh-CN"/>
        </w:rPr>
        <w:drawing>
          <wp:inline distT="0" distB="0" distL="114300" distR="114300">
            <wp:extent cx="5609590" cy="8465820"/>
            <wp:effectExtent l="0" t="0" r="10160" b="11430"/>
            <wp:docPr id="16" name="图片 16" descr="落实沈阳市政府特殊津贴制度经费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落实沈阳市政府特殊津贴制度经费自评表"/>
                    <pic:cNvPicPr>
                      <a:picLocks noChangeAspect="1"/>
                    </pic:cNvPicPr>
                  </pic:nvPicPr>
                  <pic:blipFill>
                    <a:blip r:embed="rId21"/>
                    <a:stretch>
                      <a:fillRect/>
                    </a:stretch>
                  </pic:blipFill>
                  <pic:spPr>
                    <a:xfrm>
                      <a:off x="0" y="0"/>
                      <a:ext cx="5609590" cy="8465820"/>
                    </a:xfrm>
                    <a:prstGeom prst="rect">
                      <a:avLst/>
                    </a:prstGeom>
                  </pic:spPr>
                </pic:pic>
              </a:graphicData>
            </a:graphic>
          </wp:inline>
        </w:drawing>
      </w:r>
    </w:p>
    <w:p>
      <w:pPr>
        <w:pStyle w:val="7"/>
        <w:spacing w:line="240" w:lineRule="auto"/>
        <w:rPr>
          <w:rFonts w:hint="eastAsia" w:ascii="仿宋_GB2312" w:eastAsia="仿宋_GB2312"/>
          <w:sz w:val="32"/>
          <w:lang w:eastAsia="zh-CN"/>
        </w:rPr>
      </w:pPr>
      <w:r>
        <w:rPr>
          <w:rFonts w:hint="eastAsia" w:ascii="仿宋_GB2312" w:eastAsia="仿宋_GB2312"/>
          <w:sz w:val="32"/>
          <w:lang w:eastAsia="zh-CN"/>
        </w:rPr>
        <w:drawing>
          <wp:inline distT="0" distB="0" distL="114300" distR="114300">
            <wp:extent cx="5609590" cy="8047990"/>
            <wp:effectExtent l="0" t="0" r="10160" b="10160"/>
            <wp:docPr id="17" name="图片 17" descr="乡村振兴人才奖励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乡村振兴人才奖励自评表"/>
                    <pic:cNvPicPr>
                      <a:picLocks noChangeAspect="1"/>
                    </pic:cNvPicPr>
                  </pic:nvPicPr>
                  <pic:blipFill>
                    <a:blip r:embed="rId22"/>
                    <a:stretch>
                      <a:fillRect/>
                    </a:stretch>
                  </pic:blipFill>
                  <pic:spPr>
                    <a:xfrm>
                      <a:off x="0" y="0"/>
                      <a:ext cx="5609590" cy="8047990"/>
                    </a:xfrm>
                    <a:prstGeom prst="rect">
                      <a:avLst/>
                    </a:prstGeom>
                  </pic:spPr>
                </pic:pic>
              </a:graphicData>
            </a:graphic>
          </wp:inline>
        </w:drawing>
      </w:r>
    </w:p>
    <w:p>
      <w:pPr>
        <w:pStyle w:val="7"/>
        <w:spacing w:line="240" w:lineRule="auto"/>
        <w:rPr>
          <w:rFonts w:hint="eastAsia" w:ascii="仿宋_GB2312" w:eastAsia="仿宋_GB2312"/>
          <w:sz w:val="32"/>
          <w:lang w:eastAsia="zh-CN"/>
        </w:rPr>
      </w:pPr>
      <w:r>
        <w:rPr>
          <w:rFonts w:hint="eastAsia" w:ascii="仿宋_GB2312" w:eastAsia="仿宋_GB2312"/>
          <w:sz w:val="32"/>
          <w:lang w:eastAsia="zh-CN"/>
        </w:rPr>
        <w:drawing>
          <wp:inline distT="0" distB="0" distL="114300" distR="114300">
            <wp:extent cx="5609590" cy="8126095"/>
            <wp:effectExtent l="0" t="0" r="10160" b="8255"/>
            <wp:docPr id="18" name="图片 18" descr="引博工程资助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引博工程资助自评表"/>
                    <pic:cNvPicPr>
                      <a:picLocks noChangeAspect="1"/>
                    </pic:cNvPicPr>
                  </pic:nvPicPr>
                  <pic:blipFill>
                    <a:blip r:embed="rId23"/>
                    <a:stretch>
                      <a:fillRect/>
                    </a:stretch>
                  </pic:blipFill>
                  <pic:spPr>
                    <a:xfrm>
                      <a:off x="0" y="0"/>
                      <a:ext cx="5609590" cy="8126095"/>
                    </a:xfrm>
                    <a:prstGeom prst="rect">
                      <a:avLst/>
                    </a:prstGeom>
                  </pic:spPr>
                </pic:pic>
              </a:graphicData>
            </a:graphic>
          </wp:inline>
        </w:drawing>
      </w:r>
    </w:p>
    <w:p>
      <w:pPr>
        <w:pStyle w:val="7"/>
        <w:spacing w:line="240" w:lineRule="auto"/>
        <w:rPr>
          <w:rFonts w:hint="eastAsia" w:ascii="仿宋_GB2312" w:eastAsia="仿宋_GB2312"/>
          <w:sz w:val="32"/>
          <w:lang w:eastAsia="zh-CN"/>
        </w:rPr>
      </w:pPr>
      <w:r>
        <w:rPr>
          <w:rFonts w:hint="eastAsia" w:ascii="仿宋_GB2312" w:eastAsia="仿宋_GB2312"/>
          <w:sz w:val="32"/>
          <w:lang w:eastAsia="zh-CN"/>
        </w:rPr>
        <w:drawing>
          <wp:inline distT="0" distB="0" distL="114300" distR="114300">
            <wp:extent cx="5609590" cy="8167370"/>
            <wp:effectExtent l="0" t="0" r="10160" b="5080"/>
            <wp:docPr id="19" name="图片 19" descr="优秀高技能人才项目奖励经费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优秀高技能人才项目奖励经费自评表"/>
                    <pic:cNvPicPr>
                      <a:picLocks noChangeAspect="1"/>
                    </pic:cNvPicPr>
                  </pic:nvPicPr>
                  <pic:blipFill>
                    <a:blip r:embed="rId24"/>
                    <a:stretch>
                      <a:fillRect/>
                    </a:stretch>
                  </pic:blipFill>
                  <pic:spPr>
                    <a:xfrm>
                      <a:off x="0" y="0"/>
                      <a:ext cx="5609590" cy="8167370"/>
                    </a:xfrm>
                    <a:prstGeom prst="rect">
                      <a:avLst/>
                    </a:prstGeom>
                  </pic:spPr>
                </pic:pic>
              </a:graphicData>
            </a:graphic>
          </wp:inline>
        </w:drawing>
      </w:r>
    </w:p>
    <w:p>
      <w:pPr>
        <w:pStyle w:val="7"/>
        <w:spacing w:line="240" w:lineRule="auto"/>
        <w:rPr>
          <w:rFonts w:hint="eastAsia" w:ascii="仿宋_GB2312" w:eastAsia="仿宋_GB2312"/>
          <w:sz w:val="32"/>
          <w:lang w:eastAsia="zh-CN"/>
        </w:rPr>
      </w:pPr>
      <w:r>
        <w:rPr>
          <w:rFonts w:hint="eastAsia" w:ascii="仿宋_GB2312" w:eastAsia="仿宋_GB2312"/>
          <w:sz w:val="32"/>
          <w:lang w:eastAsia="zh-CN"/>
        </w:rPr>
        <w:drawing>
          <wp:inline distT="0" distB="0" distL="114300" distR="114300">
            <wp:extent cx="5737225" cy="8082915"/>
            <wp:effectExtent l="0" t="0" r="15875" b="13335"/>
            <wp:docPr id="20" name="图片 20" descr="院校输送毕业生奖励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院校输送毕业生奖励自评表"/>
                    <pic:cNvPicPr>
                      <a:picLocks noChangeAspect="1"/>
                    </pic:cNvPicPr>
                  </pic:nvPicPr>
                  <pic:blipFill>
                    <a:blip r:embed="rId25"/>
                    <a:stretch>
                      <a:fillRect/>
                    </a:stretch>
                  </pic:blipFill>
                  <pic:spPr>
                    <a:xfrm>
                      <a:off x="0" y="0"/>
                      <a:ext cx="5737225" cy="8082915"/>
                    </a:xfrm>
                    <a:prstGeom prst="rect">
                      <a:avLst/>
                    </a:prstGeom>
                  </pic:spPr>
                </pic:pic>
              </a:graphicData>
            </a:graphic>
          </wp:inline>
        </w:drawing>
      </w:r>
    </w:p>
    <w:p>
      <w:pPr>
        <w:pStyle w:val="7"/>
        <w:spacing w:line="240" w:lineRule="auto"/>
        <w:rPr>
          <w:rFonts w:hint="eastAsia" w:ascii="仿宋_GB2312" w:eastAsia="仿宋_GB2312"/>
          <w:sz w:val="32"/>
          <w:lang w:eastAsia="zh-CN"/>
        </w:rPr>
      </w:pPr>
      <w:r>
        <w:rPr>
          <w:rFonts w:hint="eastAsia" w:ascii="仿宋_GB2312" w:eastAsia="仿宋_GB2312"/>
          <w:sz w:val="32"/>
          <w:lang w:eastAsia="zh-CN"/>
        </w:rPr>
        <w:drawing>
          <wp:inline distT="0" distB="0" distL="114300" distR="114300">
            <wp:extent cx="5750560" cy="8081010"/>
            <wp:effectExtent l="0" t="0" r="2540" b="15240"/>
            <wp:docPr id="21" name="图片 21" descr="中介组织和个人引进人才及团队奖励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中介组织和个人引进人才及团队奖励自评表"/>
                    <pic:cNvPicPr>
                      <a:picLocks noChangeAspect="1"/>
                    </pic:cNvPicPr>
                  </pic:nvPicPr>
                  <pic:blipFill>
                    <a:blip r:embed="rId26"/>
                    <a:stretch>
                      <a:fillRect/>
                    </a:stretch>
                  </pic:blipFill>
                  <pic:spPr>
                    <a:xfrm>
                      <a:off x="0" y="0"/>
                      <a:ext cx="5750560" cy="8081010"/>
                    </a:xfrm>
                    <a:prstGeom prst="rect">
                      <a:avLst/>
                    </a:prstGeom>
                  </pic:spPr>
                </pic:pic>
              </a:graphicData>
            </a:graphic>
          </wp:inline>
        </w:drawing>
      </w:r>
    </w:p>
    <w:p>
      <w:pPr>
        <w:pStyle w:val="7"/>
        <w:spacing w:line="240" w:lineRule="auto"/>
        <w:rPr>
          <w:rFonts w:hint="default" w:ascii="仿宋_GB2312" w:eastAsia="仿宋_GB2312"/>
          <w:sz w:val="32"/>
          <w:lang w:eastAsia="zh-CN"/>
        </w:rPr>
      </w:pPr>
      <w:r>
        <w:rPr>
          <w:rFonts w:hint="default" w:ascii="仿宋_GB2312" w:eastAsia="仿宋_GB2312"/>
          <w:sz w:val="32"/>
          <w:lang w:eastAsia="zh-CN"/>
        </w:rPr>
        <w:drawing>
          <wp:inline distT="0" distB="0" distL="114300" distR="114300">
            <wp:extent cx="5775325" cy="8850630"/>
            <wp:effectExtent l="0" t="0" r="15875" b="7620"/>
            <wp:docPr id="8" name="图片 8" descr="“盛京大工匠”评选经费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盛京大工匠”评选经费自评表"/>
                    <pic:cNvPicPr>
                      <a:picLocks noChangeAspect="1"/>
                    </pic:cNvPicPr>
                  </pic:nvPicPr>
                  <pic:blipFill>
                    <a:blip r:embed="rId27"/>
                    <a:stretch>
                      <a:fillRect/>
                    </a:stretch>
                  </pic:blipFill>
                  <pic:spPr>
                    <a:xfrm>
                      <a:off x="0" y="0"/>
                      <a:ext cx="5775325" cy="8850630"/>
                    </a:xfrm>
                    <a:prstGeom prst="rect">
                      <a:avLst/>
                    </a:prstGeom>
                  </pic:spPr>
                </pic:pic>
              </a:graphicData>
            </a:graphic>
          </wp:inline>
        </w:drawing>
      </w:r>
    </w:p>
    <w:p>
      <w:pPr>
        <w:pStyle w:val="7"/>
        <w:spacing w:line="240" w:lineRule="auto"/>
        <w:rPr>
          <w:rFonts w:hint="default" w:ascii="仿宋_GB2312" w:eastAsia="仿宋_GB2312"/>
          <w:sz w:val="32"/>
          <w:lang w:eastAsia="zh-CN"/>
        </w:rPr>
      </w:pPr>
      <w:r>
        <w:rPr>
          <w:rFonts w:hint="default" w:ascii="仿宋_GB2312" w:eastAsia="仿宋_GB2312"/>
          <w:sz w:val="32"/>
          <w:lang w:eastAsia="zh-CN"/>
        </w:rPr>
        <w:drawing>
          <wp:inline distT="0" distB="0" distL="114300" distR="114300">
            <wp:extent cx="5609590" cy="8347710"/>
            <wp:effectExtent l="0" t="0" r="10160" b="15240"/>
            <wp:docPr id="34" name="图片 34" descr="548001沈阳市人力资源和社会保障局本级-210100000“招才引智”系列招聘活动经费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48001沈阳市人力资源和社会保障局本级-210100000“招才引智”系列招聘活动经费自评表"/>
                    <pic:cNvPicPr>
                      <a:picLocks noChangeAspect="1"/>
                    </pic:cNvPicPr>
                  </pic:nvPicPr>
                  <pic:blipFill>
                    <a:blip r:embed="rId28"/>
                    <a:stretch>
                      <a:fillRect/>
                    </a:stretch>
                  </pic:blipFill>
                  <pic:spPr>
                    <a:xfrm>
                      <a:off x="0" y="0"/>
                      <a:ext cx="5609590" cy="8347710"/>
                    </a:xfrm>
                    <a:prstGeom prst="rect">
                      <a:avLst/>
                    </a:prstGeom>
                  </pic:spPr>
                </pic:pic>
              </a:graphicData>
            </a:graphic>
          </wp:inline>
        </w:drawing>
      </w:r>
    </w:p>
    <w:p>
      <w:pPr>
        <w:pStyle w:val="7"/>
        <w:spacing w:line="240" w:lineRule="auto"/>
        <w:rPr>
          <w:rFonts w:hint="default" w:ascii="仿宋_GB2312" w:eastAsia="仿宋_GB2312"/>
          <w:sz w:val="32"/>
          <w:lang w:eastAsia="zh-CN"/>
        </w:rPr>
      </w:pPr>
      <w:r>
        <w:rPr>
          <w:rFonts w:hint="default" w:ascii="仿宋_GB2312" w:eastAsia="仿宋_GB2312"/>
          <w:sz w:val="32"/>
          <w:lang w:eastAsia="zh-CN"/>
        </w:rPr>
        <w:drawing>
          <wp:inline distT="0" distB="0" distL="114300" distR="114300">
            <wp:extent cx="5903595" cy="8201660"/>
            <wp:effectExtent l="0" t="0" r="1905" b="8890"/>
            <wp:docPr id="35" name="图片 35" descr="548001沈阳市人力资源和社会保障局本级-210100000高精尖优才集聚工程奖励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548001沈阳市人力资源和社会保障局本级-210100000高精尖优才集聚工程奖励自评表"/>
                    <pic:cNvPicPr>
                      <a:picLocks noChangeAspect="1"/>
                    </pic:cNvPicPr>
                  </pic:nvPicPr>
                  <pic:blipFill>
                    <a:blip r:embed="rId29"/>
                    <a:stretch>
                      <a:fillRect/>
                    </a:stretch>
                  </pic:blipFill>
                  <pic:spPr>
                    <a:xfrm>
                      <a:off x="0" y="0"/>
                      <a:ext cx="5903595" cy="8201660"/>
                    </a:xfrm>
                    <a:prstGeom prst="rect">
                      <a:avLst/>
                    </a:prstGeom>
                  </pic:spPr>
                </pic:pic>
              </a:graphicData>
            </a:graphic>
          </wp:inline>
        </w:drawing>
      </w:r>
    </w:p>
    <w:p>
      <w:pPr>
        <w:pStyle w:val="7"/>
        <w:spacing w:line="240" w:lineRule="auto"/>
        <w:rPr>
          <w:rFonts w:hint="default" w:ascii="仿宋_GB2312" w:eastAsia="仿宋_GB2312"/>
          <w:sz w:val="32"/>
          <w:lang w:eastAsia="zh-CN"/>
        </w:rPr>
      </w:pPr>
      <w:r>
        <w:rPr>
          <w:rFonts w:hint="default" w:ascii="仿宋_GB2312" w:eastAsia="仿宋_GB2312"/>
          <w:sz w:val="32"/>
          <w:lang w:eastAsia="zh-CN"/>
        </w:rPr>
        <w:drawing>
          <wp:inline distT="0" distB="0" distL="114300" distR="114300">
            <wp:extent cx="5800725" cy="8697595"/>
            <wp:effectExtent l="0" t="0" r="9525" b="8255"/>
            <wp:docPr id="24" name="图片 24" descr="“五送”进校园专场招聘会经费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五送”进校园专场招聘会经费自评表"/>
                    <pic:cNvPicPr>
                      <a:picLocks noChangeAspect="1"/>
                    </pic:cNvPicPr>
                  </pic:nvPicPr>
                  <pic:blipFill>
                    <a:blip r:embed="rId30"/>
                    <a:stretch>
                      <a:fillRect/>
                    </a:stretch>
                  </pic:blipFill>
                  <pic:spPr>
                    <a:xfrm>
                      <a:off x="0" y="0"/>
                      <a:ext cx="5800725" cy="8697595"/>
                    </a:xfrm>
                    <a:prstGeom prst="rect">
                      <a:avLst/>
                    </a:prstGeom>
                  </pic:spPr>
                </pic:pic>
              </a:graphicData>
            </a:graphic>
          </wp:inline>
        </w:drawing>
      </w:r>
    </w:p>
    <w:p>
      <w:pPr>
        <w:pStyle w:val="10"/>
        <w:autoSpaceDN w:val="0"/>
        <w:spacing w:line="240" w:lineRule="auto"/>
        <w:jc w:val="both"/>
        <w:rPr>
          <w:rFonts w:hint="eastAsia" w:eastAsia="宋体"/>
          <w:b/>
          <w:bCs/>
          <w:sz w:val="36"/>
          <w:szCs w:val="36"/>
          <w:lang w:eastAsia="zh-CN"/>
        </w:rPr>
      </w:pPr>
      <w:r>
        <w:rPr>
          <w:rFonts w:hint="eastAsia" w:eastAsia="宋体"/>
          <w:b/>
          <w:bCs/>
          <w:sz w:val="36"/>
          <w:szCs w:val="36"/>
          <w:lang w:eastAsia="zh-CN"/>
        </w:rPr>
        <w:drawing>
          <wp:inline distT="0" distB="0" distL="114300" distR="114300">
            <wp:extent cx="5709285" cy="8618220"/>
            <wp:effectExtent l="0" t="0" r="5715" b="11430"/>
            <wp:docPr id="25" name="图片 25" descr="大中城市联合招聘经费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大中城市联合招聘经费自评表"/>
                    <pic:cNvPicPr>
                      <a:picLocks noChangeAspect="1"/>
                    </pic:cNvPicPr>
                  </pic:nvPicPr>
                  <pic:blipFill>
                    <a:blip r:embed="rId31"/>
                    <a:stretch>
                      <a:fillRect/>
                    </a:stretch>
                  </pic:blipFill>
                  <pic:spPr>
                    <a:xfrm>
                      <a:off x="0" y="0"/>
                      <a:ext cx="5709285" cy="8618220"/>
                    </a:xfrm>
                    <a:prstGeom prst="rect">
                      <a:avLst/>
                    </a:prstGeom>
                  </pic:spPr>
                </pic:pic>
              </a:graphicData>
            </a:graphic>
          </wp:inline>
        </w:drawing>
      </w:r>
    </w:p>
    <w:p>
      <w:pPr>
        <w:pStyle w:val="10"/>
        <w:autoSpaceDN w:val="0"/>
        <w:spacing w:line="240" w:lineRule="auto"/>
        <w:jc w:val="both"/>
        <w:rPr>
          <w:rFonts w:hint="eastAsia" w:eastAsia="宋体"/>
          <w:b/>
          <w:bCs/>
          <w:sz w:val="36"/>
          <w:szCs w:val="36"/>
          <w:lang w:eastAsia="zh-CN"/>
        </w:rPr>
      </w:pPr>
      <w:r>
        <w:rPr>
          <w:rFonts w:hint="eastAsia" w:eastAsia="宋体"/>
          <w:b/>
          <w:bCs/>
          <w:sz w:val="36"/>
          <w:szCs w:val="36"/>
          <w:lang w:eastAsia="zh-CN"/>
        </w:rPr>
        <w:drawing>
          <wp:inline distT="0" distB="0" distL="114300" distR="114300">
            <wp:extent cx="5761990" cy="8239760"/>
            <wp:effectExtent l="0" t="0" r="10160" b="8890"/>
            <wp:docPr id="26" name="图片 26" descr="高校毕业生沈阳站巡回招聘活动经费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高校毕业生沈阳站巡回招聘活动经费自评表"/>
                    <pic:cNvPicPr>
                      <a:picLocks noChangeAspect="1"/>
                    </pic:cNvPicPr>
                  </pic:nvPicPr>
                  <pic:blipFill>
                    <a:blip r:embed="rId32"/>
                    <a:stretch>
                      <a:fillRect/>
                    </a:stretch>
                  </pic:blipFill>
                  <pic:spPr>
                    <a:xfrm>
                      <a:off x="0" y="0"/>
                      <a:ext cx="5761990" cy="8239760"/>
                    </a:xfrm>
                    <a:prstGeom prst="rect">
                      <a:avLst/>
                    </a:prstGeom>
                  </pic:spPr>
                </pic:pic>
              </a:graphicData>
            </a:graphic>
          </wp:inline>
        </w:drawing>
      </w:r>
    </w:p>
    <w:p>
      <w:pPr>
        <w:pStyle w:val="10"/>
        <w:autoSpaceDN w:val="0"/>
        <w:spacing w:line="240" w:lineRule="auto"/>
        <w:jc w:val="both"/>
        <w:rPr>
          <w:rFonts w:hint="eastAsia" w:eastAsia="宋体"/>
          <w:b/>
          <w:bCs/>
          <w:sz w:val="36"/>
          <w:szCs w:val="36"/>
          <w:lang w:eastAsia="zh-CN"/>
        </w:rPr>
      </w:pPr>
      <w:r>
        <w:rPr>
          <w:rFonts w:hint="eastAsia" w:eastAsia="宋体"/>
          <w:b/>
          <w:bCs/>
          <w:sz w:val="36"/>
          <w:szCs w:val="36"/>
          <w:lang w:eastAsia="zh-CN"/>
        </w:rPr>
        <w:drawing>
          <wp:inline distT="0" distB="0" distL="114300" distR="114300">
            <wp:extent cx="5731510" cy="8355965"/>
            <wp:effectExtent l="0" t="0" r="2540" b="6985"/>
            <wp:docPr id="27" name="图片 27" descr="贡献突出人力资源机构奖励资金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贡献突出人力资源机构奖励资金自评表"/>
                    <pic:cNvPicPr>
                      <a:picLocks noChangeAspect="1"/>
                    </pic:cNvPicPr>
                  </pic:nvPicPr>
                  <pic:blipFill>
                    <a:blip r:embed="rId33"/>
                    <a:stretch>
                      <a:fillRect/>
                    </a:stretch>
                  </pic:blipFill>
                  <pic:spPr>
                    <a:xfrm>
                      <a:off x="0" y="0"/>
                      <a:ext cx="5731510" cy="8355965"/>
                    </a:xfrm>
                    <a:prstGeom prst="rect">
                      <a:avLst/>
                    </a:prstGeom>
                  </pic:spPr>
                </pic:pic>
              </a:graphicData>
            </a:graphic>
          </wp:inline>
        </w:drawing>
      </w:r>
    </w:p>
    <w:p>
      <w:pPr>
        <w:pStyle w:val="10"/>
        <w:autoSpaceDN w:val="0"/>
        <w:spacing w:line="240" w:lineRule="auto"/>
        <w:jc w:val="both"/>
        <w:rPr>
          <w:rFonts w:hint="eastAsia" w:eastAsia="宋体"/>
          <w:b/>
          <w:bCs/>
          <w:sz w:val="36"/>
          <w:szCs w:val="36"/>
          <w:lang w:eastAsia="zh-CN"/>
        </w:rPr>
      </w:pPr>
      <w:r>
        <w:rPr>
          <w:rFonts w:hint="eastAsia" w:eastAsia="宋体"/>
          <w:b/>
          <w:bCs/>
          <w:sz w:val="36"/>
          <w:szCs w:val="36"/>
          <w:lang w:eastAsia="zh-CN"/>
        </w:rPr>
        <w:drawing>
          <wp:inline distT="0" distB="0" distL="114300" distR="114300">
            <wp:extent cx="5726430" cy="8593455"/>
            <wp:effectExtent l="0" t="0" r="7620" b="17145"/>
            <wp:docPr id="28" name="图片 28" descr="江苏对口合作招聘经费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江苏对口合作招聘经费自评表"/>
                    <pic:cNvPicPr>
                      <a:picLocks noChangeAspect="1"/>
                    </pic:cNvPicPr>
                  </pic:nvPicPr>
                  <pic:blipFill>
                    <a:blip r:embed="rId34"/>
                    <a:stretch>
                      <a:fillRect/>
                    </a:stretch>
                  </pic:blipFill>
                  <pic:spPr>
                    <a:xfrm>
                      <a:off x="0" y="0"/>
                      <a:ext cx="5726430" cy="8593455"/>
                    </a:xfrm>
                    <a:prstGeom prst="rect">
                      <a:avLst/>
                    </a:prstGeom>
                  </pic:spPr>
                </pic:pic>
              </a:graphicData>
            </a:graphic>
          </wp:inline>
        </w:drawing>
      </w:r>
    </w:p>
    <w:p>
      <w:pPr>
        <w:pStyle w:val="10"/>
        <w:autoSpaceDN w:val="0"/>
        <w:spacing w:line="240" w:lineRule="auto"/>
        <w:jc w:val="both"/>
        <w:rPr>
          <w:rFonts w:hint="eastAsia" w:eastAsia="宋体"/>
          <w:b/>
          <w:bCs/>
          <w:sz w:val="36"/>
          <w:szCs w:val="36"/>
          <w:lang w:eastAsia="zh-CN"/>
        </w:rPr>
      </w:pPr>
      <w:r>
        <w:rPr>
          <w:rFonts w:hint="eastAsia" w:eastAsia="宋体"/>
          <w:b/>
          <w:bCs/>
          <w:sz w:val="36"/>
          <w:szCs w:val="36"/>
          <w:lang w:eastAsia="zh-CN"/>
        </w:rPr>
        <w:drawing>
          <wp:inline distT="0" distB="0" distL="114300" distR="114300">
            <wp:extent cx="5765165" cy="8587740"/>
            <wp:effectExtent l="0" t="0" r="6985" b="3810"/>
            <wp:docPr id="29" name="图片 29" descr="就业补助资金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就业补助资金自评表"/>
                    <pic:cNvPicPr>
                      <a:picLocks noChangeAspect="1"/>
                    </pic:cNvPicPr>
                  </pic:nvPicPr>
                  <pic:blipFill>
                    <a:blip r:embed="rId35"/>
                    <a:stretch>
                      <a:fillRect/>
                    </a:stretch>
                  </pic:blipFill>
                  <pic:spPr>
                    <a:xfrm>
                      <a:off x="0" y="0"/>
                      <a:ext cx="5765165" cy="8587740"/>
                    </a:xfrm>
                    <a:prstGeom prst="rect">
                      <a:avLst/>
                    </a:prstGeom>
                  </pic:spPr>
                </pic:pic>
              </a:graphicData>
            </a:graphic>
          </wp:inline>
        </w:drawing>
      </w:r>
    </w:p>
    <w:p>
      <w:pPr>
        <w:pStyle w:val="10"/>
        <w:autoSpaceDN w:val="0"/>
        <w:spacing w:line="240" w:lineRule="auto"/>
        <w:jc w:val="both"/>
        <w:rPr>
          <w:rFonts w:hint="eastAsia" w:eastAsia="宋体"/>
          <w:b/>
          <w:bCs/>
          <w:sz w:val="36"/>
          <w:szCs w:val="36"/>
          <w:lang w:eastAsia="zh-CN"/>
        </w:rPr>
      </w:pPr>
      <w:r>
        <w:rPr>
          <w:rFonts w:hint="eastAsia" w:eastAsia="宋体"/>
          <w:b/>
          <w:bCs/>
          <w:sz w:val="36"/>
          <w:szCs w:val="36"/>
          <w:lang w:eastAsia="zh-CN"/>
        </w:rPr>
        <w:drawing>
          <wp:inline distT="0" distB="0" distL="114300" distR="114300">
            <wp:extent cx="5609590" cy="8254365"/>
            <wp:effectExtent l="0" t="0" r="10160" b="13335"/>
            <wp:docPr id="30" name="图片 30" descr="开设“人才驿站”工作经费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开设“人才驿站”工作经费自评表"/>
                    <pic:cNvPicPr>
                      <a:picLocks noChangeAspect="1"/>
                    </pic:cNvPicPr>
                  </pic:nvPicPr>
                  <pic:blipFill>
                    <a:blip r:embed="rId36"/>
                    <a:stretch>
                      <a:fillRect/>
                    </a:stretch>
                  </pic:blipFill>
                  <pic:spPr>
                    <a:xfrm>
                      <a:off x="0" y="0"/>
                      <a:ext cx="5609590" cy="8254365"/>
                    </a:xfrm>
                    <a:prstGeom prst="rect">
                      <a:avLst/>
                    </a:prstGeom>
                  </pic:spPr>
                </pic:pic>
              </a:graphicData>
            </a:graphic>
          </wp:inline>
        </w:drawing>
      </w:r>
    </w:p>
    <w:p>
      <w:pPr>
        <w:pStyle w:val="10"/>
        <w:autoSpaceDN w:val="0"/>
        <w:spacing w:line="240" w:lineRule="auto"/>
        <w:jc w:val="both"/>
        <w:rPr>
          <w:rFonts w:hint="eastAsia" w:eastAsia="宋体"/>
          <w:b/>
          <w:bCs/>
          <w:sz w:val="36"/>
          <w:szCs w:val="36"/>
          <w:lang w:eastAsia="zh-CN"/>
        </w:rPr>
      </w:pPr>
      <w:r>
        <w:rPr>
          <w:rFonts w:hint="eastAsia" w:eastAsia="宋体"/>
          <w:b/>
          <w:bCs/>
          <w:sz w:val="36"/>
          <w:szCs w:val="36"/>
          <w:lang w:eastAsia="zh-CN"/>
        </w:rPr>
        <w:drawing>
          <wp:inline distT="0" distB="0" distL="114300" distR="114300">
            <wp:extent cx="5731510" cy="8211820"/>
            <wp:effectExtent l="0" t="0" r="2540" b="17780"/>
            <wp:docPr id="31" name="图片 31" descr="开展“百校千企”活动经费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开展“百校千企”活动经费自评表"/>
                    <pic:cNvPicPr>
                      <a:picLocks noChangeAspect="1"/>
                    </pic:cNvPicPr>
                  </pic:nvPicPr>
                  <pic:blipFill>
                    <a:blip r:embed="rId37"/>
                    <a:stretch>
                      <a:fillRect/>
                    </a:stretch>
                  </pic:blipFill>
                  <pic:spPr>
                    <a:xfrm>
                      <a:off x="0" y="0"/>
                      <a:ext cx="5731510" cy="8211820"/>
                    </a:xfrm>
                    <a:prstGeom prst="rect">
                      <a:avLst/>
                    </a:prstGeom>
                  </pic:spPr>
                </pic:pic>
              </a:graphicData>
            </a:graphic>
          </wp:inline>
        </w:drawing>
      </w:r>
    </w:p>
    <w:p>
      <w:pPr>
        <w:pStyle w:val="10"/>
        <w:autoSpaceDN w:val="0"/>
        <w:spacing w:line="240" w:lineRule="auto"/>
        <w:jc w:val="both"/>
        <w:rPr>
          <w:rFonts w:hint="eastAsia" w:eastAsia="宋体"/>
          <w:b/>
          <w:bCs/>
          <w:sz w:val="36"/>
          <w:szCs w:val="36"/>
          <w:lang w:eastAsia="zh-CN"/>
        </w:rPr>
      </w:pPr>
      <w:r>
        <w:rPr>
          <w:rFonts w:hint="eastAsia" w:eastAsia="宋体"/>
          <w:b/>
          <w:bCs/>
          <w:sz w:val="36"/>
          <w:szCs w:val="36"/>
          <w:lang w:eastAsia="zh-CN"/>
        </w:rPr>
        <w:drawing>
          <wp:inline distT="0" distB="0" distL="114300" distR="114300">
            <wp:extent cx="5770880" cy="8716645"/>
            <wp:effectExtent l="0" t="0" r="1270" b="8255"/>
            <wp:docPr id="32" name="图片 32" descr="优秀大学生“辽宁行”活动经费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优秀大学生“辽宁行”活动经费自评表"/>
                    <pic:cNvPicPr>
                      <a:picLocks noChangeAspect="1"/>
                    </pic:cNvPicPr>
                  </pic:nvPicPr>
                  <pic:blipFill>
                    <a:blip r:embed="rId38"/>
                    <a:stretch>
                      <a:fillRect/>
                    </a:stretch>
                  </pic:blipFill>
                  <pic:spPr>
                    <a:xfrm>
                      <a:off x="0" y="0"/>
                      <a:ext cx="5770880" cy="8716645"/>
                    </a:xfrm>
                    <a:prstGeom prst="rect">
                      <a:avLst/>
                    </a:prstGeom>
                  </pic:spPr>
                </pic:pic>
              </a:graphicData>
            </a:graphic>
          </wp:inline>
        </w:drawing>
      </w:r>
    </w:p>
    <w:p>
      <w:pPr>
        <w:pStyle w:val="7"/>
        <w:jc w:val="center"/>
        <w:rPr>
          <w:rFonts w:hint="eastAsia" w:ascii="Times New Roman" w:eastAsia="宋体"/>
          <w:b/>
          <w:sz w:val="44"/>
          <w:u w:val="single"/>
          <w:lang w:eastAsia="zh-CN"/>
        </w:rPr>
      </w:pPr>
      <w:r>
        <w:drawing>
          <wp:inline distT="0" distB="0" distL="114300" distR="114300">
            <wp:extent cx="5485130" cy="8794115"/>
            <wp:effectExtent l="0" t="0" r="1270"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9"/>
                    <a:stretch>
                      <a:fillRect/>
                    </a:stretch>
                  </pic:blipFill>
                  <pic:spPr>
                    <a:xfrm>
                      <a:off x="0" y="0"/>
                      <a:ext cx="5485130" cy="8794115"/>
                    </a:xfrm>
                    <a:prstGeom prst="rect">
                      <a:avLst/>
                    </a:prstGeom>
                    <a:noFill/>
                    <a:ln>
                      <a:noFill/>
                    </a:ln>
                  </pic:spPr>
                </pic:pic>
              </a:graphicData>
            </a:graphic>
          </wp:inline>
        </w:drawing>
      </w:r>
    </w:p>
    <w:p>
      <w:pPr>
        <w:pStyle w:val="10"/>
        <w:autoSpaceDN w:val="0"/>
        <w:spacing w:line="240" w:lineRule="auto"/>
        <w:jc w:val="both"/>
        <w:rPr>
          <w:rFonts w:hint="eastAsia" w:eastAsia="宋体"/>
          <w:b/>
          <w:bCs/>
          <w:sz w:val="36"/>
          <w:szCs w:val="36"/>
          <w:lang w:eastAsia="zh-CN"/>
        </w:rPr>
      </w:pPr>
      <w:r>
        <w:drawing>
          <wp:inline distT="0" distB="0" distL="114300" distR="114300">
            <wp:extent cx="5530850" cy="8702040"/>
            <wp:effectExtent l="0" t="0" r="1270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0"/>
                    <a:stretch>
                      <a:fillRect/>
                    </a:stretch>
                  </pic:blipFill>
                  <pic:spPr>
                    <a:xfrm>
                      <a:off x="0" y="0"/>
                      <a:ext cx="5530850" cy="8702040"/>
                    </a:xfrm>
                    <a:prstGeom prst="rect">
                      <a:avLst/>
                    </a:prstGeom>
                    <a:noFill/>
                    <a:ln>
                      <a:noFill/>
                    </a:ln>
                  </pic:spPr>
                </pic:pic>
              </a:graphicData>
            </a:graphic>
          </wp:inline>
        </w:drawing>
      </w:r>
    </w:p>
    <w:p>
      <w:pPr>
        <w:pStyle w:val="10"/>
        <w:autoSpaceDN w:val="0"/>
        <w:spacing w:line="560" w:lineRule="exact"/>
        <w:ind w:firstLine="2168" w:firstLineChars="600"/>
        <w:jc w:val="both"/>
        <w:rPr>
          <w:b/>
          <w:bCs/>
          <w:sz w:val="36"/>
          <w:szCs w:val="36"/>
        </w:rPr>
      </w:pPr>
      <w:r>
        <w:rPr>
          <w:rFonts w:hint="eastAsia"/>
          <w:b/>
          <w:bCs/>
          <w:sz w:val="36"/>
          <w:szCs w:val="36"/>
        </w:rPr>
        <w:t>第三部分 名词解释</w:t>
      </w:r>
    </w:p>
    <w:p>
      <w:pPr>
        <w:pStyle w:val="7"/>
        <w:spacing w:line="560" w:lineRule="exact"/>
        <w:ind w:firstLine="627"/>
        <w:rPr>
          <w:rFonts w:hint="default" w:ascii="仿宋_GB2312" w:eastAsia="仿宋_GB2312"/>
          <w:b/>
          <w:sz w:val="32"/>
        </w:rPr>
      </w:pPr>
      <w:r>
        <w:rPr>
          <w:rFonts w:ascii="仿宋_GB2312" w:eastAsia="仿宋_GB2312"/>
          <w:b/>
          <w:sz w:val="32"/>
        </w:rPr>
        <w:t>1.财政拨款收入：</w:t>
      </w:r>
      <w:r>
        <w:rPr>
          <w:rFonts w:ascii="仿宋_GB2312" w:eastAsia="仿宋_GB2312"/>
          <w:sz w:val="32"/>
        </w:rPr>
        <w:t>指单位从同级财政部门取得的财政预算资金。</w:t>
      </w:r>
    </w:p>
    <w:p>
      <w:pPr>
        <w:pStyle w:val="7"/>
        <w:spacing w:line="560" w:lineRule="exact"/>
        <w:ind w:firstLine="640"/>
        <w:rPr>
          <w:rFonts w:hint="default" w:ascii="仿宋_GB2312" w:eastAsia="仿宋_GB2312"/>
          <w:sz w:val="32"/>
        </w:rPr>
      </w:pPr>
      <w:r>
        <w:rPr>
          <w:rFonts w:ascii="仿宋_GB2312" w:eastAsia="仿宋_GB2312"/>
          <w:b/>
          <w:sz w:val="32"/>
        </w:rPr>
        <w:t>2.上级补助收入：</w:t>
      </w:r>
      <w:r>
        <w:rPr>
          <w:rFonts w:ascii="仿宋_GB2312" w:eastAsia="仿宋_GB2312"/>
          <w:sz w:val="32"/>
        </w:rPr>
        <w:t>指单位从主管部门和上级单位取得的非财政性补助收入。</w:t>
      </w:r>
    </w:p>
    <w:p>
      <w:pPr>
        <w:pStyle w:val="7"/>
        <w:spacing w:line="560" w:lineRule="exact"/>
        <w:ind w:firstLine="640"/>
        <w:rPr>
          <w:rFonts w:hint="default" w:ascii="仿宋_GB2312" w:eastAsia="仿宋_GB2312"/>
          <w:sz w:val="32"/>
        </w:rPr>
      </w:pPr>
      <w:r>
        <w:rPr>
          <w:rFonts w:ascii="仿宋_GB2312" w:eastAsia="仿宋_GB2312"/>
          <w:b/>
          <w:sz w:val="32"/>
        </w:rPr>
        <w:t>3.事业收入：</w:t>
      </w:r>
      <w:r>
        <w:rPr>
          <w:rFonts w:ascii="仿宋_GB2312" w:eastAsia="仿宋_GB2312"/>
          <w:sz w:val="32"/>
        </w:rPr>
        <w:t>指事业单位开展专业业务活动及辅助活动所取得的收入。</w:t>
      </w:r>
    </w:p>
    <w:p>
      <w:pPr>
        <w:pStyle w:val="7"/>
        <w:spacing w:line="560" w:lineRule="exact"/>
        <w:ind w:firstLine="640"/>
        <w:rPr>
          <w:rFonts w:hint="default" w:ascii="仿宋_GB2312" w:eastAsia="仿宋_GB2312"/>
          <w:sz w:val="32"/>
        </w:rPr>
      </w:pPr>
      <w:r>
        <w:rPr>
          <w:rFonts w:ascii="仿宋_GB2312" w:eastAsia="仿宋_GB2312"/>
          <w:b/>
          <w:sz w:val="32"/>
        </w:rPr>
        <w:t>4.经营收入：</w:t>
      </w:r>
      <w:r>
        <w:rPr>
          <w:rFonts w:ascii="仿宋_GB2312" w:eastAsia="仿宋_GB2312"/>
          <w:sz w:val="32"/>
        </w:rPr>
        <w:t>指事业单位在专业业务活动及辅助活动之外开展非独立核算经营活动取得的收入。</w:t>
      </w:r>
    </w:p>
    <w:p>
      <w:pPr>
        <w:pStyle w:val="7"/>
        <w:spacing w:line="560" w:lineRule="exact"/>
        <w:ind w:firstLine="640"/>
        <w:rPr>
          <w:rFonts w:hint="default" w:ascii="仿宋_GB2312" w:eastAsia="仿宋_GB2312"/>
          <w:sz w:val="32"/>
        </w:rPr>
      </w:pPr>
      <w:r>
        <w:rPr>
          <w:rFonts w:ascii="仿宋_GB2312" w:eastAsia="仿宋_GB2312"/>
          <w:b/>
          <w:sz w:val="32"/>
        </w:rPr>
        <w:t>5.附属单位上缴收入：</w:t>
      </w:r>
      <w:r>
        <w:rPr>
          <w:rFonts w:ascii="仿宋_GB2312" w:eastAsia="仿宋_GB2312"/>
          <w:sz w:val="32"/>
        </w:rPr>
        <w:t>指单位附属的独立核算单位按照规定上缴的收入。</w:t>
      </w:r>
    </w:p>
    <w:p>
      <w:pPr>
        <w:pStyle w:val="7"/>
        <w:spacing w:line="560" w:lineRule="exact"/>
        <w:ind w:firstLine="640"/>
        <w:rPr>
          <w:rFonts w:hint="default" w:ascii="仿宋_GB2312" w:eastAsia="仿宋_GB2312"/>
          <w:sz w:val="32"/>
        </w:rPr>
      </w:pPr>
      <w:r>
        <w:rPr>
          <w:rFonts w:ascii="仿宋_GB2312" w:eastAsia="仿宋_GB2312"/>
          <w:b/>
          <w:sz w:val="32"/>
        </w:rPr>
        <w:t>6.其他收入：</w:t>
      </w:r>
      <w:r>
        <w:rPr>
          <w:rFonts w:ascii="仿宋_GB2312" w:eastAsia="仿宋_GB2312"/>
          <w:sz w:val="32"/>
        </w:rPr>
        <w:t>指除上述“财政拨款收入”、</w:t>
      </w:r>
      <w:r>
        <w:rPr>
          <w:rFonts w:ascii="仿宋_GB2312" w:eastAsia="仿宋_GB2312"/>
          <w:b/>
          <w:sz w:val="32"/>
        </w:rPr>
        <w:t xml:space="preserve"> </w:t>
      </w:r>
      <w:r>
        <w:rPr>
          <w:rFonts w:ascii="仿宋_GB2312" w:eastAsia="仿宋_GB2312"/>
          <w:sz w:val="32"/>
        </w:rPr>
        <w:t>“上级补助收入”、“事业收入”、“经营收入”、“附属单位上缴收入”等以外的收入。</w:t>
      </w:r>
    </w:p>
    <w:p>
      <w:pPr>
        <w:pStyle w:val="7"/>
        <w:spacing w:line="560" w:lineRule="exact"/>
        <w:ind w:firstLine="640"/>
        <w:rPr>
          <w:rFonts w:hint="default" w:ascii="仿宋_GB2312" w:eastAsia="仿宋_GB2312"/>
          <w:sz w:val="32"/>
        </w:rPr>
      </w:pPr>
      <w:r>
        <w:rPr>
          <w:rFonts w:ascii="仿宋_GB2312" w:eastAsia="仿宋_GB2312"/>
          <w:b/>
          <w:sz w:val="32"/>
        </w:rPr>
        <w:t>7.使用非财政拨款结余：</w:t>
      </w:r>
      <w:r>
        <w:rPr>
          <w:rFonts w:ascii="仿宋_GB2312" w:eastAsia="仿宋_GB2312"/>
          <w:sz w:val="32"/>
        </w:rPr>
        <w:t>指事业单位按照预算管理要求使用非财政拨款结余弥补收支差额的金额。。</w:t>
      </w:r>
    </w:p>
    <w:p>
      <w:pPr>
        <w:pStyle w:val="7"/>
        <w:spacing w:line="560" w:lineRule="exact"/>
        <w:ind w:firstLine="640"/>
        <w:rPr>
          <w:rFonts w:hint="default" w:ascii="仿宋_GB2312" w:eastAsia="仿宋_GB2312"/>
          <w:sz w:val="32"/>
        </w:rPr>
      </w:pPr>
      <w:r>
        <w:rPr>
          <w:rFonts w:ascii="仿宋_GB2312" w:eastAsia="仿宋_GB2312"/>
          <w:b/>
          <w:sz w:val="32"/>
        </w:rPr>
        <w:t>8.上年结转和结余：</w:t>
      </w:r>
      <w:r>
        <w:rPr>
          <w:rFonts w:ascii="仿宋_GB2312" w:eastAsia="仿宋_GB2312"/>
          <w:sz w:val="32"/>
        </w:rPr>
        <w:t>指以前年度尚未完成、结转到本年按有关规定继续使用的资金。</w:t>
      </w:r>
    </w:p>
    <w:p>
      <w:pPr>
        <w:pStyle w:val="7"/>
        <w:spacing w:line="560" w:lineRule="exact"/>
        <w:ind w:firstLine="640"/>
        <w:rPr>
          <w:rFonts w:hint="default" w:ascii="仿宋_GB2312" w:eastAsia="仿宋_GB2312"/>
          <w:sz w:val="32"/>
        </w:rPr>
      </w:pPr>
      <w:r>
        <w:rPr>
          <w:rFonts w:ascii="仿宋_GB2312" w:eastAsia="仿宋_GB2312"/>
          <w:b/>
          <w:sz w:val="32"/>
        </w:rPr>
        <w:t>9.基本支出：</w:t>
      </w:r>
      <w:r>
        <w:rPr>
          <w:rFonts w:ascii="仿宋_GB2312" w:eastAsia="仿宋_GB2312"/>
          <w:sz w:val="32"/>
        </w:rPr>
        <w:t>指保障机构正常运转、完成日常工作任务而发生的人员支出和公用支出。</w:t>
      </w:r>
    </w:p>
    <w:p>
      <w:pPr>
        <w:pStyle w:val="7"/>
        <w:spacing w:line="560" w:lineRule="exact"/>
        <w:ind w:firstLine="640"/>
        <w:rPr>
          <w:rFonts w:hint="default" w:ascii="仿宋_GB2312" w:eastAsia="仿宋_GB2312"/>
          <w:sz w:val="32"/>
        </w:rPr>
      </w:pPr>
      <w:r>
        <w:rPr>
          <w:rFonts w:ascii="仿宋_GB2312" w:eastAsia="仿宋_GB2312"/>
          <w:b/>
          <w:sz w:val="32"/>
        </w:rPr>
        <w:t>10.项目支出：</w:t>
      </w:r>
      <w:r>
        <w:rPr>
          <w:rFonts w:ascii="仿宋_GB2312" w:eastAsia="仿宋_GB2312"/>
          <w:sz w:val="32"/>
        </w:rPr>
        <w:t>指在基本支出之外为完成特定行政任务和事业发展目标所发生的支出。</w:t>
      </w:r>
    </w:p>
    <w:p>
      <w:pPr>
        <w:pStyle w:val="7"/>
        <w:spacing w:line="560" w:lineRule="exact"/>
        <w:ind w:firstLine="640"/>
        <w:rPr>
          <w:rFonts w:hint="default" w:ascii="仿宋_GB2312" w:eastAsia="仿宋_GB2312"/>
          <w:sz w:val="32"/>
        </w:rPr>
      </w:pPr>
      <w:r>
        <w:rPr>
          <w:rFonts w:ascii="仿宋_GB2312" w:eastAsia="仿宋_GB2312"/>
          <w:b/>
          <w:sz w:val="32"/>
        </w:rPr>
        <w:t>11.上缴上级支出：</w:t>
      </w:r>
      <w:r>
        <w:rPr>
          <w:rFonts w:ascii="仿宋_GB2312" w:eastAsia="仿宋_GB2312"/>
          <w:sz w:val="32"/>
        </w:rPr>
        <w:t>指事业单位按照财政部门和主管部门的规定上缴上级单位的支出。</w:t>
      </w:r>
    </w:p>
    <w:p>
      <w:pPr>
        <w:pStyle w:val="7"/>
        <w:spacing w:line="560" w:lineRule="exact"/>
        <w:ind w:firstLine="640"/>
        <w:rPr>
          <w:rFonts w:hint="default" w:ascii="仿宋_GB2312" w:eastAsia="仿宋_GB2312"/>
          <w:sz w:val="32"/>
        </w:rPr>
      </w:pPr>
      <w:r>
        <w:rPr>
          <w:rFonts w:ascii="仿宋_GB2312" w:eastAsia="仿宋_GB2312"/>
          <w:b/>
          <w:sz w:val="32"/>
        </w:rPr>
        <w:t>12.经营支出：</w:t>
      </w:r>
      <w:r>
        <w:rPr>
          <w:rFonts w:ascii="仿宋_GB2312" w:eastAsia="仿宋_GB2312"/>
          <w:sz w:val="32"/>
        </w:rPr>
        <w:t>指事业单位在专业活动及辅助活动之外开展非独立核算经营活动发生的支出。</w:t>
      </w:r>
    </w:p>
    <w:p>
      <w:pPr>
        <w:pStyle w:val="7"/>
        <w:spacing w:line="560" w:lineRule="exact"/>
        <w:ind w:firstLine="640"/>
        <w:rPr>
          <w:rFonts w:hint="default" w:ascii="仿宋_GB2312" w:eastAsia="仿宋_GB2312"/>
          <w:b/>
          <w:sz w:val="32"/>
        </w:rPr>
      </w:pPr>
      <w:r>
        <w:rPr>
          <w:rFonts w:ascii="仿宋_GB2312" w:eastAsia="仿宋_GB2312"/>
          <w:b/>
          <w:sz w:val="32"/>
        </w:rPr>
        <w:t>13.对附属单位补助支出：</w:t>
      </w:r>
      <w:r>
        <w:rPr>
          <w:rFonts w:ascii="仿宋_GB2312" w:eastAsia="仿宋_GB2312"/>
          <w:sz w:val="32"/>
        </w:rPr>
        <w:t>指事业单位用财政补助收入之外的收入对附属单位补助发生的支出。</w:t>
      </w:r>
    </w:p>
    <w:p>
      <w:pPr>
        <w:pStyle w:val="7"/>
        <w:spacing w:line="560" w:lineRule="exact"/>
        <w:ind w:firstLine="640"/>
        <w:rPr>
          <w:rFonts w:hint="default" w:ascii="仿宋_GB2312" w:eastAsia="仿宋_GB2312"/>
          <w:sz w:val="32"/>
        </w:rPr>
      </w:pPr>
      <w:r>
        <w:rPr>
          <w:rFonts w:ascii="仿宋_GB2312" w:eastAsia="仿宋_GB2312"/>
          <w:b/>
          <w:sz w:val="32"/>
        </w:rPr>
        <w:t>14.“三公”经费：</w:t>
      </w:r>
      <w:r>
        <w:rPr>
          <w:rFonts w:ascii="仿宋_GB2312" w:eastAsia="仿宋_GB2312"/>
          <w:sz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pPr>
        <w:pStyle w:val="7"/>
        <w:spacing w:line="560" w:lineRule="exact"/>
        <w:ind w:firstLine="640"/>
        <w:rPr>
          <w:rFonts w:hint="default" w:ascii="仿宋_GB2312" w:eastAsia="仿宋_GB2312"/>
          <w:sz w:val="32"/>
          <w:szCs w:val="32"/>
        </w:rPr>
      </w:pPr>
      <w:r>
        <w:rPr>
          <w:rFonts w:ascii="仿宋_GB2312" w:eastAsia="仿宋_GB2312"/>
          <w:b/>
          <w:bCs/>
          <w:sz w:val="32"/>
        </w:rPr>
        <w:t>15.机关运行经费：</w:t>
      </w:r>
      <w:r>
        <w:rPr>
          <w:rFonts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pStyle w:val="7"/>
        <w:spacing w:line="560" w:lineRule="exact"/>
        <w:ind w:firstLine="640"/>
        <w:rPr>
          <w:rFonts w:hint="default" w:ascii="仿宋_GB2312" w:eastAsia="仿宋_GB2312"/>
          <w:b/>
          <w:sz w:val="32"/>
        </w:rPr>
      </w:pPr>
      <w:r>
        <w:rPr>
          <w:rFonts w:ascii="仿宋_GB2312" w:eastAsia="仿宋_GB2312"/>
          <w:b/>
          <w:sz w:val="32"/>
        </w:rPr>
        <w:t>16.</w:t>
      </w:r>
      <w:r>
        <w:rPr>
          <w:rFonts w:hint="eastAsia" w:ascii="仿宋_GB2312" w:eastAsia="仿宋_GB2312"/>
          <w:b/>
          <w:sz w:val="32"/>
        </w:rPr>
        <w:t>社会保障和就业支出</w:t>
      </w:r>
      <w:r>
        <w:rPr>
          <w:rFonts w:ascii="仿宋_GB2312" w:eastAsia="仿宋_GB2312"/>
          <w:b/>
          <w:sz w:val="32"/>
        </w:rPr>
        <w:t>（类）</w:t>
      </w:r>
      <w:r>
        <w:rPr>
          <w:rFonts w:hint="eastAsia" w:ascii="仿宋_GB2312" w:eastAsia="仿宋_GB2312"/>
          <w:b/>
          <w:sz w:val="32"/>
        </w:rPr>
        <w:t>人力资源和社会保障管理事务</w:t>
      </w:r>
      <w:r>
        <w:rPr>
          <w:rFonts w:ascii="仿宋_GB2312" w:eastAsia="仿宋_GB2312"/>
          <w:b/>
          <w:sz w:val="32"/>
        </w:rPr>
        <w:t>（款）行政运行（项）：</w:t>
      </w:r>
      <w:r>
        <w:rPr>
          <w:rFonts w:ascii="仿宋_GB2312" w:eastAsia="仿宋_GB2312"/>
          <w:sz w:val="32"/>
        </w:rPr>
        <w:t>反映行政单位（包括实行公务员管理的事业单位）的基本支出。</w:t>
      </w:r>
    </w:p>
    <w:p>
      <w:pPr>
        <w:pStyle w:val="7"/>
        <w:keepNext w:val="0"/>
        <w:keepLines w:val="0"/>
        <w:pageBreakBefore w:val="0"/>
        <w:kinsoku/>
        <w:wordWrap/>
        <w:overflowPunct/>
        <w:topLinePunct w:val="0"/>
        <w:autoSpaceDE/>
        <w:bidi w:val="0"/>
        <w:adjustRightInd/>
        <w:snapToGrid/>
        <w:spacing w:before="0" w:beforeLines="0" w:after="0" w:afterLines="0" w:line="560" w:lineRule="exact"/>
        <w:ind w:left="0" w:leftChars="0" w:right="0" w:rightChars="0" w:firstLine="722"/>
        <w:jc w:val="both"/>
        <w:textAlignment w:val="auto"/>
        <w:outlineLvl w:val="9"/>
        <w:rPr>
          <w:rFonts w:hint="eastAsia" w:ascii="仿宋_GB2312" w:eastAsia="仿宋_GB2312"/>
          <w:sz w:val="32"/>
          <w:szCs w:val="32"/>
          <w:highlight w:val="none"/>
          <w:lang w:val="en-US" w:eastAsia="zh-CN"/>
        </w:rPr>
      </w:pPr>
      <w:r>
        <w:rPr>
          <w:rFonts w:hint="eastAsia"/>
          <w:b/>
          <w:sz w:val="36"/>
          <w:highlight w:val="none"/>
          <w:lang w:val="en-US" w:eastAsia="zh-CN"/>
        </w:rPr>
        <w:t>17.</w:t>
      </w:r>
      <w:r>
        <w:rPr>
          <w:rFonts w:hint="eastAsia" w:ascii="仿宋_GB2312" w:eastAsia="仿宋_GB2312"/>
          <w:b/>
          <w:sz w:val="32"/>
        </w:rPr>
        <w:t>社会保障和就业支出</w:t>
      </w:r>
      <w:r>
        <w:rPr>
          <w:rFonts w:ascii="仿宋_GB2312" w:eastAsia="仿宋_GB2312"/>
          <w:b/>
          <w:sz w:val="32"/>
        </w:rPr>
        <w:t>（类）</w:t>
      </w:r>
      <w:r>
        <w:rPr>
          <w:rFonts w:hint="eastAsia" w:ascii="仿宋_GB2312" w:eastAsia="仿宋_GB2312"/>
          <w:b/>
          <w:sz w:val="32"/>
        </w:rPr>
        <w:t>人力资源和社会保障管理事务</w:t>
      </w:r>
      <w:r>
        <w:rPr>
          <w:rFonts w:ascii="仿宋_GB2312" w:eastAsia="仿宋_GB2312"/>
          <w:b/>
          <w:sz w:val="32"/>
        </w:rPr>
        <w:t>（款）</w:t>
      </w:r>
      <w:r>
        <w:rPr>
          <w:rFonts w:hint="eastAsia" w:ascii="仿宋_GB2312" w:hAnsi="宋体" w:eastAsia="仿宋_GB2312"/>
          <w:b/>
          <w:bCs/>
          <w:sz w:val="32"/>
          <w:szCs w:val="32"/>
          <w:highlight w:val="none"/>
        </w:rPr>
        <w:t>一般行政管理事务</w:t>
      </w:r>
      <w:r>
        <w:rPr>
          <w:rFonts w:hint="eastAsia" w:ascii="仿宋_GB2312" w:hAnsi="宋体" w:eastAsia="仿宋_GB2312"/>
          <w:b/>
          <w:bCs/>
          <w:sz w:val="32"/>
          <w:szCs w:val="32"/>
          <w:highlight w:val="none"/>
          <w:lang w:eastAsia="zh-CN"/>
        </w:rPr>
        <w:t>（</w:t>
      </w:r>
      <w:r>
        <w:rPr>
          <w:rFonts w:hint="eastAsia" w:ascii="仿宋_GB2312" w:hAnsi="宋体" w:eastAsia="仿宋_GB2312"/>
          <w:b/>
          <w:bCs/>
          <w:sz w:val="32"/>
          <w:szCs w:val="32"/>
          <w:highlight w:val="none"/>
          <w:lang w:val="en-US" w:eastAsia="zh-CN"/>
        </w:rPr>
        <w:t>项）</w:t>
      </w:r>
      <w:r>
        <w:rPr>
          <w:rFonts w:hint="eastAsia" w:ascii="仿宋_GB2312" w:eastAsia="仿宋_GB2312"/>
          <w:b/>
          <w:bCs/>
          <w:sz w:val="32"/>
          <w:szCs w:val="32"/>
          <w:highlight w:val="none"/>
          <w:lang w:val="en-US" w:eastAsia="zh-CN"/>
        </w:rPr>
        <w:t>：</w:t>
      </w:r>
      <w:r>
        <w:rPr>
          <w:rFonts w:hint="eastAsia" w:ascii="仿宋_GB2312" w:eastAsia="仿宋_GB2312"/>
          <w:b w:val="0"/>
          <w:bCs w:val="0"/>
          <w:sz w:val="32"/>
          <w:szCs w:val="32"/>
          <w:highlight w:val="none"/>
          <w:lang w:val="en-US" w:eastAsia="zh-CN"/>
        </w:rPr>
        <w:t>反映行政单位（包括实行公务员管理的事业单位）未单独设置相级科目的其他项目支出。</w:t>
      </w:r>
    </w:p>
    <w:p>
      <w:pPr>
        <w:pStyle w:val="7"/>
        <w:keepNext w:val="0"/>
        <w:keepLines w:val="0"/>
        <w:pageBreakBefore w:val="0"/>
        <w:numPr>
          <w:ilvl w:val="0"/>
          <w:numId w:val="4"/>
        </w:numPr>
        <w:kinsoku/>
        <w:wordWrap/>
        <w:overflowPunct/>
        <w:topLinePunct w:val="0"/>
        <w:autoSpaceDE/>
        <w:bidi w:val="0"/>
        <w:adjustRightInd/>
        <w:snapToGrid/>
        <w:spacing w:before="0" w:beforeLines="0" w:after="0" w:afterLines="0" w:line="560" w:lineRule="exact"/>
        <w:ind w:left="0" w:leftChars="0" w:right="0" w:rightChars="0" w:firstLine="722"/>
        <w:jc w:val="both"/>
        <w:textAlignment w:val="auto"/>
        <w:outlineLvl w:val="9"/>
        <w:rPr>
          <w:rFonts w:hint="eastAsia" w:ascii="仿宋_GB2312" w:eastAsia="仿宋_GB2312"/>
          <w:sz w:val="32"/>
          <w:szCs w:val="32"/>
          <w:highlight w:val="none"/>
          <w:lang w:val="en-US" w:eastAsia="zh-CN"/>
        </w:rPr>
      </w:pPr>
      <w:r>
        <w:rPr>
          <w:rFonts w:hint="eastAsia" w:ascii="仿宋_GB2312" w:eastAsia="仿宋_GB2312"/>
          <w:b/>
          <w:sz w:val="32"/>
        </w:rPr>
        <w:t>社会保障和就业支出</w:t>
      </w:r>
      <w:r>
        <w:rPr>
          <w:rFonts w:ascii="仿宋_GB2312" w:eastAsia="仿宋_GB2312"/>
          <w:b/>
          <w:sz w:val="32"/>
        </w:rPr>
        <w:t>（类）</w:t>
      </w:r>
      <w:r>
        <w:rPr>
          <w:rFonts w:hint="eastAsia" w:ascii="仿宋_GB2312" w:eastAsia="仿宋_GB2312"/>
          <w:b/>
          <w:sz w:val="32"/>
        </w:rPr>
        <w:t>人力资源和社会保障管理事务</w:t>
      </w:r>
      <w:r>
        <w:rPr>
          <w:rFonts w:ascii="仿宋_GB2312" w:eastAsia="仿宋_GB2312"/>
          <w:b/>
          <w:sz w:val="32"/>
        </w:rPr>
        <w:t>（款）</w:t>
      </w:r>
      <w:r>
        <w:rPr>
          <w:rFonts w:hint="eastAsia" w:ascii="仿宋_GB2312" w:hAnsi="宋体" w:eastAsia="仿宋_GB2312"/>
          <w:b/>
          <w:bCs/>
          <w:sz w:val="32"/>
          <w:szCs w:val="32"/>
          <w:highlight w:val="none"/>
        </w:rPr>
        <w:t>机关服务</w:t>
      </w:r>
      <w:r>
        <w:rPr>
          <w:rFonts w:hint="eastAsia" w:ascii="仿宋_GB2312" w:hAnsi="宋体" w:eastAsia="仿宋_GB2312"/>
          <w:b/>
          <w:bCs/>
          <w:sz w:val="32"/>
          <w:szCs w:val="32"/>
          <w:highlight w:val="none"/>
          <w:lang w:eastAsia="zh-CN"/>
        </w:rPr>
        <w:t>（</w:t>
      </w:r>
      <w:r>
        <w:rPr>
          <w:rFonts w:hint="eastAsia" w:ascii="仿宋_GB2312" w:hAnsi="宋体" w:eastAsia="仿宋_GB2312"/>
          <w:b/>
          <w:bCs/>
          <w:sz w:val="32"/>
          <w:szCs w:val="32"/>
          <w:highlight w:val="none"/>
          <w:lang w:val="en-US" w:eastAsia="zh-CN"/>
        </w:rPr>
        <w:t>项）</w:t>
      </w:r>
      <w:r>
        <w:rPr>
          <w:rFonts w:hint="eastAsia" w:ascii="仿宋_GB2312" w:eastAsia="仿宋_GB2312"/>
          <w:b/>
          <w:bCs/>
          <w:sz w:val="32"/>
          <w:szCs w:val="32"/>
          <w:highlight w:val="none"/>
          <w:lang w:val="en-US" w:eastAsia="zh-CN"/>
        </w:rPr>
        <w:t>：</w:t>
      </w:r>
      <w:r>
        <w:rPr>
          <w:rFonts w:hint="eastAsia" w:ascii="仿宋_GB2312" w:eastAsia="仿宋_GB2312"/>
          <w:b w:val="0"/>
          <w:bCs w:val="0"/>
          <w:sz w:val="32"/>
          <w:szCs w:val="32"/>
          <w:highlight w:val="none"/>
          <w:lang w:val="en-US" w:eastAsia="zh-CN"/>
        </w:rPr>
        <w:t>反映为行政单位（包括实行公务员管理的事业单位）提供后勤服务的各类后勤服务中心、医务室等附属事业单位的支出。其他事业单位的支出，凡单独设置了项级科目的，在单独设置的项级科目中反映。未单设项级科目的，在“其他”项级科目中反映。</w:t>
      </w:r>
    </w:p>
    <w:p>
      <w:pPr>
        <w:pStyle w:val="7"/>
        <w:keepNext w:val="0"/>
        <w:keepLines w:val="0"/>
        <w:pageBreakBefore w:val="0"/>
        <w:numPr>
          <w:ilvl w:val="0"/>
          <w:numId w:val="4"/>
        </w:numPr>
        <w:kinsoku/>
        <w:wordWrap/>
        <w:overflowPunct/>
        <w:topLinePunct w:val="0"/>
        <w:autoSpaceDE/>
        <w:bidi w:val="0"/>
        <w:adjustRightInd/>
        <w:snapToGrid/>
        <w:spacing w:before="0" w:beforeLines="0" w:after="0" w:afterLines="0" w:line="560" w:lineRule="exact"/>
        <w:ind w:left="0" w:leftChars="0" w:right="0" w:rightChars="0" w:firstLine="722"/>
        <w:jc w:val="both"/>
        <w:textAlignment w:val="auto"/>
        <w:outlineLvl w:val="9"/>
        <w:rPr>
          <w:rFonts w:hint="eastAsia" w:ascii="仿宋_GB2312" w:eastAsia="仿宋_GB2312"/>
          <w:sz w:val="32"/>
          <w:szCs w:val="32"/>
          <w:highlight w:val="none"/>
          <w:lang w:val="en-US" w:eastAsia="zh-CN"/>
        </w:rPr>
      </w:pPr>
      <w:r>
        <w:rPr>
          <w:rFonts w:ascii="仿宋_GB2312" w:eastAsia="仿宋_GB2312"/>
          <w:b/>
          <w:sz w:val="32"/>
          <w:szCs w:val="32"/>
        </w:rPr>
        <w:t>社会保障和就业支出（类）人力资源和社会保障管理事务（款）劳动保障监察（项）：</w:t>
      </w:r>
      <w:r>
        <w:rPr>
          <w:rFonts w:ascii="仿宋_GB2312" w:eastAsia="仿宋_GB2312"/>
          <w:sz w:val="32"/>
          <w:szCs w:val="32"/>
        </w:rPr>
        <w:t>反映劳动保障监察事务支出。</w:t>
      </w:r>
    </w:p>
    <w:p>
      <w:pPr>
        <w:pStyle w:val="7"/>
        <w:keepNext w:val="0"/>
        <w:keepLines w:val="0"/>
        <w:pageBreakBefore w:val="0"/>
        <w:numPr>
          <w:ilvl w:val="0"/>
          <w:numId w:val="4"/>
        </w:numPr>
        <w:kinsoku/>
        <w:wordWrap/>
        <w:overflowPunct/>
        <w:topLinePunct w:val="0"/>
        <w:autoSpaceDE/>
        <w:bidi w:val="0"/>
        <w:adjustRightInd/>
        <w:snapToGrid/>
        <w:spacing w:before="0" w:beforeLines="0" w:after="0" w:afterLines="0" w:line="560" w:lineRule="exact"/>
        <w:ind w:left="0" w:leftChars="0" w:right="0" w:rightChars="0" w:firstLine="722"/>
        <w:jc w:val="both"/>
        <w:textAlignment w:val="auto"/>
        <w:outlineLvl w:val="9"/>
        <w:rPr>
          <w:rFonts w:hint="eastAsia" w:ascii="仿宋_GB2312" w:eastAsia="仿宋_GB2312"/>
          <w:sz w:val="32"/>
          <w:szCs w:val="32"/>
          <w:highlight w:val="none"/>
          <w:lang w:val="en-US" w:eastAsia="zh-CN"/>
        </w:rPr>
      </w:pPr>
      <w:r>
        <w:rPr>
          <w:rFonts w:hint="eastAsia" w:ascii="仿宋_GB2312" w:eastAsia="仿宋_GB2312"/>
          <w:b/>
          <w:sz w:val="32"/>
          <w:highlight w:val="none"/>
          <w:lang w:eastAsia="zh-CN"/>
        </w:rPr>
        <w:t>社会保障和就业支出</w:t>
      </w:r>
      <w:r>
        <w:rPr>
          <w:rFonts w:hint="eastAsia" w:ascii="仿宋_GB2312" w:eastAsia="仿宋_GB2312"/>
          <w:b/>
          <w:sz w:val="32"/>
          <w:highlight w:val="none"/>
        </w:rPr>
        <w:t>（类）</w:t>
      </w:r>
      <w:r>
        <w:rPr>
          <w:rFonts w:hint="eastAsia" w:ascii="仿宋_GB2312" w:eastAsia="仿宋_GB2312"/>
          <w:b/>
          <w:sz w:val="32"/>
          <w:highlight w:val="none"/>
          <w:lang w:eastAsia="zh-CN"/>
        </w:rPr>
        <w:t>人力资源和社会保障管理事务</w:t>
      </w:r>
      <w:r>
        <w:rPr>
          <w:rFonts w:hint="eastAsia" w:ascii="仿宋_GB2312" w:eastAsia="仿宋_GB2312"/>
          <w:b/>
          <w:sz w:val="32"/>
          <w:highlight w:val="none"/>
        </w:rPr>
        <w:t>（款）</w:t>
      </w:r>
      <w:r>
        <w:rPr>
          <w:rFonts w:hint="eastAsia" w:ascii="仿宋_GB2312" w:eastAsia="仿宋_GB2312"/>
          <w:b/>
          <w:sz w:val="32"/>
          <w:highlight w:val="none"/>
          <w:lang w:eastAsia="zh-CN"/>
        </w:rPr>
        <w:t>社会保险经办机构</w:t>
      </w:r>
      <w:r>
        <w:rPr>
          <w:rFonts w:hint="eastAsia" w:ascii="仿宋_GB2312" w:eastAsia="仿宋_GB2312"/>
          <w:b/>
          <w:sz w:val="32"/>
          <w:highlight w:val="none"/>
        </w:rPr>
        <w:t>（项）：</w:t>
      </w:r>
      <w:r>
        <w:rPr>
          <w:rFonts w:hint="eastAsia" w:ascii="仿宋_GB2312" w:eastAsia="仿宋_GB2312"/>
          <w:sz w:val="32"/>
          <w:highlight w:val="none"/>
          <w:lang w:eastAsia="zh-CN"/>
        </w:rPr>
        <w:t>反映社会保险经办机构开展业务工作的支出</w:t>
      </w:r>
      <w:r>
        <w:rPr>
          <w:rFonts w:hint="eastAsia" w:ascii="仿宋_GB2312" w:eastAsia="仿宋_GB2312"/>
          <w:sz w:val="32"/>
          <w:highlight w:val="none"/>
        </w:rPr>
        <w:t>。</w:t>
      </w:r>
    </w:p>
    <w:p>
      <w:pPr>
        <w:pStyle w:val="7"/>
        <w:keepNext w:val="0"/>
        <w:keepLines w:val="0"/>
        <w:pageBreakBefore w:val="0"/>
        <w:numPr>
          <w:ilvl w:val="0"/>
          <w:numId w:val="4"/>
        </w:numPr>
        <w:kinsoku/>
        <w:wordWrap/>
        <w:overflowPunct/>
        <w:topLinePunct w:val="0"/>
        <w:autoSpaceDE/>
        <w:bidi w:val="0"/>
        <w:adjustRightInd/>
        <w:snapToGrid/>
        <w:spacing w:before="0" w:beforeLines="0" w:after="0" w:afterLines="0" w:line="560" w:lineRule="exact"/>
        <w:ind w:left="0" w:leftChars="0" w:right="0" w:rightChars="0" w:firstLine="722"/>
        <w:jc w:val="both"/>
        <w:textAlignment w:val="auto"/>
        <w:outlineLvl w:val="9"/>
        <w:rPr>
          <w:rFonts w:hint="eastAsia" w:ascii="仿宋_GB2312" w:eastAsia="仿宋_GB2312"/>
          <w:sz w:val="32"/>
          <w:szCs w:val="32"/>
          <w:highlight w:val="none"/>
          <w:lang w:val="en-US" w:eastAsia="zh-CN"/>
        </w:rPr>
      </w:pPr>
      <w:r>
        <w:rPr>
          <w:rFonts w:hint="eastAsia" w:ascii="仿宋_GB2312" w:eastAsia="仿宋_GB2312"/>
          <w:b/>
          <w:sz w:val="32"/>
          <w:highlight w:val="none"/>
          <w:lang w:eastAsia="zh-CN"/>
        </w:rPr>
        <w:t>社会保障和就业支出</w:t>
      </w:r>
      <w:r>
        <w:rPr>
          <w:rFonts w:hint="eastAsia" w:ascii="仿宋_GB2312" w:eastAsia="仿宋_GB2312"/>
          <w:b/>
          <w:sz w:val="32"/>
          <w:highlight w:val="none"/>
        </w:rPr>
        <w:t>（类）</w:t>
      </w:r>
      <w:r>
        <w:rPr>
          <w:rFonts w:hint="eastAsia" w:ascii="仿宋_GB2312" w:eastAsia="仿宋_GB2312"/>
          <w:b/>
          <w:sz w:val="32"/>
          <w:highlight w:val="none"/>
          <w:lang w:eastAsia="zh-CN"/>
        </w:rPr>
        <w:t>人力资源和社会保障管理事务</w:t>
      </w:r>
      <w:r>
        <w:rPr>
          <w:rFonts w:hint="eastAsia" w:ascii="仿宋_GB2312" w:eastAsia="仿宋_GB2312"/>
          <w:b/>
          <w:sz w:val="32"/>
          <w:highlight w:val="none"/>
        </w:rPr>
        <w:t>（款）</w:t>
      </w:r>
      <w:r>
        <w:rPr>
          <w:rFonts w:hint="eastAsia" w:ascii="仿宋_GB2312" w:eastAsia="仿宋_GB2312"/>
          <w:b/>
          <w:sz w:val="32"/>
          <w:highlight w:val="none"/>
          <w:lang w:eastAsia="zh-CN"/>
        </w:rPr>
        <w:t>社会保险业务管理事务</w:t>
      </w:r>
      <w:r>
        <w:rPr>
          <w:rFonts w:hint="eastAsia" w:ascii="仿宋_GB2312" w:eastAsia="仿宋_GB2312"/>
          <w:b/>
          <w:sz w:val="32"/>
          <w:highlight w:val="none"/>
        </w:rPr>
        <w:t>（项）：</w:t>
      </w:r>
      <w:r>
        <w:rPr>
          <w:rFonts w:hint="eastAsia" w:ascii="仿宋_GB2312" w:eastAsia="仿宋_GB2312"/>
          <w:sz w:val="32"/>
          <w:highlight w:val="none"/>
          <w:lang w:eastAsia="zh-CN"/>
        </w:rPr>
        <w:t>反映社会保险业务管理和基金监督方面的支出</w:t>
      </w:r>
      <w:r>
        <w:rPr>
          <w:rFonts w:hint="eastAsia" w:ascii="仿宋_GB2312" w:eastAsia="仿宋_GB2312"/>
          <w:sz w:val="32"/>
          <w:highlight w:val="none"/>
        </w:rPr>
        <w:t>。</w:t>
      </w:r>
    </w:p>
    <w:p>
      <w:pPr>
        <w:pStyle w:val="7"/>
        <w:keepNext w:val="0"/>
        <w:keepLines w:val="0"/>
        <w:pageBreakBefore w:val="0"/>
        <w:numPr>
          <w:ilvl w:val="0"/>
          <w:numId w:val="4"/>
        </w:numPr>
        <w:kinsoku/>
        <w:wordWrap/>
        <w:overflowPunct/>
        <w:topLinePunct w:val="0"/>
        <w:autoSpaceDE/>
        <w:bidi w:val="0"/>
        <w:adjustRightInd/>
        <w:snapToGrid/>
        <w:spacing w:before="0" w:beforeLines="0" w:after="0" w:afterLines="0" w:line="560" w:lineRule="exact"/>
        <w:ind w:left="0" w:leftChars="0" w:right="0" w:rightChars="0" w:firstLine="722"/>
        <w:jc w:val="both"/>
        <w:textAlignment w:val="auto"/>
        <w:outlineLvl w:val="9"/>
        <w:rPr>
          <w:rFonts w:hint="eastAsia" w:ascii="仿宋_GB2312" w:hAnsi="宋体" w:eastAsia="仿宋_GB2312"/>
          <w:sz w:val="32"/>
          <w:szCs w:val="32"/>
          <w:highlight w:val="none"/>
          <w:lang w:val="en-US" w:eastAsia="zh-CN"/>
        </w:rPr>
      </w:pPr>
      <w:r>
        <w:rPr>
          <w:rFonts w:ascii="仿宋_GB2312" w:eastAsia="仿宋_GB2312"/>
          <w:b/>
          <w:sz w:val="32"/>
          <w:szCs w:val="32"/>
        </w:rPr>
        <w:t>社会保障和就业支出（类）人力资源和社会保障管理事务（款）公共就业服务和职业技能鉴定机构（项）：</w:t>
      </w:r>
      <w:r>
        <w:rPr>
          <w:rFonts w:ascii="仿宋_GB2312" w:eastAsia="仿宋_GB2312"/>
          <w:sz w:val="32"/>
          <w:szCs w:val="32"/>
        </w:rPr>
        <w:t>反映公共就业服务和职业技能鉴定机构的支出。</w:t>
      </w:r>
    </w:p>
    <w:p>
      <w:pPr>
        <w:pStyle w:val="7"/>
        <w:keepNext w:val="0"/>
        <w:keepLines w:val="0"/>
        <w:pageBreakBefore w:val="0"/>
        <w:numPr>
          <w:ilvl w:val="0"/>
          <w:numId w:val="4"/>
        </w:numPr>
        <w:kinsoku/>
        <w:wordWrap/>
        <w:overflowPunct/>
        <w:topLinePunct w:val="0"/>
        <w:autoSpaceDE/>
        <w:bidi w:val="0"/>
        <w:adjustRightInd/>
        <w:snapToGrid/>
        <w:spacing w:before="0" w:beforeLines="0" w:after="0" w:afterLines="0" w:line="560" w:lineRule="exact"/>
        <w:ind w:left="0" w:leftChars="0" w:right="0" w:rightChars="0" w:firstLine="722"/>
        <w:jc w:val="both"/>
        <w:textAlignment w:val="auto"/>
        <w:outlineLvl w:val="9"/>
        <w:rPr>
          <w:rFonts w:hint="eastAsia" w:ascii="仿宋_GB2312" w:eastAsia="仿宋_GB2312"/>
          <w:sz w:val="32"/>
          <w:szCs w:val="32"/>
          <w:highlight w:val="none"/>
          <w:lang w:val="en-US" w:eastAsia="zh-CN"/>
        </w:rPr>
      </w:pPr>
      <w:r>
        <w:rPr>
          <w:rFonts w:hint="eastAsia" w:ascii="仿宋_GB2312" w:eastAsia="仿宋_GB2312"/>
          <w:b/>
          <w:sz w:val="32"/>
        </w:rPr>
        <w:t>社会保障和就业支出</w:t>
      </w:r>
      <w:r>
        <w:rPr>
          <w:rFonts w:ascii="仿宋_GB2312" w:eastAsia="仿宋_GB2312"/>
          <w:b/>
          <w:sz w:val="32"/>
        </w:rPr>
        <w:t>（类）</w:t>
      </w:r>
      <w:r>
        <w:rPr>
          <w:rFonts w:hint="eastAsia" w:ascii="仿宋_GB2312" w:eastAsia="仿宋_GB2312"/>
          <w:b/>
          <w:sz w:val="32"/>
        </w:rPr>
        <w:t>人力资源和社会保障管理事务</w:t>
      </w:r>
      <w:r>
        <w:rPr>
          <w:rFonts w:ascii="仿宋_GB2312" w:eastAsia="仿宋_GB2312"/>
          <w:b/>
          <w:sz w:val="32"/>
        </w:rPr>
        <w:t>（款）</w:t>
      </w:r>
      <w:r>
        <w:rPr>
          <w:rFonts w:hint="eastAsia" w:ascii="仿宋_GB2312" w:hAnsi="宋体" w:eastAsia="仿宋_GB2312"/>
          <w:b/>
          <w:bCs/>
          <w:sz w:val="32"/>
          <w:szCs w:val="32"/>
          <w:highlight w:val="none"/>
        </w:rPr>
        <w:t>引进人才费用</w:t>
      </w:r>
      <w:r>
        <w:rPr>
          <w:rFonts w:hint="eastAsia" w:ascii="仿宋_GB2312" w:hAnsi="宋体" w:eastAsia="仿宋_GB2312"/>
          <w:b/>
          <w:bCs/>
          <w:sz w:val="32"/>
          <w:szCs w:val="32"/>
          <w:highlight w:val="none"/>
          <w:lang w:eastAsia="zh-CN"/>
        </w:rPr>
        <w:t>（</w:t>
      </w:r>
      <w:r>
        <w:rPr>
          <w:rFonts w:hint="eastAsia" w:ascii="仿宋_GB2312" w:hAnsi="宋体" w:eastAsia="仿宋_GB2312"/>
          <w:b/>
          <w:bCs/>
          <w:sz w:val="32"/>
          <w:szCs w:val="32"/>
          <w:highlight w:val="none"/>
          <w:lang w:val="en-US" w:eastAsia="zh-CN"/>
        </w:rPr>
        <w:t>项）</w:t>
      </w:r>
      <w:r>
        <w:rPr>
          <w:rFonts w:hint="eastAsia" w:ascii="仿宋_GB2312" w:eastAsia="仿宋_GB2312"/>
          <w:sz w:val="32"/>
          <w:szCs w:val="32"/>
          <w:highlight w:val="none"/>
          <w:lang w:val="en-US" w:eastAsia="zh-CN"/>
        </w:rPr>
        <w:t>：反映用于引进外国专家补助、引智成果推广等方面的支出。</w:t>
      </w:r>
    </w:p>
    <w:p>
      <w:pPr>
        <w:pStyle w:val="7"/>
        <w:keepNext w:val="0"/>
        <w:keepLines w:val="0"/>
        <w:pageBreakBefore w:val="0"/>
        <w:numPr>
          <w:ilvl w:val="0"/>
          <w:numId w:val="4"/>
        </w:numPr>
        <w:kinsoku/>
        <w:wordWrap/>
        <w:overflowPunct/>
        <w:topLinePunct w:val="0"/>
        <w:autoSpaceDE/>
        <w:bidi w:val="0"/>
        <w:adjustRightInd/>
        <w:snapToGrid/>
        <w:spacing w:before="0" w:beforeLines="0" w:after="0" w:afterLines="0" w:line="560" w:lineRule="exact"/>
        <w:ind w:left="0" w:leftChars="0" w:right="0" w:rightChars="0" w:firstLine="722"/>
        <w:jc w:val="both"/>
        <w:textAlignment w:val="auto"/>
        <w:outlineLvl w:val="9"/>
        <w:rPr>
          <w:rFonts w:hint="eastAsia" w:ascii="仿宋_GB2312" w:eastAsia="仿宋_GB2312"/>
          <w:b/>
          <w:sz w:val="32"/>
          <w:szCs w:val="32"/>
        </w:rPr>
      </w:pPr>
      <w:r>
        <w:rPr>
          <w:rFonts w:hint="eastAsia" w:ascii="仿宋_GB2312" w:eastAsia="仿宋_GB2312"/>
          <w:b/>
          <w:sz w:val="32"/>
        </w:rPr>
        <w:t>社会保障和就业支出</w:t>
      </w:r>
      <w:r>
        <w:rPr>
          <w:rFonts w:ascii="仿宋_GB2312" w:eastAsia="仿宋_GB2312"/>
          <w:b/>
          <w:sz w:val="32"/>
        </w:rPr>
        <w:t>（类）</w:t>
      </w:r>
      <w:r>
        <w:rPr>
          <w:rFonts w:hint="eastAsia" w:ascii="仿宋_GB2312" w:eastAsia="仿宋_GB2312"/>
          <w:b/>
          <w:sz w:val="32"/>
        </w:rPr>
        <w:t>人力资源和社会保障管理事务</w:t>
      </w:r>
      <w:r>
        <w:rPr>
          <w:rFonts w:ascii="仿宋_GB2312" w:eastAsia="仿宋_GB2312"/>
          <w:b/>
          <w:sz w:val="32"/>
        </w:rPr>
        <w:t>（款）</w:t>
      </w:r>
      <w:r>
        <w:rPr>
          <w:rFonts w:hint="eastAsia" w:ascii="仿宋_GB2312" w:hAnsi="宋体" w:eastAsia="仿宋_GB2312"/>
          <w:b/>
          <w:bCs/>
          <w:sz w:val="32"/>
          <w:szCs w:val="32"/>
          <w:highlight w:val="none"/>
        </w:rPr>
        <w:t>其他人力资源事务支出</w:t>
      </w:r>
      <w:r>
        <w:rPr>
          <w:rFonts w:hint="eastAsia" w:ascii="仿宋_GB2312" w:hAnsi="宋体" w:eastAsia="仿宋_GB2312"/>
          <w:b/>
          <w:bCs/>
          <w:sz w:val="32"/>
          <w:szCs w:val="32"/>
          <w:highlight w:val="none"/>
          <w:lang w:eastAsia="zh-CN"/>
        </w:rPr>
        <w:t>（</w:t>
      </w:r>
      <w:r>
        <w:rPr>
          <w:rFonts w:hint="eastAsia" w:ascii="仿宋_GB2312" w:hAnsi="宋体" w:eastAsia="仿宋_GB2312"/>
          <w:b/>
          <w:bCs/>
          <w:sz w:val="32"/>
          <w:szCs w:val="32"/>
          <w:highlight w:val="none"/>
          <w:lang w:val="en-US" w:eastAsia="zh-CN"/>
        </w:rPr>
        <w:t>项）</w:t>
      </w:r>
      <w:r>
        <w:rPr>
          <w:rFonts w:hint="eastAsia" w:ascii="仿宋_GB2312" w:eastAsia="仿宋_GB2312"/>
          <w:b/>
          <w:bCs/>
          <w:sz w:val="32"/>
          <w:szCs w:val="32"/>
          <w:highlight w:val="none"/>
          <w:lang w:val="en-US" w:eastAsia="zh-CN"/>
        </w:rPr>
        <w:t>：</w:t>
      </w:r>
      <w:r>
        <w:rPr>
          <w:rFonts w:hint="eastAsia" w:ascii="仿宋_GB2312" w:eastAsia="仿宋_GB2312"/>
          <w:sz w:val="32"/>
          <w:szCs w:val="32"/>
          <w:highlight w:val="none"/>
          <w:lang w:val="en-US" w:eastAsia="zh-CN"/>
        </w:rPr>
        <w:t>反映除上述项目以外其他</w:t>
      </w:r>
      <w:r>
        <w:rPr>
          <w:rFonts w:hint="eastAsia" w:ascii="仿宋_GB2312" w:hAnsi="宋体" w:eastAsia="仿宋_GB2312"/>
          <w:sz w:val="32"/>
          <w:szCs w:val="32"/>
          <w:highlight w:val="none"/>
          <w:lang w:val="en-US" w:eastAsia="zh-CN"/>
        </w:rPr>
        <w:t>人力资源事务</w:t>
      </w:r>
      <w:r>
        <w:rPr>
          <w:rFonts w:hint="eastAsia" w:ascii="仿宋_GB2312" w:eastAsia="仿宋_GB2312"/>
          <w:sz w:val="32"/>
          <w:szCs w:val="32"/>
          <w:highlight w:val="none"/>
          <w:lang w:val="en-US" w:eastAsia="zh-CN"/>
        </w:rPr>
        <w:t>方面的支出。</w:t>
      </w:r>
    </w:p>
    <w:p>
      <w:pPr>
        <w:pStyle w:val="7"/>
        <w:keepNext w:val="0"/>
        <w:keepLines w:val="0"/>
        <w:pageBreakBefore w:val="0"/>
        <w:numPr>
          <w:ilvl w:val="0"/>
          <w:numId w:val="4"/>
        </w:numPr>
        <w:kinsoku/>
        <w:wordWrap/>
        <w:overflowPunct/>
        <w:topLinePunct w:val="0"/>
        <w:autoSpaceDE/>
        <w:bidi w:val="0"/>
        <w:adjustRightInd/>
        <w:snapToGrid/>
        <w:spacing w:before="0" w:beforeLines="0" w:after="0" w:afterLines="0" w:line="560" w:lineRule="exact"/>
        <w:ind w:left="0" w:leftChars="0" w:right="0" w:rightChars="0" w:firstLine="722"/>
        <w:jc w:val="both"/>
        <w:textAlignment w:val="auto"/>
        <w:outlineLvl w:val="9"/>
        <w:rPr>
          <w:rFonts w:hint="eastAsia" w:ascii="仿宋_GB2312" w:eastAsia="仿宋_GB2312"/>
          <w:b/>
          <w:sz w:val="32"/>
          <w:szCs w:val="32"/>
        </w:rPr>
      </w:pPr>
      <w:r>
        <w:rPr>
          <w:rFonts w:hint="eastAsia" w:ascii="仿宋_GB2312" w:hAnsi="宋体" w:eastAsia="仿宋_GB2312"/>
          <w:b/>
          <w:bCs/>
          <w:sz w:val="32"/>
          <w:szCs w:val="32"/>
          <w:highlight w:val="none"/>
        </w:rPr>
        <w:t>社会保障和就业支出</w:t>
      </w:r>
      <w:r>
        <w:rPr>
          <w:rFonts w:hint="eastAsia" w:ascii="仿宋_GB2312" w:hAnsi="宋体" w:eastAsia="仿宋_GB2312"/>
          <w:b/>
          <w:bCs/>
          <w:sz w:val="32"/>
          <w:szCs w:val="32"/>
          <w:highlight w:val="none"/>
          <w:lang w:eastAsia="zh-CN"/>
        </w:rPr>
        <w:t>（</w:t>
      </w:r>
      <w:r>
        <w:rPr>
          <w:rFonts w:hint="eastAsia" w:ascii="仿宋_GB2312" w:hAnsi="宋体" w:eastAsia="仿宋_GB2312"/>
          <w:b/>
          <w:bCs/>
          <w:sz w:val="32"/>
          <w:szCs w:val="32"/>
          <w:highlight w:val="none"/>
          <w:lang w:val="en-US" w:eastAsia="zh-CN"/>
        </w:rPr>
        <w:t>类）</w:t>
      </w:r>
      <w:r>
        <w:rPr>
          <w:rFonts w:hint="eastAsia" w:ascii="仿宋_GB2312" w:hAnsi="宋体" w:eastAsia="仿宋_GB2312"/>
          <w:b/>
          <w:bCs/>
          <w:color w:val="auto"/>
          <w:sz w:val="32"/>
          <w:szCs w:val="32"/>
          <w:highlight w:val="none"/>
          <w:lang w:val="en-US" w:eastAsia="zh-CN"/>
        </w:rPr>
        <w:t>行政事业单位养老支出</w:t>
      </w:r>
      <w:r>
        <w:rPr>
          <w:rFonts w:hint="eastAsia" w:ascii="仿宋_GB2312" w:hAnsi="宋体" w:eastAsia="仿宋_GB2312"/>
          <w:b/>
          <w:bCs/>
          <w:sz w:val="32"/>
          <w:szCs w:val="32"/>
          <w:highlight w:val="none"/>
          <w:lang w:val="en-US" w:eastAsia="zh-CN"/>
        </w:rPr>
        <w:t>（款）行政单位离退休</w:t>
      </w:r>
      <w:r>
        <w:rPr>
          <w:rFonts w:hint="eastAsia" w:ascii="仿宋_GB2312" w:hAnsi="宋体" w:eastAsia="仿宋_GB2312"/>
          <w:b/>
          <w:bCs/>
          <w:sz w:val="32"/>
          <w:szCs w:val="32"/>
          <w:highlight w:val="none"/>
          <w:lang w:eastAsia="zh-CN"/>
        </w:rPr>
        <w:t>（</w:t>
      </w:r>
      <w:r>
        <w:rPr>
          <w:rFonts w:hint="eastAsia" w:ascii="仿宋_GB2312" w:hAnsi="宋体" w:eastAsia="仿宋_GB2312"/>
          <w:b/>
          <w:bCs/>
          <w:sz w:val="32"/>
          <w:szCs w:val="32"/>
          <w:highlight w:val="none"/>
          <w:lang w:val="en-US" w:eastAsia="zh-CN"/>
        </w:rPr>
        <w:t>项）</w:t>
      </w:r>
      <w:r>
        <w:rPr>
          <w:rFonts w:hint="eastAsia" w:ascii="仿宋_GB2312" w:eastAsia="仿宋_GB2312"/>
          <w:b/>
          <w:bCs/>
          <w:sz w:val="32"/>
          <w:szCs w:val="32"/>
          <w:highlight w:val="none"/>
          <w:lang w:val="en-US" w:eastAsia="zh-CN"/>
        </w:rPr>
        <w:t>：</w:t>
      </w:r>
      <w:r>
        <w:rPr>
          <w:rFonts w:hint="eastAsia" w:ascii="仿宋_GB2312" w:eastAsia="仿宋_GB2312"/>
          <w:sz w:val="32"/>
          <w:highlight w:val="none"/>
        </w:rPr>
        <w:t>反映行政单位（包括实行公务员管理的事业单位）</w:t>
      </w:r>
      <w:r>
        <w:rPr>
          <w:rFonts w:hint="eastAsia" w:ascii="仿宋_GB2312" w:eastAsia="仿宋_GB2312"/>
          <w:sz w:val="32"/>
          <w:highlight w:val="none"/>
          <w:lang w:eastAsia="zh-CN"/>
        </w:rPr>
        <w:t>开支的离退休经费。</w:t>
      </w:r>
    </w:p>
    <w:p>
      <w:pPr>
        <w:pStyle w:val="7"/>
        <w:keepNext w:val="0"/>
        <w:keepLines w:val="0"/>
        <w:pageBreakBefore w:val="0"/>
        <w:numPr>
          <w:ilvl w:val="0"/>
          <w:numId w:val="4"/>
        </w:numPr>
        <w:kinsoku/>
        <w:wordWrap/>
        <w:overflowPunct/>
        <w:topLinePunct w:val="0"/>
        <w:autoSpaceDE/>
        <w:bidi w:val="0"/>
        <w:adjustRightInd/>
        <w:snapToGrid/>
        <w:spacing w:before="0" w:beforeLines="0" w:after="0" w:afterLines="0" w:line="560" w:lineRule="exact"/>
        <w:ind w:left="0" w:leftChars="0" w:right="0" w:rightChars="0" w:firstLine="722"/>
        <w:jc w:val="both"/>
        <w:textAlignment w:val="auto"/>
        <w:outlineLvl w:val="9"/>
        <w:rPr>
          <w:rFonts w:hint="eastAsia" w:ascii="仿宋_GB2312" w:eastAsia="仿宋_GB2312"/>
          <w:sz w:val="32"/>
          <w:szCs w:val="32"/>
          <w:highlight w:val="none"/>
          <w:lang w:val="en-US" w:eastAsia="zh-CN"/>
        </w:rPr>
      </w:pPr>
      <w:r>
        <w:rPr>
          <w:rFonts w:hint="eastAsia" w:ascii="仿宋_GB2312" w:eastAsia="仿宋_GB2312"/>
          <w:b/>
          <w:sz w:val="32"/>
          <w:szCs w:val="32"/>
        </w:rPr>
        <w:t>社会保障和就业</w:t>
      </w:r>
      <w:r>
        <w:rPr>
          <w:rFonts w:hint="eastAsia" w:ascii="仿宋_GB2312" w:eastAsia="仿宋_GB2312"/>
          <w:b/>
          <w:sz w:val="32"/>
          <w:szCs w:val="32"/>
          <w:lang w:eastAsia="zh-CN"/>
        </w:rPr>
        <w:t>支出</w:t>
      </w:r>
      <w:r>
        <w:rPr>
          <w:rFonts w:hint="eastAsia" w:ascii="仿宋_GB2312" w:eastAsia="仿宋_GB2312"/>
          <w:b/>
          <w:sz w:val="32"/>
          <w:szCs w:val="32"/>
        </w:rPr>
        <w:t>（类）行政事业单位</w:t>
      </w:r>
      <w:r>
        <w:rPr>
          <w:rFonts w:hint="eastAsia" w:ascii="仿宋_GB2312" w:eastAsia="仿宋_GB2312"/>
          <w:b/>
          <w:sz w:val="32"/>
          <w:szCs w:val="32"/>
          <w:lang w:eastAsia="zh-CN"/>
        </w:rPr>
        <w:t>养老支出</w:t>
      </w:r>
      <w:r>
        <w:rPr>
          <w:rFonts w:hint="eastAsia" w:ascii="仿宋_GB2312" w:eastAsia="仿宋_GB2312"/>
          <w:b/>
          <w:sz w:val="32"/>
          <w:szCs w:val="32"/>
        </w:rPr>
        <w:t>（款）事业单位离退休（项）：</w:t>
      </w:r>
      <w:r>
        <w:rPr>
          <w:rFonts w:hint="eastAsia" w:ascii="仿宋_GB2312" w:eastAsia="仿宋_GB2312"/>
          <w:sz w:val="32"/>
          <w:szCs w:val="32"/>
        </w:rPr>
        <w:t>反映事业单位开支的离退休经费。</w:t>
      </w:r>
    </w:p>
    <w:p>
      <w:pPr>
        <w:pStyle w:val="7"/>
        <w:keepNext w:val="0"/>
        <w:keepLines w:val="0"/>
        <w:pageBreakBefore w:val="0"/>
        <w:numPr>
          <w:ilvl w:val="0"/>
          <w:numId w:val="4"/>
        </w:numPr>
        <w:kinsoku/>
        <w:wordWrap/>
        <w:overflowPunct/>
        <w:topLinePunct w:val="0"/>
        <w:autoSpaceDE/>
        <w:bidi w:val="0"/>
        <w:adjustRightInd/>
        <w:snapToGrid/>
        <w:spacing w:before="0" w:beforeLines="0" w:after="0" w:afterLines="0" w:line="560" w:lineRule="exact"/>
        <w:ind w:left="0" w:leftChars="0" w:right="0" w:rightChars="0" w:firstLine="722"/>
        <w:jc w:val="both"/>
        <w:textAlignment w:val="auto"/>
        <w:outlineLvl w:val="9"/>
        <w:rPr>
          <w:rFonts w:hint="eastAsia" w:ascii="仿宋_GB2312" w:eastAsia="仿宋_GB2312"/>
          <w:sz w:val="32"/>
          <w:szCs w:val="32"/>
          <w:highlight w:val="none"/>
          <w:lang w:val="en-US" w:eastAsia="zh-CN"/>
        </w:rPr>
      </w:pPr>
      <w:r>
        <w:rPr>
          <w:rFonts w:hint="eastAsia" w:ascii="仿宋_GB2312" w:hAnsi="宋体" w:eastAsia="仿宋_GB2312"/>
          <w:b/>
          <w:bCs/>
          <w:sz w:val="32"/>
          <w:szCs w:val="32"/>
          <w:highlight w:val="none"/>
        </w:rPr>
        <w:t>社会保障和就业支出</w:t>
      </w:r>
      <w:r>
        <w:rPr>
          <w:rFonts w:hint="eastAsia" w:ascii="仿宋_GB2312" w:hAnsi="宋体" w:eastAsia="仿宋_GB2312"/>
          <w:b/>
          <w:bCs/>
          <w:sz w:val="32"/>
          <w:szCs w:val="32"/>
          <w:highlight w:val="none"/>
          <w:lang w:eastAsia="zh-CN"/>
        </w:rPr>
        <w:t>（</w:t>
      </w:r>
      <w:r>
        <w:rPr>
          <w:rFonts w:hint="eastAsia" w:ascii="仿宋_GB2312" w:hAnsi="宋体" w:eastAsia="仿宋_GB2312"/>
          <w:b/>
          <w:bCs/>
          <w:sz w:val="32"/>
          <w:szCs w:val="32"/>
          <w:highlight w:val="none"/>
          <w:lang w:val="en-US" w:eastAsia="zh-CN"/>
        </w:rPr>
        <w:t>类）</w:t>
      </w:r>
      <w:r>
        <w:rPr>
          <w:rFonts w:hint="eastAsia" w:ascii="仿宋_GB2312" w:hAnsi="宋体" w:eastAsia="仿宋_GB2312"/>
          <w:b/>
          <w:bCs/>
          <w:color w:val="auto"/>
          <w:sz w:val="32"/>
          <w:szCs w:val="32"/>
          <w:highlight w:val="none"/>
          <w:lang w:val="en-US" w:eastAsia="zh-CN"/>
        </w:rPr>
        <w:t>行政事业单位养老支出</w:t>
      </w:r>
      <w:r>
        <w:rPr>
          <w:rFonts w:hint="eastAsia" w:ascii="仿宋_GB2312" w:hAnsi="宋体" w:eastAsia="仿宋_GB2312"/>
          <w:b/>
          <w:bCs/>
          <w:sz w:val="32"/>
          <w:szCs w:val="32"/>
          <w:highlight w:val="none"/>
          <w:lang w:val="en-US" w:eastAsia="zh-CN"/>
        </w:rPr>
        <w:t>（款）  机关事业单位基本养老保险缴费支出</w:t>
      </w:r>
      <w:r>
        <w:rPr>
          <w:rFonts w:hint="eastAsia" w:ascii="仿宋_GB2312" w:hAnsi="宋体" w:eastAsia="仿宋_GB2312"/>
          <w:b/>
          <w:bCs/>
          <w:sz w:val="32"/>
          <w:szCs w:val="32"/>
          <w:highlight w:val="none"/>
          <w:lang w:eastAsia="zh-CN"/>
        </w:rPr>
        <w:t>（</w:t>
      </w:r>
      <w:r>
        <w:rPr>
          <w:rFonts w:hint="eastAsia" w:ascii="仿宋_GB2312" w:hAnsi="宋体" w:eastAsia="仿宋_GB2312"/>
          <w:b/>
          <w:bCs/>
          <w:sz w:val="32"/>
          <w:szCs w:val="32"/>
          <w:highlight w:val="none"/>
          <w:lang w:val="en-US" w:eastAsia="zh-CN"/>
        </w:rPr>
        <w:t>项）</w:t>
      </w:r>
      <w:r>
        <w:rPr>
          <w:rFonts w:hint="eastAsia" w:ascii="仿宋_GB2312" w:eastAsia="仿宋_GB2312"/>
          <w:b/>
          <w:bCs/>
          <w:sz w:val="32"/>
          <w:szCs w:val="32"/>
          <w:highlight w:val="none"/>
          <w:lang w:val="en-US" w:eastAsia="zh-CN"/>
        </w:rPr>
        <w:t>：</w:t>
      </w:r>
      <w:r>
        <w:rPr>
          <w:rFonts w:hint="eastAsia" w:ascii="仿宋_GB2312" w:eastAsia="仿宋_GB2312"/>
          <w:sz w:val="32"/>
          <w:szCs w:val="32"/>
          <w:highlight w:val="none"/>
          <w:lang w:val="en-US" w:eastAsia="zh-CN"/>
        </w:rPr>
        <w:t>反映事业单位实施养老保险制度由单位实际缴纳的基本养老保险费支出。</w:t>
      </w:r>
    </w:p>
    <w:p>
      <w:pPr>
        <w:pStyle w:val="7"/>
        <w:keepNext w:val="0"/>
        <w:keepLines w:val="0"/>
        <w:pageBreakBefore w:val="0"/>
        <w:numPr>
          <w:ilvl w:val="0"/>
          <w:numId w:val="4"/>
        </w:numPr>
        <w:kinsoku/>
        <w:wordWrap/>
        <w:overflowPunct/>
        <w:topLinePunct w:val="0"/>
        <w:autoSpaceDE/>
        <w:bidi w:val="0"/>
        <w:adjustRightInd/>
        <w:snapToGrid/>
        <w:spacing w:before="0" w:beforeLines="0" w:after="0" w:afterLines="0" w:line="560" w:lineRule="exact"/>
        <w:ind w:left="0" w:leftChars="0" w:right="0" w:rightChars="0" w:firstLine="722"/>
        <w:jc w:val="both"/>
        <w:textAlignment w:val="auto"/>
        <w:outlineLvl w:val="9"/>
        <w:rPr>
          <w:rFonts w:hint="eastAsia" w:ascii="仿宋_GB2312" w:eastAsia="仿宋_GB2312"/>
          <w:sz w:val="32"/>
          <w:szCs w:val="32"/>
          <w:highlight w:val="none"/>
          <w:lang w:val="en-US" w:eastAsia="zh-CN"/>
        </w:rPr>
      </w:pPr>
      <w:r>
        <w:rPr>
          <w:rFonts w:hint="eastAsia" w:ascii="仿宋_GB2312" w:hAnsi="宋体" w:eastAsia="仿宋_GB2312"/>
          <w:b/>
          <w:bCs/>
          <w:sz w:val="32"/>
          <w:szCs w:val="32"/>
          <w:highlight w:val="none"/>
        </w:rPr>
        <w:t>社会保障和就业支出</w:t>
      </w:r>
      <w:r>
        <w:rPr>
          <w:rFonts w:hint="eastAsia" w:ascii="仿宋_GB2312" w:hAnsi="宋体" w:eastAsia="仿宋_GB2312"/>
          <w:b/>
          <w:bCs/>
          <w:sz w:val="32"/>
          <w:szCs w:val="32"/>
          <w:highlight w:val="none"/>
          <w:lang w:eastAsia="zh-CN"/>
        </w:rPr>
        <w:t>（</w:t>
      </w:r>
      <w:r>
        <w:rPr>
          <w:rFonts w:hint="eastAsia" w:ascii="仿宋_GB2312" w:hAnsi="宋体" w:eastAsia="仿宋_GB2312"/>
          <w:b/>
          <w:bCs/>
          <w:sz w:val="32"/>
          <w:szCs w:val="32"/>
          <w:highlight w:val="none"/>
          <w:lang w:val="en-US" w:eastAsia="zh-CN"/>
        </w:rPr>
        <w:t>类）</w:t>
      </w:r>
      <w:r>
        <w:rPr>
          <w:rFonts w:hint="eastAsia" w:ascii="仿宋_GB2312" w:hAnsi="宋体" w:eastAsia="仿宋_GB2312"/>
          <w:b/>
          <w:bCs/>
          <w:color w:val="auto"/>
          <w:sz w:val="32"/>
          <w:szCs w:val="32"/>
          <w:highlight w:val="none"/>
          <w:lang w:val="en-US" w:eastAsia="zh-CN"/>
        </w:rPr>
        <w:t>行政事业单位养老支出</w:t>
      </w:r>
      <w:r>
        <w:rPr>
          <w:rFonts w:hint="eastAsia" w:ascii="仿宋_GB2312" w:hAnsi="宋体" w:eastAsia="仿宋_GB2312"/>
          <w:b/>
          <w:bCs/>
          <w:sz w:val="32"/>
          <w:szCs w:val="32"/>
          <w:highlight w:val="none"/>
          <w:lang w:val="en-US" w:eastAsia="zh-CN"/>
        </w:rPr>
        <w:t>（款）    机关事业单位职业年金缴费支出</w:t>
      </w:r>
      <w:r>
        <w:rPr>
          <w:rFonts w:hint="eastAsia" w:ascii="仿宋_GB2312" w:hAnsi="宋体" w:eastAsia="仿宋_GB2312"/>
          <w:b/>
          <w:bCs/>
          <w:sz w:val="32"/>
          <w:szCs w:val="32"/>
          <w:highlight w:val="none"/>
          <w:lang w:eastAsia="zh-CN"/>
        </w:rPr>
        <w:t>（</w:t>
      </w:r>
      <w:r>
        <w:rPr>
          <w:rFonts w:hint="eastAsia" w:ascii="仿宋_GB2312" w:hAnsi="宋体" w:eastAsia="仿宋_GB2312"/>
          <w:b/>
          <w:bCs/>
          <w:sz w:val="32"/>
          <w:szCs w:val="32"/>
          <w:highlight w:val="none"/>
          <w:lang w:val="en-US" w:eastAsia="zh-CN"/>
        </w:rPr>
        <w:t>项）</w:t>
      </w:r>
      <w:r>
        <w:rPr>
          <w:rFonts w:hint="eastAsia" w:ascii="仿宋_GB2312" w:eastAsia="仿宋_GB2312"/>
          <w:b/>
          <w:bCs/>
          <w:sz w:val="32"/>
          <w:szCs w:val="32"/>
          <w:highlight w:val="none"/>
          <w:lang w:val="en-US" w:eastAsia="zh-CN"/>
        </w:rPr>
        <w:t>：</w:t>
      </w:r>
      <w:r>
        <w:rPr>
          <w:rFonts w:hint="eastAsia" w:ascii="仿宋_GB2312" w:eastAsia="仿宋_GB2312"/>
          <w:sz w:val="32"/>
          <w:szCs w:val="32"/>
          <w:highlight w:val="none"/>
          <w:lang w:val="en-US" w:eastAsia="zh-CN"/>
        </w:rPr>
        <w:t>反映事业单位实施养老保险制度由单位实际缴纳的职业年金支出。</w:t>
      </w:r>
    </w:p>
    <w:p>
      <w:pPr>
        <w:pStyle w:val="7"/>
        <w:keepNext w:val="0"/>
        <w:keepLines w:val="0"/>
        <w:pageBreakBefore w:val="0"/>
        <w:numPr>
          <w:ilvl w:val="0"/>
          <w:numId w:val="4"/>
        </w:numPr>
        <w:kinsoku/>
        <w:wordWrap/>
        <w:overflowPunct/>
        <w:topLinePunct w:val="0"/>
        <w:autoSpaceDE/>
        <w:bidi w:val="0"/>
        <w:adjustRightInd/>
        <w:snapToGrid/>
        <w:spacing w:before="0" w:beforeLines="0" w:after="0" w:afterLines="0" w:line="560" w:lineRule="exact"/>
        <w:ind w:left="0" w:leftChars="0" w:right="0" w:rightChars="0" w:firstLine="722"/>
        <w:jc w:val="both"/>
        <w:textAlignment w:val="auto"/>
        <w:outlineLvl w:val="9"/>
        <w:rPr>
          <w:rFonts w:hint="eastAsia" w:ascii="仿宋_GB2312" w:eastAsia="仿宋_GB2312"/>
          <w:color w:val="000000"/>
          <w:sz w:val="32"/>
          <w:szCs w:val="32"/>
          <w:lang w:val="en-US" w:eastAsia="zh-CN"/>
        </w:rPr>
      </w:pPr>
      <w:r>
        <w:rPr>
          <w:rFonts w:ascii="仿宋_GB2312" w:eastAsia="仿宋_GB2312"/>
          <w:b/>
          <w:sz w:val="32"/>
          <w:szCs w:val="32"/>
        </w:rPr>
        <w:t>社会保障和就业支出（类）行政事业单位养老支出（款）  对机关事业单位职业年金的补助（项）：</w:t>
      </w:r>
      <w:r>
        <w:rPr>
          <w:rFonts w:ascii="仿宋_GB2312" w:eastAsia="仿宋_GB2312"/>
          <w:sz w:val="32"/>
          <w:szCs w:val="32"/>
        </w:rPr>
        <w:t>反映各级财政部门对机关事业单位年金记账利息的补助。</w:t>
      </w:r>
    </w:p>
    <w:p>
      <w:pPr>
        <w:pStyle w:val="7"/>
        <w:keepNext w:val="0"/>
        <w:keepLines w:val="0"/>
        <w:pageBreakBefore w:val="0"/>
        <w:numPr>
          <w:ilvl w:val="0"/>
          <w:numId w:val="4"/>
        </w:numPr>
        <w:kinsoku/>
        <w:wordWrap/>
        <w:overflowPunct/>
        <w:topLinePunct w:val="0"/>
        <w:autoSpaceDE/>
        <w:bidi w:val="0"/>
        <w:adjustRightInd/>
        <w:snapToGrid/>
        <w:spacing w:before="0" w:beforeLines="0" w:after="0" w:afterLines="0" w:line="560" w:lineRule="exact"/>
        <w:ind w:left="0" w:leftChars="0" w:right="0" w:rightChars="0" w:firstLine="722"/>
        <w:jc w:val="both"/>
        <w:textAlignment w:val="auto"/>
        <w:outlineLvl w:val="9"/>
        <w:rPr>
          <w:rFonts w:ascii="仿宋_GB2312" w:eastAsia="仿宋_GB2312"/>
          <w:sz w:val="32"/>
          <w:szCs w:val="32"/>
        </w:rPr>
      </w:pPr>
      <w:r>
        <w:rPr>
          <w:rFonts w:hint="eastAsia" w:ascii="仿宋_GB2312" w:eastAsia="仿宋_GB2312"/>
          <w:b/>
          <w:sz w:val="32"/>
          <w:szCs w:val="32"/>
        </w:rPr>
        <w:t>社会保障和就业</w:t>
      </w:r>
      <w:r>
        <w:rPr>
          <w:rFonts w:hint="eastAsia" w:ascii="仿宋_GB2312" w:eastAsia="仿宋_GB2312"/>
          <w:b/>
          <w:sz w:val="32"/>
          <w:szCs w:val="32"/>
          <w:lang w:eastAsia="zh-CN"/>
        </w:rPr>
        <w:t>支出</w:t>
      </w:r>
      <w:r>
        <w:rPr>
          <w:rFonts w:hint="eastAsia" w:ascii="仿宋_GB2312" w:eastAsia="仿宋_GB2312"/>
          <w:b/>
          <w:sz w:val="32"/>
          <w:szCs w:val="32"/>
        </w:rPr>
        <w:t>（类）</w:t>
      </w:r>
      <w:r>
        <w:rPr>
          <w:rFonts w:hint="eastAsia" w:ascii="仿宋_GB2312" w:eastAsia="仿宋_GB2312"/>
          <w:b/>
          <w:sz w:val="32"/>
          <w:szCs w:val="32"/>
          <w:lang w:eastAsia="zh-CN"/>
        </w:rPr>
        <w:t>企业改革补助（款）</w:t>
      </w:r>
      <w:r>
        <w:rPr>
          <w:rFonts w:hint="eastAsia" w:ascii="仿宋_GB2312" w:eastAsia="仿宋_GB2312"/>
          <w:b/>
          <w:sz w:val="32"/>
          <w:szCs w:val="32"/>
          <w:lang w:val="en-US" w:eastAsia="zh-CN"/>
        </w:rPr>
        <w:t>企业关闭破产补助</w:t>
      </w:r>
      <w:r>
        <w:rPr>
          <w:rFonts w:hint="eastAsia" w:ascii="仿宋_GB2312" w:eastAsia="仿宋_GB2312"/>
          <w:b/>
          <w:sz w:val="32"/>
          <w:szCs w:val="32"/>
          <w:lang w:eastAsia="zh-CN"/>
        </w:rPr>
        <w:t>（项）：</w:t>
      </w:r>
      <w:r>
        <w:rPr>
          <w:rFonts w:hint="eastAsia" w:ascii="仿宋_GB2312" w:eastAsia="仿宋_GB2312" w:cs="Times New Roman"/>
          <w:sz w:val="32"/>
          <w:szCs w:val="32"/>
          <w:lang w:eastAsia="zh-CN"/>
        </w:rPr>
        <w:t>反映财政用于国有企业关闭破产所需资金缺口的补助。</w:t>
      </w:r>
    </w:p>
    <w:p>
      <w:pPr>
        <w:pStyle w:val="7"/>
        <w:keepNext w:val="0"/>
        <w:keepLines w:val="0"/>
        <w:pageBreakBefore w:val="0"/>
        <w:numPr>
          <w:ilvl w:val="0"/>
          <w:numId w:val="4"/>
        </w:numPr>
        <w:kinsoku/>
        <w:wordWrap/>
        <w:overflowPunct/>
        <w:topLinePunct w:val="0"/>
        <w:autoSpaceDE/>
        <w:bidi w:val="0"/>
        <w:adjustRightInd/>
        <w:snapToGrid/>
        <w:spacing w:before="0" w:beforeLines="0" w:after="0" w:afterLines="0" w:line="560" w:lineRule="exact"/>
        <w:ind w:left="0" w:leftChars="0" w:right="0" w:rightChars="0" w:firstLine="722"/>
        <w:jc w:val="both"/>
        <w:textAlignment w:val="auto"/>
        <w:outlineLvl w:val="9"/>
        <w:rPr>
          <w:rFonts w:ascii="仿宋_GB2312" w:eastAsia="仿宋_GB2312"/>
          <w:sz w:val="32"/>
          <w:szCs w:val="32"/>
        </w:rPr>
      </w:pPr>
      <w:r>
        <w:rPr>
          <w:rFonts w:ascii="仿宋_GB2312" w:eastAsia="仿宋_GB2312"/>
          <w:b/>
          <w:sz w:val="32"/>
          <w:szCs w:val="32"/>
        </w:rPr>
        <w:t>社会保障和就业支出（类）就业补助（款）社会保险补贴（项）：</w:t>
      </w:r>
      <w:r>
        <w:rPr>
          <w:rFonts w:ascii="仿宋_GB2312" w:eastAsia="仿宋_GB2312"/>
          <w:sz w:val="32"/>
          <w:szCs w:val="32"/>
        </w:rPr>
        <w:t>反映财政对符合条件人员就业后缴纳的社会保险费给予一定的补贴支出。</w:t>
      </w:r>
    </w:p>
    <w:p>
      <w:pPr>
        <w:pStyle w:val="7"/>
        <w:keepNext w:val="0"/>
        <w:keepLines w:val="0"/>
        <w:pageBreakBefore w:val="0"/>
        <w:numPr>
          <w:ilvl w:val="0"/>
          <w:numId w:val="4"/>
        </w:numPr>
        <w:kinsoku/>
        <w:wordWrap/>
        <w:overflowPunct/>
        <w:topLinePunct w:val="0"/>
        <w:autoSpaceDE/>
        <w:bidi w:val="0"/>
        <w:adjustRightInd/>
        <w:snapToGrid/>
        <w:spacing w:before="0" w:beforeLines="0" w:after="0" w:afterLines="0" w:line="560" w:lineRule="exact"/>
        <w:ind w:left="0" w:leftChars="0" w:right="0" w:rightChars="0" w:firstLine="722"/>
        <w:jc w:val="both"/>
        <w:textAlignment w:val="auto"/>
        <w:outlineLvl w:val="9"/>
        <w:rPr>
          <w:rFonts w:hint="eastAsia" w:ascii="仿宋_GB2312" w:eastAsia="仿宋_GB2312"/>
          <w:sz w:val="32"/>
          <w:szCs w:val="32"/>
          <w:highlight w:val="none"/>
          <w:lang w:val="en-US" w:eastAsia="zh-CN"/>
        </w:rPr>
      </w:pPr>
      <w:r>
        <w:rPr>
          <w:rFonts w:ascii="仿宋_GB2312" w:eastAsia="仿宋_GB2312"/>
          <w:b/>
          <w:sz w:val="32"/>
          <w:szCs w:val="32"/>
        </w:rPr>
        <w:t>社会保障和就业支出（类）就业补助（款）公益性岗位补贴（项）：</w:t>
      </w:r>
      <w:r>
        <w:rPr>
          <w:rFonts w:ascii="仿宋_GB2312" w:eastAsia="仿宋_GB2312"/>
          <w:sz w:val="32"/>
          <w:szCs w:val="32"/>
        </w:rPr>
        <w:t>反映财政对符合条件的就业困难人员在公益性岗位就业给予的岗位补贴支出。</w:t>
      </w:r>
    </w:p>
    <w:p>
      <w:pPr>
        <w:pStyle w:val="7"/>
        <w:keepNext w:val="0"/>
        <w:keepLines w:val="0"/>
        <w:pageBreakBefore w:val="0"/>
        <w:numPr>
          <w:ilvl w:val="0"/>
          <w:numId w:val="4"/>
        </w:numPr>
        <w:kinsoku/>
        <w:wordWrap/>
        <w:overflowPunct/>
        <w:topLinePunct w:val="0"/>
        <w:autoSpaceDE/>
        <w:bidi w:val="0"/>
        <w:adjustRightInd/>
        <w:snapToGrid/>
        <w:spacing w:before="0" w:beforeLines="0" w:after="0" w:afterLines="0" w:line="560" w:lineRule="exact"/>
        <w:ind w:left="0" w:leftChars="0" w:right="0" w:rightChars="0" w:firstLine="722"/>
        <w:jc w:val="both"/>
        <w:textAlignment w:val="auto"/>
        <w:outlineLvl w:val="9"/>
        <w:rPr>
          <w:rFonts w:hint="eastAsia" w:ascii="仿宋_GB2312" w:eastAsia="仿宋_GB2312"/>
          <w:sz w:val="32"/>
          <w:szCs w:val="32"/>
          <w:highlight w:val="none"/>
          <w:lang w:val="en-US" w:eastAsia="zh-CN"/>
        </w:rPr>
      </w:pPr>
      <w:r>
        <w:rPr>
          <w:rFonts w:hint="eastAsia" w:ascii="仿宋_GB2312" w:hAnsi="宋体" w:eastAsia="仿宋_GB2312"/>
          <w:b/>
          <w:bCs/>
          <w:sz w:val="32"/>
          <w:szCs w:val="32"/>
          <w:highlight w:val="none"/>
        </w:rPr>
        <w:t>社会保障和就业支出</w:t>
      </w:r>
      <w:r>
        <w:rPr>
          <w:rFonts w:hint="eastAsia" w:ascii="仿宋_GB2312" w:hAnsi="宋体" w:eastAsia="仿宋_GB2312"/>
          <w:b/>
          <w:bCs/>
          <w:sz w:val="32"/>
          <w:szCs w:val="32"/>
          <w:highlight w:val="none"/>
          <w:lang w:eastAsia="zh-CN"/>
        </w:rPr>
        <w:t>（</w:t>
      </w:r>
      <w:r>
        <w:rPr>
          <w:rFonts w:hint="eastAsia" w:ascii="仿宋_GB2312" w:hAnsi="宋体" w:eastAsia="仿宋_GB2312"/>
          <w:b/>
          <w:bCs/>
          <w:sz w:val="32"/>
          <w:szCs w:val="32"/>
          <w:highlight w:val="none"/>
          <w:lang w:val="en-US" w:eastAsia="zh-CN"/>
        </w:rPr>
        <w:t>类）</w:t>
      </w:r>
      <w:r>
        <w:rPr>
          <w:rFonts w:hint="eastAsia" w:ascii="仿宋_GB2312" w:hAnsi="宋体" w:eastAsia="仿宋_GB2312"/>
          <w:b/>
          <w:bCs/>
          <w:color w:val="auto"/>
          <w:sz w:val="32"/>
          <w:szCs w:val="32"/>
          <w:highlight w:val="none"/>
          <w:lang w:val="en-US" w:eastAsia="zh-CN"/>
        </w:rPr>
        <w:t>就业补助</w:t>
      </w:r>
      <w:r>
        <w:rPr>
          <w:rFonts w:hint="eastAsia" w:ascii="仿宋_GB2312" w:hAnsi="宋体" w:eastAsia="仿宋_GB2312"/>
          <w:b/>
          <w:bCs/>
          <w:sz w:val="32"/>
          <w:szCs w:val="32"/>
          <w:highlight w:val="none"/>
          <w:lang w:val="en-US" w:eastAsia="zh-CN"/>
        </w:rPr>
        <w:t>（款）高技能人才培养补助</w:t>
      </w:r>
      <w:r>
        <w:rPr>
          <w:rFonts w:hint="eastAsia" w:ascii="仿宋_GB2312" w:hAnsi="宋体" w:eastAsia="仿宋_GB2312"/>
          <w:b/>
          <w:bCs/>
          <w:sz w:val="32"/>
          <w:szCs w:val="32"/>
          <w:highlight w:val="none"/>
          <w:lang w:eastAsia="zh-CN"/>
        </w:rPr>
        <w:t>（</w:t>
      </w:r>
      <w:r>
        <w:rPr>
          <w:rFonts w:hint="eastAsia" w:ascii="仿宋_GB2312" w:hAnsi="宋体" w:eastAsia="仿宋_GB2312"/>
          <w:b/>
          <w:bCs/>
          <w:sz w:val="32"/>
          <w:szCs w:val="32"/>
          <w:highlight w:val="none"/>
          <w:lang w:val="en-US" w:eastAsia="zh-CN"/>
        </w:rPr>
        <w:t>项）</w:t>
      </w:r>
      <w:r>
        <w:rPr>
          <w:rFonts w:hint="eastAsia" w:ascii="仿宋_GB2312" w:eastAsia="仿宋_GB2312"/>
          <w:b/>
          <w:bCs/>
          <w:sz w:val="32"/>
          <w:szCs w:val="32"/>
          <w:highlight w:val="none"/>
          <w:lang w:val="en-US" w:eastAsia="zh-CN"/>
        </w:rPr>
        <w:t>：</w:t>
      </w:r>
      <w:r>
        <w:rPr>
          <w:rFonts w:hint="eastAsia" w:ascii="仿宋_GB2312" w:eastAsia="仿宋_GB2312"/>
          <w:sz w:val="32"/>
          <w:szCs w:val="32"/>
          <w:highlight w:val="none"/>
          <w:lang w:val="en-US" w:eastAsia="zh-CN"/>
        </w:rPr>
        <w:t>反映财政用于技能大师工作室建设等方面的补助支出。</w:t>
      </w:r>
    </w:p>
    <w:p>
      <w:pPr>
        <w:pStyle w:val="7"/>
        <w:keepNext w:val="0"/>
        <w:keepLines w:val="0"/>
        <w:pageBreakBefore w:val="0"/>
        <w:numPr>
          <w:ilvl w:val="0"/>
          <w:numId w:val="4"/>
        </w:numPr>
        <w:kinsoku/>
        <w:wordWrap/>
        <w:overflowPunct/>
        <w:topLinePunct w:val="0"/>
        <w:autoSpaceDE/>
        <w:bidi w:val="0"/>
        <w:adjustRightInd/>
        <w:snapToGrid/>
        <w:spacing w:before="0" w:beforeLines="0" w:after="0" w:afterLines="0" w:line="560" w:lineRule="exact"/>
        <w:ind w:left="0" w:leftChars="0" w:right="0" w:rightChars="0" w:firstLine="722"/>
        <w:jc w:val="both"/>
        <w:textAlignment w:val="auto"/>
        <w:outlineLvl w:val="9"/>
        <w:rPr>
          <w:rFonts w:hint="eastAsia" w:ascii="仿宋_GB2312" w:eastAsia="仿宋_GB2312"/>
          <w:sz w:val="32"/>
          <w:highlight w:val="none"/>
        </w:rPr>
      </w:pPr>
      <w:r>
        <w:rPr>
          <w:rFonts w:ascii="仿宋_GB2312" w:eastAsia="仿宋_GB2312"/>
          <w:b/>
          <w:sz w:val="32"/>
          <w:szCs w:val="32"/>
        </w:rPr>
        <w:t>社会保障和就业支出（类）就业补助（款）其他就业补助支出（项）：</w:t>
      </w:r>
      <w:r>
        <w:rPr>
          <w:rFonts w:ascii="仿宋_GB2312" w:eastAsia="仿宋_GB2312"/>
          <w:sz w:val="32"/>
          <w:szCs w:val="32"/>
        </w:rPr>
        <w:t>反映按规定确定的其他用于促进就业的补助支出。</w:t>
      </w:r>
    </w:p>
    <w:p>
      <w:pPr>
        <w:pStyle w:val="7"/>
        <w:keepNext w:val="0"/>
        <w:keepLines w:val="0"/>
        <w:pageBreakBefore w:val="0"/>
        <w:numPr>
          <w:ilvl w:val="0"/>
          <w:numId w:val="4"/>
        </w:numPr>
        <w:kinsoku/>
        <w:wordWrap/>
        <w:overflowPunct/>
        <w:topLinePunct w:val="0"/>
        <w:autoSpaceDE/>
        <w:bidi w:val="0"/>
        <w:adjustRightInd/>
        <w:snapToGrid/>
        <w:spacing w:before="0" w:beforeLines="0" w:after="0" w:afterLines="0" w:line="560" w:lineRule="exact"/>
        <w:ind w:left="0" w:leftChars="0" w:right="0" w:rightChars="0" w:firstLine="722"/>
        <w:jc w:val="both"/>
        <w:textAlignment w:val="auto"/>
        <w:outlineLvl w:val="9"/>
        <w:rPr>
          <w:rFonts w:hint="eastAsia" w:ascii="仿宋_GB2312" w:eastAsia="仿宋_GB2312" w:cs="Times New Roman"/>
          <w:sz w:val="32"/>
          <w:szCs w:val="32"/>
          <w:lang w:eastAsia="zh-CN"/>
        </w:rPr>
      </w:pPr>
      <w:r>
        <w:rPr>
          <w:rFonts w:hint="eastAsia" w:ascii="仿宋_GB2312" w:hAnsi="宋体" w:eastAsia="仿宋_GB2312"/>
          <w:b/>
          <w:bCs/>
          <w:sz w:val="32"/>
          <w:szCs w:val="32"/>
          <w:highlight w:val="none"/>
        </w:rPr>
        <w:t>社会保障和就业支出</w:t>
      </w:r>
      <w:r>
        <w:rPr>
          <w:rFonts w:hint="eastAsia" w:ascii="仿宋_GB2312" w:hAnsi="宋体" w:eastAsia="仿宋_GB2312"/>
          <w:b/>
          <w:bCs/>
          <w:sz w:val="32"/>
          <w:szCs w:val="32"/>
          <w:highlight w:val="none"/>
          <w:lang w:eastAsia="zh-CN"/>
        </w:rPr>
        <w:t>（</w:t>
      </w:r>
      <w:r>
        <w:rPr>
          <w:rFonts w:hint="eastAsia" w:ascii="仿宋_GB2312" w:hAnsi="宋体" w:eastAsia="仿宋_GB2312"/>
          <w:b/>
          <w:bCs/>
          <w:sz w:val="32"/>
          <w:szCs w:val="32"/>
          <w:highlight w:val="none"/>
          <w:lang w:val="en-US" w:eastAsia="zh-CN"/>
        </w:rPr>
        <w:t>类）抚恤（款）伤残抚恤</w:t>
      </w:r>
      <w:r>
        <w:rPr>
          <w:rFonts w:hint="eastAsia" w:ascii="仿宋_GB2312" w:hAnsi="宋体" w:eastAsia="仿宋_GB2312"/>
          <w:b/>
          <w:bCs/>
          <w:sz w:val="32"/>
          <w:szCs w:val="32"/>
          <w:highlight w:val="none"/>
          <w:lang w:eastAsia="zh-CN"/>
        </w:rPr>
        <w:t>（</w:t>
      </w:r>
      <w:r>
        <w:rPr>
          <w:rFonts w:hint="eastAsia" w:ascii="仿宋_GB2312" w:hAnsi="宋体" w:eastAsia="仿宋_GB2312"/>
          <w:b/>
          <w:bCs/>
          <w:sz w:val="32"/>
          <w:szCs w:val="32"/>
          <w:highlight w:val="none"/>
          <w:lang w:val="en-US" w:eastAsia="zh-CN"/>
        </w:rPr>
        <w:t>项）</w:t>
      </w:r>
      <w:r>
        <w:rPr>
          <w:rFonts w:hint="eastAsia" w:ascii="仿宋_GB2312" w:eastAsia="仿宋_GB2312"/>
          <w:b/>
          <w:bCs/>
          <w:sz w:val="32"/>
          <w:szCs w:val="32"/>
          <w:highlight w:val="none"/>
          <w:lang w:val="en-US" w:eastAsia="zh-CN"/>
        </w:rPr>
        <w:t>：</w:t>
      </w:r>
      <w:r>
        <w:rPr>
          <w:rFonts w:hint="eastAsia" w:ascii="仿宋_GB2312" w:eastAsia="仿宋_GB2312"/>
          <w:b w:val="0"/>
          <w:bCs w:val="0"/>
          <w:sz w:val="32"/>
          <w:szCs w:val="32"/>
          <w:highlight w:val="none"/>
          <w:lang w:val="en-US" w:eastAsia="zh-CN"/>
        </w:rPr>
        <w:t>反映按规定用于伤残人员的抚恤金和按规定开支的各种伤残补助费。</w:t>
      </w:r>
    </w:p>
    <w:p>
      <w:pPr>
        <w:pStyle w:val="7"/>
        <w:keepNext w:val="0"/>
        <w:keepLines w:val="0"/>
        <w:pageBreakBefore w:val="0"/>
        <w:numPr>
          <w:ilvl w:val="0"/>
          <w:numId w:val="4"/>
        </w:numPr>
        <w:kinsoku/>
        <w:wordWrap/>
        <w:overflowPunct/>
        <w:topLinePunct w:val="0"/>
        <w:autoSpaceDE/>
        <w:bidi w:val="0"/>
        <w:adjustRightInd/>
        <w:snapToGrid/>
        <w:spacing w:before="0" w:beforeLines="0" w:after="0" w:afterLines="0" w:line="560" w:lineRule="exact"/>
        <w:ind w:left="0" w:leftChars="0" w:right="0" w:rightChars="0" w:firstLine="722"/>
        <w:jc w:val="both"/>
        <w:textAlignment w:val="auto"/>
        <w:outlineLvl w:val="9"/>
        <w:rPr>
          <w:rFonts w:ascii="仿宋_GB2312" w:eastAsia="仿宋_GB2312"/>
          <w:sz w:val="32"/>
          <w:szCs w:val="32"/>
        </w:rPr>
      </w:pPr>
      <w:r>
        <w:rPr>
          <w:rFonts w:hint="eastAsia" w:ascii="仿宋_GB2312" w:eastAsia="仿宋_GB2312"/>
          <w:b/>
          <w:sz w:val="32"/>
          <w:szCs w:val="32"/>
        </w:rPr>
        <w:t>社会保障和就业</w:t>
      </w:r>
      <w:r>
        <w:rPr>
          <w:rFonts w:hint="eastAsia" w:ascii="仿宋_GB2312" w:eastAsia="仿宋_GB2312"/>
          <w:b/>
          <w:sz w:val="32"/>
          <w:szCs w:val="32"/>
          <w:lang w:eastAsia="zh-CN"/>
        </w:rPr>
        <w:t>支出</w:t>
      </w:r>
      <w:r>
        <w:rPr>
          <w:rFonts w:hint="eastAsia" w:ascii="仿宋_GB2312" w:eastAsia="仿宋_GB2312"/>
          <w:b/>
          <w:sz w:val="32"/>
          <w:szCs w:val="32"/>
        </w:rPr>
        <w:t>（类）</w:t>
      </w:r>
      <w:r>
        <w:rPr>
          <w:rFonts w:hint="eastAsia" w:ascii="仿宋_GB2312" w:eastAsia="仿宋_GB2312"/>
          <w:b/>
          <w:sz w:val="32"/>
          <w:szCs w:val="32"/>
          <w:lang w:eastAsia="zh-CN"/>
        </w:rPr>
        <w:t>抚恤（款）</w:t>
      </w:r>
      <w:r>
        <w:rPr>
          <w:rFonts w:hint="eastAsia" w:ascii="仿宋_GB2312" w:eastAsia="仿宋_GB2312"/>
          <w:b/>
          <w:sz w:val="32"/>
          <w:szCs w:val="32"/>
          <w:lang w:val="en-US" w:eastAsia="zh-CN"/>
        </w:rPr>
        <w:t>其他优抚支出</w:t>
      </w:r>
      <w:r>
        <w:rPr>
          <w:rFonts w:hint="eastAsia" w:ascii="仿宋_GB2312" w:eastAsia="仿宋_GB2312"/>
          <w:b/>
          <w:sz w:val="32"/>
          <w:szCs w:val="32"/>
          <w:lang w:eastAsia="zh-CN"/>
        </w:rPr>
        <w:t>（项）：</w:t>
      </w:r>
      <w:r>
        <w:rPr>
          <w:rFonts w:hint="eastAsia" w:ascii="仿宋_GB2312" w:eastAsia="仿宋_GB2312" w:cs="Times New Roman"/>
          <w:sz w:val="32"/>
          <w:szCs w:val="32"/>
          <w:lang w:eastAsia="zh-CN"/>
        </w:rPr>
        <w:t>反映除上述项目以外其他用于优抚方面的支出，包括向优抚对象发放的价格临时补贴等支出。</w:t>
      </w:r>
    </w:p>
    <w:p>
      <w:pPr>
        <w:pStyle w:val="7"/>
        <w:keepNext w:val="0"/>
        <w:keepLines w:val="0"/>
        <w:pageBreakBefore w:val="0"/>
        <w:numPr>
          <w:ilvl w:val="0"/>
          <w:numId w:val="4"/>
        </w:numPr>
        <w:kinsoku/>
        <w:wordWrap/>
        <w:overflowPunct/>
        <w:topLinePunct w:val="0"/>
        <w:autoSpaceDE/>
        <w:bidi w:val="0"/>
        <w:adjustRightInd/>
        <w:snapToGrid/>
        <w:spacing w:before="0" w:beforeLines="0" w:after="0" w:afterLines="0" w:line="560" w:lineRule="exact"/>
        <w:ind w:left="0" w:leftChars="0" w:right="0" w:rightChars="0" w:firstLine="722"/>
        <w:jc w:val="both"/>
        <w:textAlignment w:val="auto"/>
        <w:outlineLvl w:val="9"/>
        <w:rPr>
          <w:rFonts w:hint="eastAsia" w:ascii="仿宋_GB2312" w:eastAsia="仿宋_GB2312"/>
          <w:sz w:val="32"/>
          <w:szCs w:val="32"/>
          <w:highlight w:val="none"/>
          <w:lang w:val="en-US" w:eastAsia="zh-CN"/>
        </w:rPr>
      </w:pPr>
      <w:r>
        <w:rPr>
          <w:rFonts w:ascii="仿宋_GB2312" w:eastAsia="仿宋_GB2312"/>
          <w:b/>
          <w:sz w:val="32"/>
          <w:szCs w:val="32"/>
        </w:rPr>
        <w:t>社会保障和就业支出（类）其他社会保障和就业支出（款）其他社会保障和就业支出（项）：</w:t>
      </w:r>
      <w:r>
        <w:rPr>
          <w:rFonts w:ascii="仿宋_GB2312" w:eastAsia="仿宋_GB2312"/>
          <w:sz w:val="32"/>
          <w:szCs w:val="32"/>
        </w:rPr>
        <w:t>反映除上述项目以外其他用于社会保障和就业方面的支出。</w:t>
      </w:r>
    </w:p>
    <w:p>
      <w:pPr>
        <w:pStyle w:val="7"/>
        <w:keepNext w:val="0"/>
        <w:keepLines w:val="0"/>
        <w:pageBreakBefore w:val="0"/>
        <w:numPr>
          <w:ilvl w:val="0"/>
          <w:numId w:val="4"/>
        </w:numPr>
        <w:kinsoku/>
        <w:wordWrap/>
        <w:overflowPunct/>
        <w:topLinePunct w:val="0"/>
        <w:autoSpaceDE/>
        <w:bidi w:val="0"/>
        <w:adjustRightInd/>
        <w:snapToGrid/>
        <w:spacing w:before="0" w:beforeLines="0" w:after="0" w:afterLines="0" w:line="560" w:lineRule="exact"/>
        <w:ind w:left="0" w:leftChars="0" w:right="0" w:rightChars="0" w:firstLine="722"/>
        <w:jc w:val="both"/>
        <w:textAlignment w:val="auto"/>
        <w:outlineLvl w:val="9"/>
        <w:rPr>
          <w:rFonts w:hint="eastAsia" w:ascii="仿宋_GB2312" w:eastAsia="仿宋_GB2312"/>
          <w:sz w:val="32"/>
          <w:szCs w:val="32"/>
          <w:highlight w:val="none"/>
          <w:lang w:val="en-US" w:eastAsia="zh-CN"/>
        </w:rPr>
      </w:pPr>
      <w:r>
        <w:rPr>
          <w:rFonts w:hint="eastAsia" w:ascii="仿宋_GB2312" w:hAnsi="宋体" w:eastAsia="仿宋_GB2312"/>
          <w:b/>
          <w:bCs/>
          <w:sz w:val="32"/>
          <w:szCs w:val="32"/>
          <w:highlight w:val="none"/>
        </w:rPr>
        <w:t>教育支出</w:t>
      </w:r>
      <w:r>
        <w:rPr>
          <w:rFonts w:hint="eastAsia" w:ascii="仿宋_GB2312" w:hAnsi="宋体" w:eastAsia="仿宋_GB2312"/>
          <w:b/>
          <w:bCs/>
          <w:sz w:val="32"/>
          <w:szCs w:val="32"/>
          <w:highlight w:val="none"/>
          <w:lang w:eastAsia="zh-CN"/>
        </w:rPr>
        <w:t>（</w:t>
      </w:r>
      <w:r>
        <w:rPr>
          <w:rFonts w:hint="eastAsia" w:ascii="仿宋_GB2312" w:hAnsi="宋体" w:eastAsia="仿宋_GB2312"/>
          <w:b/>
          <w:bCs/>
          <w:sz w:val="32"/>
          <w:szCs w:val="32"/>
          <w:highlight w:val="none"/>
          <w:lang w:val="en-US" w:eastAsia="zh-CN"/>
        </w:rPr>
        <w:t>类）职业教育</w:t>
      </w:r>
      <w:r>
        <w:rPr>
          <w:rFonts w:ascii="仿宋_GB2312" w:eastAsia="仿宋_GB2312"/>
          <w:b/>
          <w:sz w:val="32"/>
        </w:rPr>
        <w:t>（款）</w:t>
      </w:r>
      <w:r>
        <w:rPr>
          <w:rFonts w:hint="eastAsia" w:ascii="仿宋_GB2312" w:eastAsia="仿宋_GB2312"/>
          <w:b/>
          <w:sz w:val="32"/>
        </w:rPr>
        <w:t>技校教育</w:t>
      </w:r>
      <w:r>
        <w:rPr>
          <w:rFonts w:hint="eastAsia" w:ascii="仿宋_GB2312" w:hAnsi="宋体" w:eastAsia="仿宋_GB2312"/>
          <w:b/>
          <w:bCs/>
          <w:sz w:val="32"/>
          <w:szCs w:val="32"/>
          <w:highlight w:val="none"/>
          <w:lang w:eastAsia="zh-CN"/>
        </w:rPr>
        <w:t>（</w:t>
      </w:r>
      <w:r>
        <w:rPr>
          <w:rFonts w:hint="eastAsia" w:ascii="仿宋_GB2312" w:hAnsi="宋体" w:eastAsia="仿宋_GB2312"/>
          <w:b/>
          <w:bCs/>
          <w:sz w:val="32"/>
          <w:szCs w:val="32"/>
          <w:highlight w:val="none"/>
          <w:lang w:val="en-US" w:eastAsia="zh-CN"/>
        </w:rPr>
        <w:t>项）</w:t>
      </w:r>
      <w:r>
        <w:rPr>
          <w:rFonts w:hint="eastAsia" w:ascii="仿宋_GB2312" w:eastAsia="仿宋_GB2312"/>
          <w:sz w:val="32"/>
          <w:szCs w:val="32"/>
          <w:highlight w:val="none"/>
          <w:lang w:val="en-US" w:eastAsia="zh-CN"/>
        </w:rPr>
        <w:t>：反映人力资源社会保障部门举办的技校教育支出。政府各部门对社会组织等举办的技工学校的资助，如捐赠、补贴等，也在本科目中反映。</w:t>
      </w:r>
    </w:p>
    <w:p>
      <w:pPr>
        <w:pStyle w:val="7"/>
        <w:keepNext w:val="0"/>
        <w:keepLines w:val="0"/>
        <w:pageBreakBefore w:val="0"/>
        <w:numPr>
          <w:ilvl w:val="0"/>
          <w:numId w:val="4"/>
        </w:numPr>
        <w:kinsoku/>
        <w:wordWrap/>
        <w:overflowPunct/>
        <w:topLinePunct w:val="0"/>
        <w:autoSpaceDE/>
        <w:bidi w:val="0"/>
        <w:adjustRightInd/>
        <w:snapToGrid/>
        <w:spacing w:before="0" w:beforeLines="0" w:after="0" w:afterLines="0" w:line="560" w:lineRule="exact"/>
        <w:ind w:left="0" w:leftChars="0" w:right="0" w:rightChars="0" w:firstLine="722"/>
        <w:jc w:val="both"/>
        <w:textAlignment w:val="auto"/>
        <w:outlineLvl w:val="9"/>
        <w:rPr>
          <w:rFonts w:hint="eastAsia" w:ascii="仿宋_GB2312" w:eastAsia="仿宋_GB2312"/>
          <w:sz w:val="32"/>
          <w:szCs w:val="32"/>
          <w:highlight w:val="none"/>
          <w:lang w:val="en-US" w:eastAsia="zh-CN"/>
        </w:rPr>
      </w:pPr>
      <w:r>
        <w:rPr>
          <w:rFonts w:hint="eastAsia" w:ascii="仿宋_GB2312" w:hAnsi="宋体" w:eastAsia="仿宋_GB2312"/>
          <w:b/>
          <w:bCs/>
          <w:sz w:val="32"/>
          <w:szCs w:val="32"/>
          <w:highlight w:val="none"/>
        </w:rPr>
        <w:t>教育支出</w:t>
      </w:r>
      <w:r>
        <w:rPr>
          <w:rFonts w:hint="eastAsia" w:ascii="仿宋_GB2312" w:hAnsi="宋体" w:eastAsia="仿宋_GB2312"/>
          <w:b/>
          <w:bCs/>
          <w:sz w:val="32"/>
          <w:szCs w:val="32"/>
          <w:highlight w:val="none"/>
          <w:lang w:eastAsia="zh-CN"/>
        </w:rPr>
        <w:t>（</w:t>
      </w:r>
      <w:r>
        <w:rPr>
          <w:rFonts w:hint="eastAsia" w:ascii="仿宋_GB2312" w:hAnsi="宋体" w:eastAsia="仿宋_GB2312"/>
          <w:b/>
          <w:bCs/>
          <w:sz w:val="32"/>
          <w:szCs w:val="32"/>
          <w:highlight w:val="none"/>
          <w:lang w:val="en-US" w:eastAsia="zh-CN"/>
        </w:rPr>
        <w:t>类）教育费附加安排的支出（款）</w:t>
      </w:r>
      <w:r>
        <w:rPr>
          <w:rFonts w:hint="eastAsia" w:ascii="仿宋_GB2312" w:hAnsi="宋体" w:eastAsia="仿宋_GB2312"/>
          <w:b/>
          <w:bCs/>
          <w:sz w:val="32"/>
          <w:szCs w:val="32"/>
          <w:highlight w:val="none"/>
        </w:rPr>
        <w:t>其他教育费附加安排的支出</w:t>
      </w:r>
      <w:r>
        <w:rPr>
          <w:rFonts w:hint="eastAsia" w:ascii="仿宋_GB2312" w:hAnsi="宋体" w:eastAsia="仿宋_GB2312"/>
          <w:b/>
          <w:bCs/>
          <w:sz w:val="32"/>
          <w:szCs w:val="32"/>
          <w:highlight w:val="none"/>
          <w:lang w:eastAsia="zh-CN"/>
        </w:rPr>
        <w:t>（</w:t>
      </w:r>
      <w:r>
        <w:rPr>
          <w:rFonts w:hint="eastAsia" w:ascii="仿宋_GB2312" w:hAnsi="宋体" w:eastAsia="仿宋_GB2312"/>
          <w:b/>
          <w:bCs/>
          <w:sz w:val="32"/>
          <w:szCs w:val="32"/>
          <w:highlight w:val="none"/>
          <w:lang w:val="en-US" w:eastAsia="zh-CN"/>
        </w:rPr>
        <w:t>项）</w:t>
      </w:r>
      <w:r>
        <w:rPr>
          <w:rFonts w:hint="eastAsia" w:ascii="仿宋_GB2312" w:eastAsia="仿宋_GB2312"/>
          <w:b/>
          <w:bCs/>
          <w:sz w:val="32"/>
          <w:szCs w:val="32"/>
          <w:highlight w:val="none"/>
          <w:lang w:val="en-US" w:eastAsia="zh-CN"/>
        </w:rPr>
        <w:t>：</w:t>
      </w:r>
      <w:r>
        <w:rPr>
          <w:rFonts w:hint="eastAsia" w:ascii="仿宋_GB2312" w:eastAsia="仿宋_GB2312"/>
          <w:sz w:val="32"/>
          <w:szCs w:val="32"/>
          <w:highlight w:val="none"/>
          <w:lang w:val="en-US" w:eastAsia="zh-CN"/>
        </w:rPr>
        <w:t>反映除上述项目以外其他用于教育方面的支出。</w:t>
      </w:r>
    </w:p>
    <w:p>
      <w:pPr>
        <w:pStyle w:val="7"/>
        <w:keepNext w:val="0"/>
        <w:keepLines w:val="0"/>
        <w:pageBreakBefore w:val="0"/>
        <w:numPr>
          <w:ilvl w:val="0"/>
          <w:numId w:val="4"/>
        </w:numPr>
        <w:kinsoku/>
        <w:wordWrap/>
        <w:overflowPunct/>
        <w:topLinePunct w:val="0"/>
        <w:autoSpaceDE/>
        <w:bidi w:val="0"/>
        <w:adjustRightInd/>
        <w:snapToGrid/>
        <w:spacing w:before="0" w:beforeLines="0" w:after="0" w:afterLines="0" w:line="560" w:lineRule="exact"/>
        <w:ind w:left="0" w:leftChars="0" w:right="0" w:rightChars="0" w:firstLine="722"/>
        <w:jc w:val="both"/>
        <w:textAlignment w:val="auto"/>
        <w:outlineLvl w:val="9"/>
        <w:rPr>
          <w:rFonts w:hint="eastAsia" w:ascii="仿宋_GB2312" w:eastAsia="仿宋_GB2312"/>
          <w:sz w:val="32"/>
          <w:szCs w:val="32"/>
          <w:highlight w:val="none"/>
          <w:lang w:val="en-US" w:eastAsia="zh-CN"/>
        </w:rPr>
      </w:pPr>
      <w:r>
        <w:rPr>
          <w:rFonts w:hint="eastAsia" w:ascii="仿宋_GB2312" w:hAnsi="宋体" w:eastAsia="仿宋_GB2312"/>
          <w:b/>
          <w:bCs/>
          <w:sz w:val="32"/>
          <w:szCs w:val="32"/>
          <w:highlight w:val="none"/>
          <w:lang w:val="en-US" w:eastAsia="zh-CN"/>
        </w:rPr>
        <w:t>卫生健康支出</w:t>
      </w:r>
      <w:r>
        <w:rPr>
          <w:rFonts w:hint="eastAsia" w:ascii="仿宋_GB2312" w:hAnsi="宋体" w:eastAsia="仿宋_GB2312"/>
          <w:b/>
          <w:bCs/>
          <w:sz w:val="32"/>
          <w:szCs w:val="32"/>
          <w:highlight w:val="none"/>
          <w:lang w:eastAsia="zh-CN"/>
        </w:rPr>
        <w:t>（</w:t>
      </w:r>
      <w:r>
        <w:rPr>
          <w:rFonts w:hint="eastAsia" w:ascii="仿宋_GB2312" w:hAnsi="宋体" w:eastAsia="仿宋_GB2312"/>
          <w:b/>
          <w:bCs/>
          <w:sz w:val="32"/>
          <w:szCs w:val="32"/>
          <w:highlight w:val="none"/>
          <w:lang w:val="en-US" w:eastAsia="zh-CN"/>
        </w:rPr>
        <w:t>类）</w:t>
      </w:r>
      <w:r>
        <w:rPr>
          <w:rFonts w:hint="eastAsia" w:ascii="仿宋_GB2312" w:hAnsi="宋体" w:eastAsia="仿宋_GB2312"/>
          <w:b/>
          <w:bCs/>
          <w:color w:val="auto"/>
          <w:sz w:val="32"/>
          <w:szCs w:val="32"/>
          <w:highlight w:val="none"/>
          <w:lang w:val="en-US" w:eastAsia="zh-CN"/>
        </w:rPr>
        <w:t>行政事业单位医疗</w:t>
      </w:r>
      <w:r>
        <w:rPr>
          <w:rFonts w:hint="eastAsia" w:ascii="仿宋_GB2312" w:hAnsi="宋体" w:eastAsia="仿宋_GB2312"/>
          <w:b/>
          <w:bCs/>
          <w:sz w:val="32"/>
          <w:szCs w:val="32"/>
          <w:highlight w:val="none"/>
          <w:lang w:val="en-US" w:eastAsia="zh-CN"/>
        </w:rPr>
        <w:t>（款）行政单位医疗</w:t>
      </w:r>
      <w:r>
        <w:rPr>
          <w:rFonts w:hint="eastAsia" w:ascii="仿宋_GB2312" w:hAnsi="宋体" w:eastAsia="仿宋_GB2312"/>
          <w:b/>
          <w:bCs/>
          <w:sz w:val="32"/>
          <w:szCs w:val="32"/>
          <w:highlight w:val="none"/>
          <w:lang w:eastAsia="zh-CN"/>
        </w:rPr>
        <w:t>（</w:t>
      </w:r>
      <w:r>
        <w:rPr>
          <w:rFonts w:hint="eastAsia" w:ascii="仿宋_GB2312" w:hAnsi="宋体" w:eastAsia="仿宋_GB2312"/>
          <w:b/>
          <w:bCs/>
          <w:sz w:val="32"/>
          <w:szCs w:val="32"/>
          <w:highlight w:val="none"/>
          <w:lang w:val="en-US" w:eastAsia="zh-CN"/>
        </w:rPr>
        <w:t>项）</w:t>
      </w:r>
      <w:r>
        <w:rPr>
          <w:rFonts w:hint="eastAsia" w:ascii="仿宋_GB2312" w:eastAsia="仿宋_GB2312"/>
          <w:b/>
          <w:bCs/>
          <w:sz w:val="32"/>
          <w:szCs w:val="32"/>
          <w:highlight w:val="none"/>
          <w:lang w:val="en-US" w:eastAsia="zh-CN"/>
        </w:rPr>
        <w:t>：</w:t>
      </w:r>
      <w:r>
        <w:rPr>
          <w:rFonts w:hint="eastAsia" w:ascii="仿宋_GB2312" w:eastAsia="仿宋_GB2312"/>
          <w:color w:val="000000"/>
          <w:sz w:val="32"/>
          <w:szCs w:val="32"/>
        </w:rPr>
        <w:t>反映财政部门集中安排的行政单位基本医疗保险缴费经费，未参加医疗保险的行政单位的公费医疗经费，按国家规定享受离休人员、红军老战士待遇人员的医疗经费。</w:t>
      </w:r>
    </w:p>
    <w:p>
      <w:pPr>
        <w:pStyle w:val="7"/>
        <w:keepNext w:val="0"/>
        <w:keepLines w:val="0"/>
        <w:pageBreakBefore w:val="0"/>
        <w:numPr>
          <w:ilvl w:val="0"/>
          <w:numId w:val="4"/>
        </w:numPr>
        <w:kinsoku/>
        <w:wordWrap/>
        <w:overflowPunct/>
        <w:topLinePunct w:val="0"/>
        <w:autoSpaceDE/>
        <w:bidi w:val="0"/>
        <w:adjustRightInd/>
        <w:snapToGrid/>
        <w:spacing w:before="0" w:beforeLines="0" w:after="0" w:afterLines="0" w:line="560" w:lineRule="exact"/>
        <w:ind w:left="0" w:leftChars="0" w:right="0" w:rightChars="0" w:firstLine="722"/>
        <w:jc w:val="both"/>
        <w:textAlignment w:val="auto"/>
        <w:outlineLvl w:val="9"/>
        <w:rPr>
          <w:rFonts w:hint="eastAsia" w:ascii="仿宋_GB2312" w:eastAsia="仿宋_GB2312"/>
          <w:sz w:val="32"/>
          <w:szCs w:val="32"/>
          <w:highlight w:val="none"/>
          <w:lang w:val="en-US" w:eastAsia="zh-CN"/>
        </w:rPr>
      </w:pPr>
      <w:r>
        <w:rPr>
          <w:rFonts w:ascii="仿宋_GB2312" w:eastAsia="仿宋_GB2312"/>
          <w:b/>
          <w:sz w:val="32"/>
          <w:szCs w:val="32"/>
        </w:rPr>
        <w:t>卫生健康支出（类）行政事业单位医疗（款）事业单位医疗（项）：</w:t>
      </w:r>
      <w:r>
        <w:rPr>
          <w:rFonts w:ascii="仿宋_GB2312" w:eastAsia="仿宋_GB2312"/>
          <w:sz w:val="32"/>
          <w:szCs w:val="32"/>
        </w:rPr>
        <w:t>反映财政部门安排的事业单位基本医疗保险费缴费经费，未参加医疗保险的事业单位的公费医疗经费，按国家规定享受离休人员待遇的医疗经费。</w:t>
      </w:r>
    </w:p>
    <w:p>
      <w:pPr>
        <w:pStyle w:val="7"/>
        <w:keepNext w:val="0"/>
        <w:keepLines w:val="0"/>
        <w:pageBreakBefore w:val="0"/>
        <w:numPr>
          <w:ilvl w:val="0"/>
          <w:numId w:val="4"/>
        </w:numPr>
        <w:kinsoku/>
        <w:wordWrap/>
        <w:overflowPunct/>
        <w:topLinePunct w:val="0"/>
        <w:autoSpaceDE/>
        <w:bidi w:val="0"/>
        <w:adjustRightInd/>
        <w:snapToGrid/>
        <w:spacing w:before="0" w:beforeLines="0" w:after="0" w:afterLines="0" w:line="560" w:lineRule="exact"/>
        <w:ind w:left="0" w:leftChars="0" w:right="0" w:rightChars="0" w:firstLine="722"/>
        <w:jc w:val="both"/>
        <w:textAlignment w:val="auto"/>
        <w:outlineLvl w:val="9"/>
        <w:rPr>
          <w:rFonts w:hint="eastAsia" w:ascii="仿宋_GB2312" w:eastAsia="仿宋_GB2312"/>
          <w:sz w:val="32"/>
          <w:szCs w:val="32"/>
          <w:highlight w:val="none"/>
          <w:lang w:val="en-US" w:eastAsia="zh-CN"/>
        </w:rPr>
      </w:pPr>
      <w:r>
        <w:rPr>
          <w:rFonts w:hint="eastAsia" w:ascii="仿宋_GB2312" w:hAnsi="宋体" w:eastAsia="仿宋_GB2312"/>
          <w:b/>
          <w:bCs/>
          <w:sz w:val="32"/>
          <w:szCs w:val="32"/>
          <w:highlight w:val="none"/>
          <w:lang w:val="en-US" w:eastAsia="zh-CN"/>
        </w:rPr>
        <w:t>节能环保支出</w:t>
      </w:r>
      <w:r>
        <w:rPr>
          <w:rFonts w:hint="eastAsia" w:ascii="仿宋_GB2312" w:hAnsi="宋体" w:eastAsia="仿宋_GB2312"/>
          <w:b/>
          <w:bCs/>
          <w:sz w:val="32"/>
          <w:szCs w:val="32"/>
          <w:highlight w:val="none"/>
          <w:lang w:eastAsia="zh-CN"/>
        </w:rPr>
        <w:t>（</w:t>
      </w:r>
      <w:r>
        <w:rPr>
          <w:rFonts w:hint="eastAsia" w:ascii="仿宋_GB2312" w:hAnsi="宋体" w:eastAsia="仿宋_GB2312"/>
          <w:b/>
          <w:bCs/>
          <w:sz w:val="32"/>
          <w:szCs w:val="32"/>
          <w:highlight w:val="none"/>
          <w:lang w:val="en-US" w:eastAsia="zh-CN"/>
        </w:rPr>
        <w:t>类）</w:t>
      </w:r>
      <w:r>
        <w:rPr>
          <w:rFonts w:hint="eastAsia" w:ascii="仿宋_GB2312" w:hAnsi="宋体" w:eastAsia="仿宋_GB2312"/>
          <w:b/>
          <w:bCs/>
          <w:color w:val="auto"/>
          <w:sz w:val="32"/>
          <w:szCs w:val="32"/>
          <w:highlight w:val="none"/>
          <w:lang w:val="en-US" w:eastAsia="zh-CN"/>
        </w:rPr>
        <w:t>其他节能环保支出</w:t>
      </w:r>
      <w:r>
        <w:rPr>
          <w:rFonts w:hint="eastAsia" w:ascii="仿宋_GB2312" w:hAnsi="宋体" w:eastAsia="仿宋_GB2312"/>
          <w:b/>
          <w:bCs/>
          <w:sz w:val="32"/>
          <w:szCs w:val="32"/>
          <w:highlight w:val="none"/>
          <w:lang w:val="en-US" w:eastAsia="zh-CN"/>
        </w:rPr>
        <w:t>（款）其他节能环保支出</w:t>
      </w:r>
      <w:r>
        <w:rPr>
          <w:rFonts w:hint="eastAsia" w:ascii="仿宋_GB2312" w:hAnsi="宋体" w:eastAsia="仿宋_GB2312"/>
          <w:b/>
          <w:bCs/>
          <w:sz w:val="32"/>
          <w:szCs w:val="32"/>
          <w:highlight w:val="none"/>
          <w:lang w:eastAsia="zh-CN"/>
        </w:rPr>
        <w:t>（</w:t>
      </w:r>
      <w:r>
        <w:rPr>
          <w:rFonts w:hint="eastAsia" w:ascii="仿宋_GB2312" w:hAnsi="宋体" w:eastAsia="仿宋_GB2312"/>
          <w:b/>
          <w:bCs/>
          <w:sz w:val="32"/>
          <w:szCs w:val="32"/>
          <w:highlight w:val="none"/>
          <w:lang w:val="en-US" w:eastAsia="zh-CN"/>
        </w:rPr>
        <w:t>项）</w:t>
      </w:r>
      <w:r>
        <w:rPr>
          <w:rFonts w:hint="eastAsia" w:ascii="仿宋_GB2312" w:eastAsia="仿宋_GB2312"/>
          <w:b/>
          <w:bCs/>
          <w:sz w:val="32"/>
          <w:szCs w:val="32"/>
          <w:highlight w:val="none"/>
          <w:lang w:val="en-US" w:eastAsia="zh-CN"/>
        </w:rPr>
        <w:t>：</w:t>
      </w:r>
      <w:r>
        <w:rPr>
          <w:rFonts w:hint="eastAsia" w:ascii="仿宋_GB2312" w:eastAsia="仿宋_GB2312"/>
          <w:sz w:val="32"/>
          <w:szCs w:val="32"/>
          <w:highlight w:val="none"/>
          <w:lang w:val="en-US" w:eastAsia="zh-CN"/>
        </w:rPr>
        <w:t>反映上述项目以外其他用于节能环保方面的支出。</w:t>
      </w:r>
    </w:p>
    <w:p>
      <w:pPr>
        <w:pStyle w:val="7"/>
        <w:keepNext w:val="0"/>
        <w:keepLines w:val="0"/>
        <w:pageBreakBefore w:val="0"/>
        <w:numPr>
          <w:ilvl w:val="0"/>
          <w:numId w:val="4"/>
        </w:numPr>
        <w:kinsoku/>
        <w:wordWrap/>
        <w:overflowPunct/>
        <w:topLinePunct w:val="0"/>
        <w:autoSpaceDE/>
        <w:bidi w:val="0"/>
        <w:adjustRightInd/>
        <w:snapToGrid/>
        <w:spacing w:before="0" w:beforeLines="0" w:after="0" w:afterLines="0" w:line="560" w:lineRule="exact"/>
        <w:ind w:left="0" w:leftChars="0" w:right="0" w:rightChars="0" w:firstLine="722"/>
        <w:jc w:val="both"/>
        <w:textAlignment w:val="auto"/>
        <w:outlineLvl w:val="9"/>
        <w:rPr>
          <w:rFonts w:hint="eastAsia" w:ascii="仿宋_GB2312" w:eastAsia="仿宋_GB2312"/>
          <w:b/>
          <w:bCs/>
          <w:sz w:val="32"/>
          <w:szCs w:val="32"/>
          <w:highlight w:val="none"/>
          <w:lang w:val="en-US" w:eastAsia="zh-CN"/>
        </w:rPr>
      </w:pPr>
      <w:r>
        <w:rPr>
          <w:rFonts w:hint="eastAsia" w:ascii="仿宋_GB2312" w:hAnsi="宋体" w:eastAsia="仿宋_GB2312"/>
          <w:b/>
          <w:bCs/>
          <w:sz w:val="32"/>
          <w:szCs w:val="32"/>
          <w:highlight w:val="none"/>
          <w:lang w:val="en-US" w:eastAsia="zh-CN"/>
        </w:rPr>
        <w:t>住房保障支出</w:t>
      </w:r>
      <w:r>
        <w:rPr>
          <w:rFonts w:hint="eastAsia" w:ascii="仿宋_GB2312" w:hAnsi="宋体" w:eastAsia="仿宋_GB2312"/>
          <w:b/>
          <w:bCs/>
          <w:sz w:val="32"/>
          <w:szCs w:val="32"/>
          <w:highlight w:val="none"/>
          <w:lang w:eastAsia="zh-CN"/>
        </w:rPr>
        <w:t>（</w:t>
      </w:r>
      <w:r>
        <w:rPr>
          <w:rFonts w:hint="eastAsia" w:ascii="仿宋_GB2312" w:hAnsi="宋体" w:eastAsia="仿宋_GB2312"/>
          <w:b/>
          <w:bCs/>
          <w:sz w:val="32"/>
          <w:szCs w:val="32"/>
          <w:highlight w:val="none"/>
          <w:lang w:val="en-US" w:eastAsia="zh-CN"/>
        </w:rPr>
        <w:t>类）</w:t>
      </w:r>
      <w:r>
        <w:rPr>
          <w:rFonts w:hint="eastAsia" w:ascii="仿宋_GB2312" w:hAnsi="宋体" w:eastAsia="仿宋_GB2312"/>
          <w:b/>
          <w:bCs/>
          <w:color w:val="auto"/>
          <w:sz w:val="32"/>
          <w:szCs w:val="32"/>
          <w:highlight w:val="none"/>
          <w:lang w:val="en-US" w:eastAsia="zh-CN"/>
        </w:rPr>
        <w:t>住房改革支出</w:t>
      </w:r>
      <w:r>
        <w:rPr>
          <w:rFonts w:hint="eastAsia" w:ascii="仿宋_GB2312" w:hAnsi="宋体" w:eastAsia="仿宋_GB2312"/>
          <w:b/>
          <w:bCs/>
          <w:sz w:val="32"/>
          <w:szCs w:val="32"/>
          <w:highlight w:val="none"/>
          <w:lang w:val="en-US" w:eastAsia="zh-CN"/>
        </w:rPr>
        <w:t>（款）住房公积金</w:t>
      </w:r>
      <w:r>
        <w:rPr>
          <w:rFonts w:hint="eastAsia" w:ascii="仿宋_GB2312" w:hAnsi="宋体" w:eastAsia="仿宋_GB2312"/>
          <w:b/>
          <w:bCs/>
          <w:sz w:val="32"/>
          <w:szCs w:val="32"/>
          <w:highlight w:val="none"/>
          <w:lang w:eastAsia="zh-CN"/>
        </w:rPr>
        <w:t>（</w:t>
      </w:r>
      <w:r>
        <w:rPr>
          <w:rFonts w:hint="eastAsia" w:ascii="仿宋_GB2312" w:hAnsi="宋体" w:eastAsia="仿宋_GB2312"/>
          <w:b/>
          <w:bCs/>
          <w:sz w:val="32"/>
          <w:szCs w:val="32"/>
          <w:highlight w:val="none"/>
          <w:lang w:val="en-US" w:eastAsia="zh-CN"/>
        </w:rPr>
        <w:t>项）</w:t>
      </w:r>
      <w:r>
        <w:rPr>
          <w:rFonts w:hint="eastAsia" w:ascii="仿宋_GB2312" w:eastAsia="仿宋_GB2312"/>
          <w:b/>
          <w:bCs/>
          <w:sz w:val="32"/>
          <w:szCs w:val="32"/>
          <w:highlight w:val="none"/>
          <w:lang w:val="en-US" w:eastAsia="zh-CN"/>
        </w:rPr>
        <w:t>：</w:t>
      </w:r>
      <w:r>
        <w:rPr>
          <w:rFonts w:hint="eastAsia" w:ascii="仿宋_GB2312" w:eastAsia="仿宋_GB2312"/>
          <w:color w:val="000000"/>
          <w:sz w:val="32"/>
          <w:szCs w:val="32"/>
        </w:rPr>
        <w:t>反映行政事业单位按人力资源和社会保障部、财政部规定的基本工资和津贴补贴以及规定比例为职工缴纳的住房公积金。</w:t>
      </w:r>
    </w:p>
    <w:p>
      <w:pPr>
        <w:pStyle w:val="7"/>
        <w:keepNext w:val="0"/>
        <w:keepLines w:val="0"/>
        <w:pageBreakBefore w:val="0"/>
        <w:numPr>
          <w:ilvl w:val="0"/>
          <w:numId w:val="4"/>
        </w:numPr>
        <w:kinsoku/>
        <w:wordWrap/>
        <w:overflowPunct/>
        <w:topLinePunct w:val="0"/>
        <w:autoSpaceDE/>
        <w:bidi w:val="0"/>
        <w:adjustRightInd/>
        <w:snapToGrid/>
        <w:spacing w:before="0" w:beforeLines="0" w:after="0" w:afterLines="0" w:line="560" w:lineRule="exact"/>
        <w:ind w:left="0" w:leftChars="0" w:right="0" w:rightChars="0" w:firstLine="722"/>
        <w:jc w:val="both"/>
        <w:textAlignment w:val="auto"/>
        <w:outlineLvl w:val="9"/>
        <w:rPr>
          <w:rFonts w:hint="eastAsia" w:ascii="仿宋_GB2312" w:eastAsia="仿宋_GB2312"/>
          <w:b/>
          <w:bCs/>
          <w:sz w:val="32"/>
          <w:szCs w:val="32"/>
          <w:highlight w:val="none"/>
          <w:lang w:val="en-US" w:eastAsia="zh-CN"/>
        </w:rPr>
      </w:pPr>
      <w:r>
        <w:rPr>
          <w:rFonts w:hint="eastAsia" w:ascii="仿宋_GB2312" w:hAnsi="宋体" w:eastAsia="仿宋_GB2312"/>
          <w:b/>
          <w:bCs/>
          <w:sz w:val="32"/>
          <w:szCs w:val="32"/>
          <w:highlight w:val="none"/>
          <w:lang w:val="en-US" w:eastAsia="zh-CN"/>
        </w:rPr>
        <w:t>住房保障支出</w:t>
      </w:r>
      <w:r>
        <w:rPr>
          <w:rFonts w:hint="eastAsia" w:ascii="仿宋_GB2312" w:hAnsi="宋体" w:eastAsia="仿宋_GB2312"/>
          <w:b/>
          <w:bCs/>
          <w:sz w:val="32"/>
          <w:szCs w:val="32"/>
          <w:highlight w:val="none"/>
          <w:lang w:eastAsia="zh-CN"/>
        </w:rPr>
        <w:t>（</w:t>
      </w:r>
      <w:r>
        <w:rPr>
          <w:rFonts w:hint="eastAsia" w:ascii="仿宋_GB2312" w:hAnsi="宋体" w:eastAsia="仿宋_GB2312"/>
          <w:b/>
          <w:bCs/>
          <w:sz w:val="32"/>
          <w:szCs w:val="32"/>
          <w:highlight w:val="none"/>
          <w:lang w:val="en-US" w:eastAsia="zh-CN"/>
        </w:rPr>
        <w:t>类）</w:t>
      </w:r>
      <w:r>
        <w:rPr>
          <w:rFonts w:hint="eastAsia" w:ascii="仿宋_GB2312" w:hAnsi="宋体" w:eastAsia="仿宋_GB2312"/>
          <w:b/>
          <w:bCs/>
          <w:color w:val="auto"/>
          <w:sz w:val="32"/>
          <w:szCs w:val="32"/>
          <w:highlight w:val="none"/>
          <w:lang w:val="en-US" w:eastAsia="zh-CN"/>
        </w:rPr>
        <w:t>住房改革支出</w:t>
      </w:r>
      <w:r>
        <w:rPr>
          <w:rFonts w:hint="eastAsia" w:ascii="仿宋_GB2312" w:hAnsi="宋体" w:eastAsia="仿宋_GB2312"/>
          <w:b/>
          <w:bCs/>
          <w:sz w:val="32"/>
          <w:szCs w:val="32"/>
          <w:highlight w:val="none"/>
          <w:lang w:val="en-US" w:eastAsia="zh-CN"/>
        </w:rPr>
        <w:t>（款）购房补贴</w:t>
      </w:r>
      <w:r>
        <w:rPr>
          <w:rFonts w:hint="eastAsia" w:ascii="仿宋_GB2312" w:hAnsi="宋体" w:eastAsia="仿宋_GB2312"/>
          <w:b/>
          <w:bCs/>
          <w:sz w:val="32"/>
          <w:szCs w:val="32"/>
          <w:highlight w:val="none"/>
          <w:lang w:eastAsia="zh-CN"/>
        </w:rPr>
        <w:t>（</w:t>
      </w:r>
      <w:r>
        <w:rPr>
          <w:rFonts w:hint="eastAsia" w:ascii="仿宋_GB2312" w:hAnsi="宋体" w:eastAsia="仿宋_GB2312"/>
          <w:b/>
          <w:bCs/>
          <w:sz w:val="32"/>
          <w:szCs w:val="32"/>
          <w:highlight w:val="none"/>
          <w:lang w:val="en-US" w:eastAsia="zh-CN"/>
        </w:rPr>
        <w:t>项）</w:t>
      </w:r>
      <w:r>
        <w:rPr>
          <w:rFonts w:hint="eastAsia" w:ascii="仿宋_GB2312" w:eastAsia="仿宋_GB2312"/>
          <w:b/>
          <w:bCs/>
          <w:sz w:val="32"/>
          <w:szCs w:val="32"/>
          <w:highlight w:val="none"/>
          <w:lang w:val="en-US" w:eastAsia="zh-CN"/>
        </w:rPr>
        <w:t>：</w:t>
      </w:r>
      <w:r>
        <w:rPr>
          <w:rFonts w:hint="eastAsia" w:ascii="仿宋_GB2312" w:eastAsia="仿宋_GB2312"/>
          <w:color w:val="000000"/>
          <w:sz w:val="32"/>
          <w:szCs w:val="32"/>
        </w:rPr>
        <w:t>反映按房改政策规定，行政事业单位向符合条件职工（含离退休人员）、军队（含武警）向转役复员离退休人员发放的用于购买住房的补贴。</w:t>
      </w:r>
    </w:p>
    <w:p>
      <w:pPr>
        <w:pStyle w:val="7"/>
        <w:keepNext w:val="0"/>
        <w:keepLines w:val="0"/>
        <w:pageBreakBefore w:val="0"/>
        <w:numPr>
          <w:ilvl w:val="0"/>
          <w:numId w:val="4"/>
        </w:numPr>
        <w:kinsoku/>
        <w:wordWrap/>
        <w:overflowPunct/>
        <w:topLinePunct w:val="0"/>
        <w:autoSpaceDE/>
        <w:bidi w:val="0"/>
        <w:adjustRightInd/>
        <w:snapToGrid/>
        <w:spacing w:before="0" w:beforeLines="0" w:after="0" w:afterLines="0" w:line="560" w:lineRule="exact"/>
        <w:ind w:left="0" w:leftChars="0" w:right="0" w:rightChars="0" w:firstLine="722"/>
        <w:jc w:val="both"/>
        <w:textAlignment w:val="auto"/>
        <w:outlineLvl w:val="9"/>
        <w:rPr>
          <w:rFonts w:hint="eastAsia" w:ascii="仿宋_GB2312" w:eastAsia="仿宋_GB2312"/>
          <w:b/>
          <w:bCs/>
          <w:sz w:val="32"/>
          <w:szCs w:val="32"/>
          <w:highlight w:val="none"/>
          <w:lang w:val="en-US" w:eastAsia="zh-CN"/>
        </w:rPr>
      </w:pPr>
      <w:r>
        <w:rPr>
          <w:rFonts w:hint="eastAsia" w:ascii="仿宋_GB2312" w:hAnsi="宋体" w:eastAsia="仿宋_GB2312"/>
          <w:b/>
          <w:bCs/>
          <w:sz w:val="32"/>
          <w:szCs w:val="32"/>
          <w:highlight w:val="none"/>
          <w:lang w:val="en-US" w:eastAsia="zh-CN"/>
        </w:rPr>
        <w:t>住房保障支出</w:t>
      </w:r>
      <w:r>
        <w:rPr>
          <w:rFonts w:hint="eastAsia" w:ascii="仿宋_GB2312" w:hAnsi="宋体" w:eastAsia="仿宋_GB2312"/>
          <w:b/>
          <w:bCs/>
          <w:sz w:val="32"/>
          <w:szCs w:val="32"/>
          <w:highlight w:val="none"/>
          <w:lang w:eastAsia="zh-CN"/>
        </w:rPr>
        <w:t>（</w:t>
      </w:r>
      <w:r>
        <w:rPr>
          <w:rFonts w:hint="eastAsia" w:ascii="仿宋_GB2312" w:hAnsi="宋体" w:eastAsia="仿宋_GB2312"/>
          <w:b/>
          <w:bCs/>
          <w:sz w:val="32"/>
          <w:szCs w:val="32"/>
          <w:highlight w:val="none"/>
          <w:lang w:val="en-US" w:eastAsia="zh-CN"/>
        </w:rPr>
        <w:t>类）</w:t>
      </w:r>
      <w:r>
        <w:rPr>
          <w:rFonts w:hint="eastAsia" w:ascii="仿宋_GB2312" w:hAnsi="宋体" w:eastAsia="仿宋_GB2312"/>
          <w:b/>
          <w:bCs/>
          <w:color w:val="auto"/>
          <w:sz w:val="32"/>
          <w:szCs w:val="32"/>
          <w:highlight w:val="none"/>
          <w:lang w:val="en-US" w:eastAsia="zh-CN"/>
        </w:rPr>
        <w:t>住房改革支出</w:t>
      </w:r>
      <w:r>
        <w:rPr>
          <w:rFonts w:hint="eastAsia" w:ascii="仿宋_GB2312" w:hAnsi="宋体" w:eastAsia="仿宋_GB2312"/>
          <w:b/>
          <w:bCs/>
          <w:sz w:val="32"/>
          <w:szCs w:val="32"/>
          <w:highlight w:val="none"/>
          <w:lang w:val="en-US" w:eastAsia="zh-CN"/>
        </w:rPr>
        <w:t>（款）</w:t>
      </w:r>
      <w:r>
        <w:rPr>
          <w:rFonts w:hint="eastAsia" w:ascii="仿宋_GB2312" w:eastAsia="仿宋_GB2312"/>
          <w:b/>
          <w:bCs/>
          <w:sz w:val="32"/>
          <w:szCs w:val="32"/>
          <w:highlight w:val="none"/>
          <w:lang w:val="en-US" w:eastAsia="zh-CN"/>
        </w:rPr>
        <w:t>提租补贴</w:t>
      </w:r>
      <w:r>
        <w:rPr>
          <w:rFonts w:hint="eastAsia" w:ascii="仿宋_GB2312" w:hAnsi="宋体" w:eastAsia="仿宋_GB2312"/>
          <w:b/>
          <w:bCs/>
          <w:sz w:val="32"/>
          <w:szCs w:val="32"/>
          <w:highlight w:val="none"/>
          <w:lang w:eastAsia="zh-CN"/>
        </w:rPr>
        <w:t>（</w:t>
      </w:r>
      <w:r>
        <w:rPr>
          <w:rFonts w:hint="eastAsia" w:ascii="仿宋_GB2312" w:hAnsi="宋体" w:eastAsia="仿宋_GB2312"/>
          <w:b/>
          <w:bCs/>
          <w:sz w:val="32"/>
          <w:szCs w:val="32"/>
          <w:highlight w:val="none"/>
          <w:lang w:val="en-US" w:eastAsia="zh-CN"/>
        </w:rPr>
        <w:t>项）</w:t>
      </w:r>
      <w:r>
        <w:rPr>
          <w:rFonts w:hint="eastAsia" w:ascii="仿宋_GB2312" w:eastAsia="仿宋_GB2312"/>
          <w:b/>
          <w:bCs/>
          <w:sz w:val="32"/>
          <w:szCs w:val="32"/>
          <w:highlight w:val="none"/>
          <w:lang w:val="en-US" w:eastAsia="zh-CN"/>
        </w:rPr>
        <w:t>：</w:t>
      </w:r>
    </w:p>
    <w:p>
      <w:pPr>
        <w:pStyle w:val="7"/>
        <w:keepNext w:val="0"/>
        <w:keepLines w:val="0"/>
        <w:pageBreakBefore w:val="0"/>
        <w:widowControl/>
        <w:numPr>
          <w:ilvl w:val="0"/>
          <w:numId w:val="0"/>
        </w:numPr>
        <w:kinsoku/>
        <w:wordWrap/>
        <w:overflowPunct/>
        <w:topLinePunct w:val="0"/>
        <w:autoSpaceDE/>
        <w:bidi w:val="0"/>
        <w:adjustRightInd/>
        <w:snapToGrid/>
        <w:spacing w:before="0" w:beforeLines="0" w:after="0" w:afterLines="0" w:line="560" w:lineRule="exact"/>
        <w:ind w:right="0" w:rightChars="0"/>
        <w:jc w:val="both"/>
        <w:textAlignment w:val="auto"/>
        <w:outlineLvl w:val="9"/>
        <w:rPr>
          <w:rFonts w:hint="eastAsia" w:ascii="仿宋_GB2312" w:eastAsia="仿宋_GB2312"/>
          <w:color w:val="000000"/>
          <w:sz w:val="32"/>
          <w:szCs w:val="32"/>
        </w:rPr>
      </w:pPr>
      <w:r>
        <w:rPr>
          <w:rFonts w:hint="eastAsia" w:ascii="仿宋_GB2312" w:eastAsia="仿宋_GB2312"/>
          <w:color w:val="000000"/>
          <w:sz w:val="32"/>
          <w:szCs w:val="32"/>
        </w:rPr>
        <w:t>反映按房改政策规定，行政事业单位职工（含离退休人员）发放的租金补贴。</w:t>
      </w:r>
    </w:p>
    <w:p>
      <w:pPr>
        <w:pStyle w:val="7"/>
        <w:spacing w:line="560" w:lineRule="exact"/>
        <w:ind w:firstLine="640"/>
        <w:rPr>
          <w:rFonts w:ascii="仿宋_GB2312" w:eastAsia="仿宋_GB2312"/>
          <w:sz w:val="32"/>
          <w:szCs w:val="32"/>
        </w:rPr>
      </w:pPr>
    </w:p>
    <w:p>
      <w:pPr>
        <w:pStyle w:val="7"/>
        <w:keepNext w:val="0"/>
        <w:keepLines w:val="0"/>
        <w:pageBreakBefore w:val="0"/>
        <w:widowControl/>
        <w:numPr>
          <w:ilvl w:val="0"/>
          <w:numId w:val="0"/>
        </w:numPr>
        <w:kinsoku/>
        <w:wordWrap/>
        <w:overflowPunct/>
        <w:topLinePunct w:val="0"/>
        <w:autoSpaceDE/>
        <w:bidi w:val="0"/>
        <w:adjustRightInd/>
        <w:snapToGrid/>
        <w:spacing w:before="0" w:beforeLines="0" w:after="0" w:afterLines="0" w:line="560" w:lineRule="exact"/>
        <w:ind w:right="0" w:rightChars="0"/>
        <w:jc w:val="both"/>
        <w:textAlignment w:val="auto"/>
        <w:outlineLvl w:val="9"/>
        <w:rPr>
          <w:rFonts w:hint="eastAsia" w:ascii="仿宋_GB2312" w:eastAsia="仿宋_GB2312"/>
          <w:color w:val="000000"/>
          <w:sz w:val="32"/>
          <w:szCs w:val="32"/>
          <w:lang w:val="en-US" w:eastAsia="zh-CN"/>
        </w:rPr>
      </w:pPr>
    </w:p>
    <w:p>
      <w:pPr>
        <w:pStyle w:val="7"/>
        <w:keepNext w:val="0"/>
        <w:keepLines w:val="0"/>
        <w:pageBreakBefore w:val="0"/>
        <w:widowControl/>
        <w:numPr>
          <w:ilvl w:val="0"/>
          <w:numId w:val="0"/>
        </w:numPr>
        <w:kinsoku/>
        <w:wordWrap/>
        <w:overflowPunct/>
        <w:topLinePunct w:val="0"/>
        <w:autoSpaceDE/>
        <w:bidi w:val="0"/>
        <w:adjustRightInd/>
        <w:snapToGrid/>
        <w:spacing w:before="0" w:beforeLines="0" w:after="0" w:afterLines="0" w:line="560" w:lineRule="exact"/>
        <w:ind w:right="0" w:rightChars="0"/>
        <w:jc w:val="both"/>
        <w:textAlignment w:val="auto"/>
        <w:outlineLvl w:val="9"/>
        <w:rPr>
          <w:rFonts w:hint="eastAsia" w:ascii="仿宋_GB2312" w:eastAsia="仿宋_GB2312"/>
          <w:color w:val="000000"/>
          <w:sz w:val="32"/>
          <w:szCs w:val="32"/>
          <w:lang w:val="en-US" w:eastAsia="zh-CN"/>
        </w:rPr>
        <w:sectPr>
          <w:pgSz w:w="11906" w:h="16838"/>
          <w:pgMar w:top="2097" w:right="1474" w:bottom="1984" w:left="1587" w:header="851" w:footer="992" w:gutter="0"/>
          <w:pgBorders>
            <w:top w:val="none" w:sz="0" w:space="0"/>
            <w:left w:val="none" w:sz="0" w:space="0"/>
            <w:bottom w:val="none" w:sz="0" w:space="0"/>
            <w:right w:val="none" w:sz="0" w:space="0"/>
          </w:pgBorders>
          <w:cols w:space="720" w:num="1"/>
          <w:docGrid w:type="lines" w:linePitch="312" w:charSpace="0"/>
        </w:sectPr>
      </w:pPr>
    </w:p>
    <w:p>
      <w:pPr>
        <w:pStyle w:val="7"/>
        <w:spacing w:line="560" w:lineRule="exact"/>
        <w:ind w:firstLine="640"/>
        <w:rPr>
          <w:rFonts w:hint="default" w:ascii="仿宋_GB2312" w:eastAsia="仿宋_GB2312"/>
          <w:i/>
          <w:sz w:val="32"/>
          <w:u w:val="single"/>
        </w:rPr>
      </w:pPr>
    </w:p>
    <w:p>
      <w:pPr>
        <w:pStyle w:val="7"/>
        <w:spacing w:line="560" w:lineRule="atLeast"/>
        <w:jc w:val="left"/>
        <w:rPr>
          <w:rFonts w:hint="default" w:ascii="仿宋_GB2312" w:hAnsi="仿宋_GB2312" w:eastAsia="仿宋_GB2312" w:cs="仿宋_GB2312"/>
          <w:b/>
          <w:sz w:val="52"/>
          <w:szCs w:val="52"/>
        </w:rPr>
      </w:pPr>
    </w:p>
    <w:p>
      <w:pPr>
        <w:pStyle w:val="7"/>
        <w:spacing w:line="560" w:lineRule="atLeast"/>
        <w:jc w:val="left"/>
        <w:rPr>
          <w:rFonts w:hint="default" w:ascii="仿宋_GB2312" w:hAnsi="仿宋_GB2312" w:eastAsia="仿宋_GB2312" w:cs="仿宋_GB2312"/>
          <w:b/>
          <w:sz w:val="52"/>
          <w:szCs w:val="52"/>
        </w:rPr>
      </w:pPr>
    </w:p>
    <w:p>
      <w:pPr>
        <w:pStyle w:val="7"/>
        <w:spacing w:line="560" w:lineRule="atLeast"/>
        <w:jc w:val="left"/>
        <w:rPr>
          <w:rFonts w:hint="default" w:ascii="仿宋_GB2312" w:hAnsi="仿宋_GB2312" w:eastAsia="仿宋_GB2312" w:cs="仿宋_GB2312"/>
          <w:b/>
          <w:sz w:val="52"/>
          <w:szCs w:val="52"/>
        </w:rPr>
      </w:pPr>
    </w:p>
    <w:p>
      <w:pPr>
        <w:pStyle w:val="7"/>
        <w:numPr>
          <w:ilvl w:val="0"/>
          <w:numId w:val="5"/>
        </w:numPr>
        <w:spacing w:line="560" w:lineRule="atLeast"/>
        <w:jc w:val="center"/>
        <w:rPr>
          <w:rFonts w:ascii="仿宋_GB2312" w:hAnsi="仿宋_GB2312" w:eastAsia="仿宋_GB2312" w:cs="仿宋_GB2312"/>
          <w:b/>
          <w:sz w:val="52"/>
          <w:szCs w:val="52"/>
        </w:rPr>
      </w:pPr>
      <w:r>
        <w:rPr>
          <w:rFonts w:ascii="仿宋_GB2312" w:hAnsi="仿宋_GB2312" w:eastAsia="仿宋_GB2312" w:cs="仿宋_GB2312"/>
          <w:b/>
          <w:sz w:val="52"/>
          <w:szCs w:val="52"/>
        </w:rPr>
        <w:t xml:space="preserve">分 </w:t>
      </w:r>
      <w:r>
        <w:rPr>
          <w:rFonts w:hint="eastAsia" w:ascii="仿宋_GB2312" w:hAnsi="仿宋_GB2312" w:eastAsia="仿宋_GB2312" w:cs="仿宋_GB2312"/>
          <w:b/>
          <w:sz w:val="52"/>
          <w:szCs w:val="52"/>
          <w:lang w:eastAsia="zh-CN"/>
        </w:rPr>
        <w:t>沈阳市人力资源和社会保障局</w:t>
      </w:r>
    </w:p>
    <w:p>
      <w:pPr>
        <w:pStyle w:val="7"/>
        <w:numPr>
          <w:ilvl w:val="0"/>
          <w:numId w:val="0"/>
        </w:numPr>
        <w:spacing w:line="560" w:lineRule="atLeast"/>
        <w:ind w:firstLine="5742" w:firstLineChars="1100"/>
        <w:jc w:val="both"/>
        <w:rPr>
          <w:rFonts w:ascii="仿宋_GB2312" w:hAnsi="仿宋_GB2312" w:eastAsia="仿宋_GB2312" w:cs="仿宋_GB2312"/>
          <w:b/>
          <w:sz w:val="52"/>
          <w:szCs w:val="52"/>
        </w:rPr>
      </w:pPr>
      <w:r>
        <w:rPr>
          <w:rFonts w:ascii="仿宋_GB2312" w:hAnsi="仿宋_GB2312" w:eastAsia="仿宋_GB2312" w:cs="仿宋_GB2312"/>
          <w:b/>
          <w:sz w:val="52"/>
          <w:szCs w:val="52"/>
        </w:rPr>
        <w:t>2021年度部门决算表</w:t>
      </w:r>
    </w:p>
    <w:p>
      <w:pPr>
        <w:pStyle w:val="7"/>
        <w:numPr>
          <w:ilvl w:val="0"/>
          <w:numId w:val="0"/>
        </w:numPr>
        <w:spacing w:line="560" w:lineRule="atLeast"/>
        <w:ind w:firstLine="5742" w:firstLineChars="1100"/>
        <w:jc w:val="both"/>
        <w:rPr>
          <w:rFonts w:hint="eastAsia" w:ascii="仿宋_GB2312" w:hAnsi="仿宋_GB2312" w:eastAsia="仿宋_GB2312" w:cs="仿宋_GB2312"/>
          <w:b/>
          <w:sz w:val="52"/>
          <w:szCs w:val="52"/>
          <w:lang w:eastAsia="zh-CN"/>
        </w:rPr>
      </w:pPr>
      <w:r>
        <w:rPr>
          <w:rFonts w:hint="eastAsia" w:ascii="仿宋_GB2312" w:hAnsi="仿宋_GB2312" w:eastAsia="仿宋_GB2312" w:cs="仿宋_GB2312"/>
          <w:b/>
          <w:sz w:val="52"/>
          <w:szCs w:val="52"/>
          <w:lang w:eastAsia="zh-CN"/>
        </w:rPr>
        <w:t>（含三公经费）</w:t>
      </w:r>
    </w:p>
    <w:p>
      <w:pPr>
        <w:pStyle w:val="7"/>
        <w:widowControl/>
        <w:numPr>
          <w:ilvl w:val="0"/>
          <w:numId w:val="0"/>
        </w:numPr>
        <w:spacing w:line="560" w:lineRule="atLeast"/>
        <w:jc w:val="both"/>
        <w:rPr>
          <w:rFonts w:hint="default" w:ascii="仿宋_GB2312" w:hAnsi="仿宋_GB2312" w:eastAsia="仿宋_GB2312" w:cs="仿宋_GB2312"/>
          <w:b/>
          <w:sz w:val="52"/>
          <w:szCs w:val="52"/>
        </w:rPr>
      </w:pPr>
    </w:p>
    <w:p>
      <w:pPr>
        <w:pStyle w:val="7"/>
        <w:numPr>
          <w:ilvl w:val="0"/>
          <w:numId w:val="0"/>
        </w:numPr>
        <w:spacing w:line="560" w:lineRule="atLeast"/>
        <w:jc w:val="both"/>
        <w:rPr>
          <w:rFonts w:ascii="仿宋_GB2312" w:hAnsi="仿宋_GB2312" w:eastAsia="仿宋_GB2312" w:cs="仿宋_GB2312"/>
          <w:b/>
          <w:sz w:val="52"/>
          <w:szCs w:val="52"/>
        </w:rPr>
      </w:pPr>
    </w:p>
    <w:p>
      <w:pPr>
        <w:pStyle w:val="7"/>
        <w:widowControl/>
        <w:numPr>
          <w:ilvl w:val="0"/>
          <w:numId w:val="0"/>
        </w:numPr>
        <w:spacing w:line="560" w:lineRule="atLeast"/>
        <w:jc w:val="both"/>
        <w:rPr>
          <w:rFonts w:hint="default" w:ascii="仿宋_GB2312" w:hAnsi="仿宋_GB2312" w:eastAsia="仿宋_GB2312" w:cs="仿宋_GB2312"/>
          <w:b/>
          <w:sz w:val="52"/>
          <w:szCs w:val="52"/>
        </w:rPr>
      </w:pPr>
    </w:p>
    <w:p>
      <w:pPr>
        <w:pStyle w:val="7"/>
        <w:widowControl/>
        <w:numPr>
          <w:ilvl w:val="0"/>
          <w:numId w:val="0"/>
        </w:numPr>
        <w:spacing w:line="560" w:lineRule="atLeast"/>
        <w:jc w:val="both"/>
        <w:rPr>
          <w:rFonts w:hint="default" w:ascii="仿宋_GB2312" w:hAnsi="仿宋_GB2312" w:eastAsia="仿宋_GB2312" w:cs="仿宋_GB2312"/>
          <w:b/>
          <w:sz w:val="52"/>
          <w:szCs w:val="52"/>
        </w:rPr>
      </w:pPr>
    </w:p>
    <w:p>
      <w:pPr>
        <w:widowControl/>
        <w:spacing w:line="560" w:lineRule="atLeast"/>
        <w:rPr>
          <w:rFonts w:hint="default" w:ascii="仿宋_GB2312" w:hAnsi="宋体" w:eastAsia="仿宋_GB2312"/>
          <w:kern w:val="0"/>
          <w:sz w:val="24"/>
        </w:rPr>
      </w:pPr>
      <w:r>
        <w:rPr>
          <w:rFonts w:ascii="仿宋_GB2312" w:hAnsi="宋体" w:eastAsia="仿宋_GB2312"/>
          <w:kern w:val="0"/>
          <w:sz w:val="24"/>
        </w:rPr>
        <w:t xml:space="preserve">附件1-1                                          </w:t>
      </w:r>
      <w:r>
        <w:rPr>
          <w:rFonts w:ascii="宋体" w:hAnsi="宋体"/>
          <w:b/>
          <w:color w:val="000000"/>
          <w:kern w:val="0"/>
          <w:sz w:val="28"/>
          <w:shd w:val="clear" w:color="auto" w:fill="FFFFFF"/>
        </w:rPr>
        <w:t>收入支出决算总表</w:t>
      </w:r>
    </w:p>
    <w:tbl>
      <w:tblPr>
        <w:tblStyle w:val="5"/>
        <w:tblW w:w="14560" w:type="dxa"/>
        <w:jc w:val="center"/>
        <w:tblLayout w:type="fixed"/>
        <w:tblCellMar>
          <w:top w:w="0" w:type="dxa"/>
          <w:left w:w="108" w:type="dxa"/>
          <w:bottom w:w="0" w:type="dxa"/>
          <w:right w:w="108" w:type="dxa"/>
        </w:tblCellMar>
      </w:tblPr>
      <w:tblGrid>
        <w:gridCol w:w="2562"/>
        <w:gridCol w:w="680"/>
        <w:gridCol w:w="1607"/>
        <w:gridCol w:w="2712"/>
        <w:gridCol w:w="1334"/>
        <w:gridCol w:w="1328"/>
        <w:gridCol w:w="1607"/>
        <w:gridCol w:w="2730"/>
      </w:tblGrid>
      <w:tr>
        <w:tblPrEx>
          <w:tblCellMar>
            <w:top w:w="0" w:type="dxa"/>
            <w:left w:w="108" w:type="dxa"/>
            <w:bottom w:w="0" w:type="dxa"/>
            <w:right w:w="108" w:type="dxa"/>
          </w:tblCellMar>
        </w:tblPrEx>
        <w:trPr>
          <w:trHeight w:val="312" w:hRule="exact"/>
          <w:jc w:val="center"/>
        </w:trPr>
        <w:tc>
          <w:tcPr>
            <w:tcW w:w="14560" w:type="dxa"/>
            <w:gridSpan w:val="8"/>
            <w:tcBorders>
              <w:top w:val="nil"/>
              <w:left w:val="nil"/>
              <w:bottom w:val="nil"/>
              <w:right w:val="nil"/>
            </w:tcBorders>
            <w:shd w:val="clear" w:color="auto" w:fill="FFFFFF"/>
            <w:vAlign w:val="center"/>
          </w:tcPr>
          <w:p>
            <w:pPr>
              <w:widowControl/>
              <w:shd w:val="clear" w:color="auto" w:fill="FFFFFF"/>
              <w:spacing w:line="153" w:lineRule="atLeast"/>
              <w:jc w:val="right"/>
              <w:rPr>
                <w:rFonts w:hint="default" w:ascii="宋体"/>
                <w:b/>
                <w:color w:val="000000"/>
                <w:kern w:val="0"/>
                <w:shd w:val="clear" w:color="auto" w:fill="FFFFFF"/>
              </w:rPr>
            </w:pPr>
            <w:r>
              <w:rPr>
                <w:rFonts w:ascii="宋体" w:hAnsi="宋体"/>
                <w:b/>
                <w:color w:val="000000"/>
                <w:kern w:val="0"/>
                <w:sz w:val="28"/>
                <w:shd w:val="clear" w:color="auto" w:fill="FFFFFF"/>
              </w:rPr>
              <w:t xml:space="preserve">                                                                                         </w:t>
            </w:r>
            <w:r>
              <w:rPr>
                <w:rFonts w:ascii="宋体" w:hAnsi="宋体"/>
                <w:color w:val="000000"/>
                <w:kern w:val="0"/>
                <w:shd w:val="clear" w:color="auto" w:fill="FFFFFF"/>
              </w:rPr>
              <w:t>公开01表</w:t>
            </w:r>
            <w:r>
              <w:rPr>
                <w:rFonts w:ascii="宋体" w:hAnsi="宋体"/>
                <w:b/>
                <w:color w:val="000000"/>
                <w:kern w:val="0"/>
                <w:sz w:val="28"/>
                <w:shd w:val="clear" w:color="auto" w:fill="FFFFFF"/>
              </w:rPr>
              <w:t xml:space="preserve">  </w:t>
            </w:r>
          </w:p>
        </w:tc>
      </w:tr>
      <w:tr>
        <w:tblPrEx>
          <w:tblCellMar>
            <w:top w:w="0" w:type="dxa"/>
            <w:left w:w="108" w:type="dxa"/>
            <w:bottom w:w="0" w:type="dxa"/>
            <w:right w:w="108" w:type="dxa"/>
          </w:tblCellMar>
        </w:tblPrEx>
        <w:trPr>
          <w:trHeight w:val="312" w:hRule="exact"/>
          <w:jc w:val="center"/>
        </w:trPr>
        <w:tc>
          <w:tcPr>
            <w:tcW w:w="2562" w:type="dxa"/>
            <w:tcBorders>
              <w:top w:val="nil"/>
              <w:left w:val="nil"/>
              <w:bottom w:val="nil"/>
              <w:right w:val="nil"/>
            </w:tcBorders>
            <w:shd w:val="clear" w:color="auto" w:fill="FFFFFF"/>
            <w:vAlign w:val="bottom"/>
          </w:tcPr>
          <w:p>
            <w:pPr>
              <w:widowControl/>
              <w:shd w:val="clear" w:color="auto" w:fill="FFFFFF"/>
              <w:spacing w:line="150" w:lineRule="atLeast"/>
              <w:jc w:val="left"/>
              <w:rPr>
                <w:rFonts w:hint="default" w:ascii="宋体"/>
                <w:color w:val="000000"/>
                <w:kern w:val="0"/>
                <w:shd w:val="clear" w:color="auto" w:fill="FFFFFF"/>
              </w:rPr>
            </w:pPr>
            <w:r>
              <w:rPr>
                <w:rFonts w:ascii="宋体" w:hAnsi="宋体"/>
                <w:color w:val="000000"/>
                <w:kern w:val="0"/>
                <w:shd w:val="clear" w:color="auto" w:fill="FFFFFF"/>
              </w:rPr>
              <w:t>部门：</w:t>
            </w:r>
          </w:p>
        </w:tc>
        <w:tc>
          <w:tcPr>
            <w:tcW w:w="680"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6"/>
                <w:shd w:val="clear" w:color="auto" w:fill="FFFFFF"/>
              </w:rPr>
            </w:pPr>
          </w:p>
        </w:tc>
        <w:tc>
          <w:tcPr>
            <w:tcW w:w="4319" w:type="dxa"/>
            <w:gridSpan w:val="2"/>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6"/>
                <w:shd w:val="clear" w:color="auto" w:fill="FFFFFF"/>
              </w:rPr>
            </w:pPr>
          </w:p>
        </w:tc>
        <w:tc>
          <w:tcPr>
            <w:tcW w:w="1334"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6"/>
                <w:shd w:val="clear" w:color="auto" w:fill="FFFFFF"/>
              </w:rPr>
            </w:pPr>
          </w:p>
        </w:tc>
        <w:tc>
          <w:tcPr>
            <w:tcW w:w="1328" w:type="dxa"/>
            <w:tcBorders>
              <w:top w:val="nil"/>
              <w:left w:val="nil"/>
              <w:bottom w:val="nil"/>
              <w:right w:val="nil"/>
            </w:tcBorders>
            <w:shd w:val="clear" w:color="auto" w:fill="auto"/>
            <w:vAlign w:val="bottom"/>
          </w:tcPr>
          <w:p>
            <w:pPr>
              <w:widowControl/>
              <w:shd w:val="clear" w:color="auto" w:fill="FFFFFF"/>
              <w:jc w:val="right"/>
              <w:rPr>
                <w:rFonts w:hint="default" w:ascii="宋体"/>
                <w:color w:val="000000"/>
                <w:kern w:val="0"/>
                <w:sz w:val="16"/>
                <w:shd w:val="clear" w:color="auto" w:fill="FFFFFF"/>
              </w:rPr>
            </w:pPr>
          </w:p>
        </w:tc>
        <w:tc>
          <w:tcPr>
            <w:tcW w:w="4337" w:type="dxa"/>
            <w:gridSpan w:val="2"/>
            <w:tcBorders>
              <w:top w:val="nil"/>
              <w:left w:val="nil"/>
              <w:bottom w:val="nil"/>
              <w:right w:val="nil"/>
            </w:tcBorders>
            <w:shd w:val="clear" w:color="auto" w:fill="FFFFFF"/>
            <w:vAlign w:val="bottom"/>
          </w:tcPr>
          <w:p>
            <w:pPr>
              <w:widowControl/>
              <w:shd w:val="clear" w:color="auto" w:fill="FFFFFF"/>
              <w:spacing w:line="150" w:lineRule="atLeast"/>
              <w:jc w:val="right"/>
              <w:rPr>
                <w:rFonts w:hint="default" w:ascii="宋体"/>
                <w:color w:val="000000"/>
                <w:kern w:val="0"/>
                <w:shd w:val="clear" w:color="auto" w:fill="FFFFFF"/>
              </w:rPr>
            </w:pPr>
            <w:r>
              <w:rPr>
                <w:rFonts w:ascii="宋体" w:hAnsi="宋体"/>
                <w:color w:val="000000"/>
                <w:kern w:val="0"/>
                <w:shd w:val="clear" w:color="auto" w:fill="FFFFFF"/>
              </w:rPr>
              <w:t>单位：万元</w:t>
            </w:r>
          </w:p>
        </w:tc>
      </w:tr>
      <w:tr>
        <w:tblPrEx>
          <w:tblCellMar>
            <w:top w:w="0" w:type="dxa"/>
            <w:left w:w="108" w:type="dxa"/>
            <w:bottom w:w="0" w:type="dxa"/>
            <w:right w:w="108" w:type="dxa"/>
          </w:tblCellMar>
        </w:tblPrEx>
        <w:trPr>
          <w:trHeight w:val="312" w:hRule="exact"/>
          <w:jc w:val="center"/>
        </w:trPr>
        <w:tc>
          <w:tcPr>
            <w:tcW w:w="7561"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hd w:val="clear" w:color="auto" w:fill="FFFFFF"/>
              <w:spacing w:line="125" w:lineRule="atLeast"/>
              <w:jc w:val="center"/>
              <w:rPr>
                <w:rFonts w:hint="default" w:ascii="宋体"/>
                <w:color w:val="000000"/>
                <w:kern w:val="0"/>
                <w:shd w:val="clear" w:color="auto" w:fill="FFFFFF"/>
              </w:rPr>
            </w:pPr>
            <w:r>
              <w:rPr>
                <w:rFonts w:ascii="宋体" w:hAnsi="宋体"/>
                <w:color w:val="000000"/>
                <w:kern w:val="0"/>
                <w:shd w:val="clear" w:color="auto" w:fill="FFFFFF"/>
              </w:rPr>
              <w:t>收     入</w:t>
            </w:r>
          </w:p>
        </w:tc>
        <w:tc>
          <w:tcPr>
            <w:tcW w:w="6999" w:type="dxa"/>
            <w:gridSpan w:val="4"/>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spacing w:line="125" w:lineRule="atLeast"/>
              <w:jc w:val="center"/>
              <w:rPr>
                <w:rFonts w:hint="default" w:ascii="宋体"/>
                <w:color w:val="000000"/>
                <w:kern w:val="0"/>
                <w:shd w:val="clear" w:color="auto" w:fill="FFFFFF"/>
              </w:rPr>
            </w:pPr>
            <w:r>
              <w:rPr>
                <w:rFonts w:ascii="宋体" w:hAnsi="宋体"/>
                <w:color w:val="000000"/>
                <w:kern w:val="0"/>
                <w:shd w:val="clear" w:color="auto" w:fill="FFFFFF"/>
              </w:rPr>
              <w:t>支     出</w:t>
            </w:r>
          </w:p>
        </w:tc>
      </w:tr>
      <w:tr>
        <w:tblPrEx>
          <w:tblCellMar>
            <w:top w:w="0" w:type="dxa"/>
            <w:left w:w="108" w:type="dxa"/>
            <w:bottom w:w="0" w:type="dxa"/>
            <w:right w:w="108" w:type="dxa"/>
          </w:tblCellMar>
        </w:tblPrEx>
        <w:trPr>
          <w:trHeight w:val="312" w:hRule="exact"/>
          <w:jc w:val="center"/>
        </w:trPr>
        <w:tc>
          <w:tcPr>
            <w:tcW w:w="324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hd w:val="clear" w:color="auto" w:fill="FFFFFF"/>
              <w:jc w:val="center"/>
              <w:rPr>
                <w:rFonts w:hint="default" w:ascii="宋体"/>
                <w:color w:val="000000"/>
                <w:kern w:val="0"/>
                <w:shd w:val="clear" w:color="auto" w:fill="FFFFFF"/>
              </w:rPr>
            </w:pPr>
            <w:r>
              <w:rPr>
                <w:rFonts w:ascii="宋体" w:hAnsi="宋体"/>
                <w:color w:val="000000"/>
                <w:kern w:val="0"/>
                <w:shd w:val="clear" w:color="auto" w:fill="FFFFFF"/>
              </w:rPr>
              <w:t>项    目</w:t>
            </w:r>
          </w:p>
        </w:tc>
        <w:tc>
          <w:tcPr>
            <w:tcW w:w="1607" w:type="dxa"/>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color w:val="000000"/>
                <w:kern w:val="0"/>
                <w:shd w:val="clear" w:color="auto" w:fill="FFFFFF"/>
              </w:rPr>
            </w:pPr>
            <w:r>
              <w:rPr>
                <w:rFonts w:ascii="宋体" w:hAnsi="宋体"/>
                <w:color w:val="000000"/>
                <w:kern w:val="0"/>
                <w:shd w:val="clear" w:color="auto" w:fill="FFFFFF"/>
              </w:rPr>
              <w:t>行次</w:t>
            </w:r>
          </w:p>
        </w:tc>
        <w:tc>
          <w:tcPr>
            <w:tcW w:w="2712" w:type="dxa"/>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color w:val="000000"/>
                <w:kern w:val="0"/>
                <w:shd w:val="clear" w:color="auto" w:fill="FFFFFF"/>
              </w:rPr>
            </w:pPr>
            <w:r>
              <w:rPr>
                <w:rFonts w:ascii="宋体" w:hAnsi="宋体"/>
                <w:color w:val="000000"/>
                <w:kern w:val="0"/>
                <w:shd w:val="clear" w:color="auto" w:fill="FFFFFF"/>
              </w:rPr>
              <w:t>决算数</w:t>
            </w:r>
          </w:p>
        </w:tc>
        <w:tc>
          <w:tcPr>
            <w:tcW w:w="2662" w:type="dxa"/>
            <w:gridSpan w:val="2"/>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color w:val="000000"/>
                <w:kern w:val="0"/>
                <w:shd w:val="clear" w:color="auto" w:fill="FFFFFF"/>
              </w:rPr>
            </w:pPr>
            <w:r>
              <w:rPr>
                <w:rFonts w:ascii="宋体" w:hAnsi="宋体"/>
                <w:color w:val="000000"/>
                <w:kern w:val="0"/>
                <w:shd w:val="clear" w:color="auto" w:fill="FFFFFF"/>
              </w:rPr>
              <w:t>项    目</w:t>
            </w:r>
          </w:p>
        </w:tc>
        <w:tc>
          <w:tcPr>
            <w:tcW w:w="1607"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default" w:ascii="宋体"/>
                <w:color w:val="000000"/>
                <w:kern w:val="0"/>
              </w:rPr>
            </w:pPr>
            <w:r>
              <w:rPr>
                <w:rFonts w:ascii="宋体" w:hAnsi="宋体"/>
                <w:color w:val="000000"/>
                <w:kern w:val="0"/>
              </w:rPr>
              <w:t>行次</w:t>
            </w:r>
          </w:p>
        </w:tc>
        <w:tc>
          <w:tcPr>
            <w:tcW w:w="2730" w:type="dxa"/>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color w:val="000000"/>
                <w:kern w:val="0"/>
                <w:shd w:val="clear" w:color="auto" w:fill="FFFFFF"/>
              </w:rPr>
            </w:pPr>
            <w:r>
              <w:rPr>
                <w:rFonts w:ascii="宋体" w:hAnsi="宋体"/>
                <w:color w:val="000000"/>
                <w:kern w:val="0"/>
                <w:shd w:val="clear" w:color="auto" w:fill="FFFFFF"/>
              </w:rPr>
              <w:t>决算数</w:t>
            </w:r>
          </w:p>
        </w:tc>
      </w:tr>
      <w:tr>
        <w:tblPrEx>
          <w:tblCellMar>
            <w:top w:w="0" w:type="dxa"/>
            <w:left w:w="108" w:type="dxa"/>
            <w:bottom w:w="0" w:type="dxa"/>
            <w:right w:w="108" w:type="dxa"/>
          </w:tblCellMar>
        </w:tblPrEx>
        <w:trPr>
          <w:trHeight w:val="312" w:hRule="exact"/>
          <w:jc w:val="center"/>
        </w:trPr>
        <w:tc>
          <w:tcPr>
            <w:tcW w:w="324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hd w:val="clear" w:color="auto" w:fill="FFFFFF"/>
              <w:jc w:val="center"/>
              <w:rPr>
                <w:rFonts w:hint="default" w:ascii="宋体"/>
                <w:color w:val="000000"/>
                <w:kern w:val="0"/>
                <w:shd w:val="clear" w:color="auto" w:fill="FFFFFF"/>
              </w:rPr>
            </w:pPr>
            <w:r>
              <w:rPr>
                <w:rFonts w:ascii="宋体" w:hAnsi="宋体"/>
                <w:color w:val="000000"/>
                <w:kern w:val="0"/>
                <w:shd w:val="clear" w:color="auto" w:fill="FFFFFF"/>
              </w:rPr>
              <w:t>栏    次</w:t>
            </w:r>
          </w:p>
        </w:tc>
        <w:tc>
          <w:tcPr>
            <w:tcW w:w="1607" w:type="dxa"/>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color w:val="000000"/>
                <w:kern w:val="0"/>
                <w:shd w:val="clear" w:color="auto" w:fill="FFFFFF"/>
              </w:rPr>
            </w:pPr>
          </w:p>
        </w:tc>
        <w:tc>
          <w:tcPr>
            <w:tcW w:w="2712" w:type="dxa"/>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color w:val="000000"/>
                <w:kern w:val="0"/>
                <w:shd w:val="clear" w:color="auto" w:fill="FFFFFF"/>
              </w:rPr>
            </w:pPr>
            <w:r>
              <w:rPr>
                <w:rFonts w:ascii="宋体" w:hAnsi="宋体"/>
                <w:color w:val="000000"/>
                <w:kern w:val="0"/>
                <w:shd w:val="clear" w:color="auto" w:fill="FFFFFF"/>
              </w:rPr>
              <w:t>1</w:t>
            </w:r>
          </w:p>
        </w:tc>
        <w:tc>
          <w:tcPr>
            <w:tcW w:w="2662" w:type="dxa"/>
            <w:gridSpan w:val="2"/>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color w:val="000000"/>
                <w:kern w:val="0"/>
                <w:shd w:val="clear" w:color="auto" w:fill="FFFFFF"/>
              </w:rPr>
            </w:pPr>
            <w:r>
              <w:rPr>
                <w:rFonts w:ascii="宋体" w:hAnsi="宋体"/>
                <w:color w:val="000000"/>
                <w:kern w:val="0"/>
                <w:shd w:val="clear" w:color="auto" w:fill="FFFFFF"/>
              </w:rPr>
              <w:t>栏    次</w:t>
            </w:r>
          </w:p>
        </w:tc>
        <w:tc>
          <w:tcPr>
            <w:tcW w:w="1607" w:type="dxa"/>
            <w:tcBorders>
              <w:top w:val="single" w:color="000000" w:sz="4" w:space="0"/>
              <w:left w:val="nil"/>
              <w:bottom w:val="single" w:color="000000" w:sz="4" w:space="0"/>
              <w:right w:val="single" w:color="000000" w:sz="4" w:space="0"/>
            </w:tcBorders>
            <w:vAlign w:val="center"/>
          </w:tcPr>
          <w:p>
            <w:pPr>
              <w:widowControl/>
              <w:jc w:val="center"/>
              <w:rPr>
                <w:rFonts w:hint="default" w:ascii="宋体"/>
                <w:color w:val="000000"/>
                <w:kern w:val="0"/>
              </w:rPr>
            </w:pPr>
          </w:p>
        </w:tc>
        <w:tc>
          <w:tcPr>
            <w:tcW w:w="2730" w:type="dxa"/>
            <w:tcBorders>
              <w:top w:val="single" w:color="000000" w:sz="4" w:space="0"/>
              <w:left w:val="nil"/>
              <w:bottom w:val="single" w:color="000000" w:sz="4" w:space="0"/>
              <w:right w:val="single" w:color="000000" w:sz="4" w:space="0"/>
            </w:tcBorders>
            <w:vAlign w:val="center"/>
          </w:tcPr>
          <w:p>
            <w:pPr>
              <w:widowControl/>
              <w:jc w:val="center"/>
              <w:rPr>
                <w:rFonts w:hint="default" w:ascii="宋体"/>
                <w:color w:val="000000"/>
                <w:kern w:val="0"/>
              </w:rPr>
            </w:pPr>
            <w:r>
              <w:rPr>
                <w:rFonts w:ascii="宋体" w:hAnsi="宋体"/>
                <w:color w:val="000000"/>
                <w:kern w:val="0"/>
              </w:rPr>
              <w:t>2</w:t>
            </w:r>
          </w:p>
        </w:tc>
      </w:tr>
      <w:tr>
        <w:tblPrEx>
          <w:tblCellMar>
            <w:top w:w="0" w:type="dxa"/>
            <w:left w:w="108" w:type="dxa"/>
            <w:bottom w:w="0" w:type="dxa"/>
            <w:right w:w="108" w:type="dxa"/>
          </w:tblCellMar>
        </w:tblPrEx>
        <w:trPr>
          <w:trHeight w:val="312" w:hRule="exact"/>
          <w:jc w:val="center"/>
        </w:trPr>
        <w:tc>
          <w:tcPr>
            <w:tcW w:w="3242"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rPr>
                <w:rFonts w:hint="default" w:ascii="宋体"/>
                <w:color w:val="000000"/>
                <w:kern w:val="0"/>
              </w:rPr>
            </w:pPr>
            <w:r>
              <w:rPr>
                <w:rFonts w:ascii="宋体" w:hAnsi="宋体"/>
                <w:color w:val="000000"/>
                <w:kern w:val="0"/>
              </w:rPr>
              <w:t>一、一般公共预算财政拨款收入</w:t>
            </w:r>
          </w:p>
        </w:tc>
        <w:tc>
          <w:tcPr>
            <w:tcW w:w="1607" w:type="dxa"/>
            <w:tcBorders>
              <w:top w:val="single" w:color="000000" w:sz="4" w:space="0"/>
              <w:left w:val="nil"/>
              <w:bottom w:val="single" w:color="000000" w:sz="4" w:space="0"/>
              <w:right w:val="single" w:color="000000" w:sz="4" w:space="0"/>
            </w:tcBorders>
            <w:vAlign w:val="center"/>
          </w:tcPr>
          <w:p>
            <w:pPr>
              <w:widowControl/>
              <w:jc w:val="center"/>
              <w:rPr>
                <w:rFonts w:hint="default" w:ascii="宋体"/>
                <w:color w:val="000000"/>
                <w:kern w:val="0"/>
              </w:rPr>
            </w:pPr>
            <w:r>
              <w:rPr>
                <w:rFonts w:ascii="宋体" w:hAnsi="宋体"/>
                <w:color w:val="000000"/>
                <w:kern w:val="0"/>
              </w:rPr>
              <w:t>1</w:t>
            </w:r>
          </w:p>
        </w:tc>
        <w:tc>
          <w:tcPr>
            <w:tcW w:w="2712"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rPr>
            </w:pPr>
            <w:r>
              <w:rPr>
                <w:rFonts w:hint="default" w:ascii="宋体"/>
                <w:color w:val="000000"/>
                <w:kern w:val="0"/>
              </w:rPr>
              <w:t>59223.93</w:t>
            </w:r>
          </w:p>
        </w:tc>
        <w:tc>
          <w:tcPr>
            <w:tcW w:w="2662" w:type="dxa"/>
            <w:gridSpan w:val="2"/>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r>
              <w:rPr>
                <w:rFonts w:ascii="宋体" w:hAnsi="宋体"/>
                <w:color w:val="000000"/>
                <w:kern w:val="0"/>
              </w:rPr>
              <w:t>一、一般公共服务支出</w:t>
            </w:r>
          </w:p>
        </w:tc>
        <w:tc>
          <w:tcPr>
            <w:tcW w:w="1607" w:type="dxa"/>
            <w:tcBorders>
              <w:top w:val="single" w:color="000000" w:sz="4" w:space="0"/>
              <w:left w:val="nil"/>
              <w:bottom w:val="single" w:color="000000" w:sz="4" w:space="0"/>
              <w:right w:val="single" w:color="000000" w:sz="4" w:space="0"/>
            </w:tcBorders>
            <w:vAlign w:val="center"/>
          </w:tcPr>
          <w:p>
            <w:pPr>
              <w:widowControl/>
              <w:jc w:val="center"/>
              <w:rPr>
                <w:rFonts w:hint="eastAsia" w:ascii="宋体" w:eastAsia="宋体"/>
                <w:color w:val="000000"/>
                <w:kern w:val="0"/>
                <w:lang w:eastAsia="zh-CN"/>
              </w:rPr>
            </w:pPr>
            <w:r>
              <w:rPr>
                <w:rFonts w:ascii="宋体" w:hAnsi="宋体"/>
                <w:color w:val="000000"/>
                <w:kern w:val="0"/>
              </w:rPr>
              <w:t>1</w:t>
            </w:r>
            <w:r>
              <w:rPr>
                <w:rFonts w:hint="eastAsia" w:ascii="宋体" w:hAnsi="宋体"/>
                <w:color w:val="000000"/>
                <w:kern w:val="0"/>
                <w:lang w:val="en-US" w:eastAsia="zh-CN"/>
              </w:rPr>
              <w:t>6</w:t>
            </w:r>
          </w:p>
        </w:tc>
        <w:tc>
          <w:tcPr>
            <w:tcW w:w="2730" w:type="dxa"/>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p>
        </w:tc>
      </w:tr>
      <w:tr>
        <w:tblPrEx>
          <w:tblCellMar>
            <w:top w:w="0" w:type="dxa"/>
            <w:left w:w="108" w:type="dxa"/>
            <w:bottom w:w="0" w:type="dxa"/>
            <w:right w:w="108" w:type="dxa"/>
          </w:tblCellMar>
        </w:tblPrEx>
        <w:trPr>
          <w:trHeight w:val="312" w:hRule="exact"/>
          <w:jc w:val="center"/>
        </w:trPr>
        <w:tc>
          <w:tcPr>
            <w:tcW w:w="3242"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rPr>
                <w:rFonts w:hint="default" w:ascii="宋体"/>
                <w:color w:val="000000"/>
                <w:kern w:val="0"/>
              </w:rPr>
            </w:pPr>
            <w:r>
              <w:rPr>
                <w:rFonts w:ascii="宋体" w:hAnsi="宋体"/>
                <w:color w:val="000000"/>
                <w:kern w:val="0"/>
              </w:rPr>
              <w:t>二、政府性基金预算财政拨款收入</w:t>
            </w:r>
          </w:p>
        </w:tc>
        <w:tc>
          <w:tcPr>
            <w:tcW w:w="1607" w:type="dxa"/>
            <w:tcBorders>
              <w:top w:val="single" w:color="000000" w:sz="4" w:space="0"/>
              <w:left w:val="nil"/>
              <w:bottom w:val="single" w:color="000000" w:sz="4" w:space="0"/>
              <w:right w:val="single" w:color="000000" w:sz="4" w:space="0"/>
            </w:tcBorders>
            <w:vAlign w:val="center"/>
          </w:tcPr>
          <w:p>
            <w:pPr>
              <w:widowControl/>
              <w:jc w:val="center"/>
              <w:rPr>
                <w:rFonts w:hint="default" w:ascii="宋体"/>
                <w:color w:val="000000"/>
                <w:kern w:val="0"/>
              </w:rPr>
            </w:pPr>
            <w:r>
              <w:rPr>
                <w:rFonts w:ascii="宋体" w:hAnsi="宋体"/>
                <w:color w:val="000000"/>
                <w:kern w:val="0"/>
              </w:rPr>
              <w:t>2</w:t>
            </w:r>
          </w:p>
        </w:tc>
        <w:tc>
          <w:tcPr>
            <w:tcW w:w="2712"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rPr>
            </w:pPr>
          </w:p>
        </w:tc>
        <w:tc>
          <w:tcPr>
            <w:tcW w:w="2662" w:type="dxa"/>
            <w:gridSpan w:val="2"/>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r>
              <w:rPr>
                <w:rFonts w:ascii="宋体" w:hAnsi="宋体"/>
                <w:color w:val="000000"/>
                <w:kern w:val="0"/>
              </w:rPr>
              <w:t>二、外交支出</w:t>
            </w:r>
          </w:p>
        </w:tc>
        <w:tc>
          <w:tcPr>
            <w:tcW w:w="1607" w:type="dxa"/>
            <w:tcBorders>
              <w:top w:val="single" w:color="000000" w:sz="4" w:space="0"/>
              <w:left w:val="nil"/>
              <w:bottom w:val="single" w:color="000000" w:sz="4" w:space="0"/>
              <w:right w:val="single" w:color="000000" w:sz="4" w:space="0"/>
            </w:tcBorders>
            <w:vAlign w:val="center"/>
          </w:tcPr>
          <w:p>
            <w:pPr>
              <w:widowControl/>
              <w:jc w:val="center"/>
              <w:rPr>
                <w:rFonts w:hint="eastAsia" w:ascii="宋体" w:eastAsia="宋体"/>
                <w:color w:val="000000"/>
                <w:kern w:val="0"/>
                <w:lang w:eastAsia="zh-CN"/>
              </w:rPr>
            </w:pPr>
            <w:r>
              <w:rPr>
                <w:rFonts w:ascii="宋体" w:hAnsi="宋体"/>
                <w:color w:val="000000"/>
                <w:kern w:val="0"/>
              </w:rPr>
              <w:t>1</w:t>
            </w:r>
            <w:r>
              <w:rPr>
                <w:rFonts w:hint="eastAsia" w:ascii="宋体" w:hAnsi="宋体"/>
                <w:color w:val="000000"/>
                <w:kern w:val="0"/>
                <w:lang w:val="en-US" w:eastAsia="zh-CN"/>
              </w:rPr>
              <w:t>7</w:t>
            </w:r>
          </w:p>
        </w:tc>
        <w:tc>
          <w:tcPr>
            <w:tcW w:w="2730" w:type="dxa"/>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p>
        </w:tc>
      </w:tr>
      <w:tr>
        <w:tblPrEx>
          <w:tblCellMar>
            <w:top w:w="0" w:type="dxa"/>
            <w:left w:w="108" w:type="dxa"/>
            <w:bottom w:w="0" w:type="dxa"/>
            <w:right w:w="108" w:type="dxa"/>
          </w:tblCellMar>
        </w:tblPrEx>
        <w:trPr>
          <w:trHeight w:val="312" w:hRule="exact"/>
          <w:jc w:val="center"/>
        </w:trPr>
        <w:tc>
          <w:tcPr>
            <w:tcW w:w="3242"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rPr>
                <w:rFonts w:hint="default" w:ascii="宋体"/>
                <w:color w:val="000000"/>
                <w:kern w:val="0"/>
              </w:rPr>
            </w:pPr>
            <w:r>
              <w:rPr>
                <w:rFonts w:ascii="宋体"/>
                <w:color w:val="000000"/>
                <w:kern w:val="0"/>
              </w:rPr>
              <w:t>三、国有资本经营预算财政拨款收入</w:t>
            </w:r>
          </w:p>
        </w:tc>
        <w:tc>
          <w:tcPr>
            <w:tcW w:w="1607" w:type="dxa"/>
            <w:tcBorders>
              <w:top w:val="single" w:color="000000" w:sz="4" w:space="0"/>
              <w:left w:val="nil"/>
              <w:bottom w:val="single" w:color="000000" w:sz="4" w:space="0"/>
              <w:right w:val="single" w:color="000000" w:sz="4" w:space="0"/>
            </w:tcBorders>
            <w:vAlign w:val="center"/>
          </w:tcPr>
          <w:p>
            <w:pPr>
              <w:widowControl/>
              <w:jc w:val="center"/>
              <w:rPr>
                <w:rFonts w:hint="default" w:ascii="宋体"/>
                <w:color w:val="000000"/>
                <w:kern w:val="0"/>
              </w:rPr>
            </w:pPr>
            <w:r>
              <w:rPr>
                <w:rFonts w:ascii="宋体" w:hAnsi="宋体"/>
                <w:color w:val="000000"/>
                <w:kern w:val="0"/>
              </w:rPr>
              <w:t>3</w:t>
            </w:r>
          </w:p>
        </w:tc>
        <w:tc>
          <w:tcPr>
            <w:tcW w:w="2712"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rPr>
            </w:pPr>
          </w:p>
        </w:tc>
        <w:tc>
          <w:tcPr>
            <w:tcW w:w="2662" w:type="dxa"/>
            <w:gridSpan w:val="2"/>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r>
              <w:rPr>
                <w:rFonts w:ascii="宋体" w:hAnsi="宋体"/>
                <w:color w:val="000000"/>
                <w:kern w:val="0"/>
              </w:rPr>
              <w:t>三、国防支出</w:t>
            </w:r>
          </w:p>
        </w:tc>
        <w:tc>
          <w:tcPr>
            <w:tcW w:w="1607" w:type="dxa"/>
            <w:tcBorders>
              <w:top w:val="single" w:color="000000" w:sz="4" w:space="0"/>
              <w:left w:val="nil"/>
              <w:bottom w:val="single" w:color="000000" w:sz="4" w:space="0"/>
              <w:right w:val="single" w:color="000000" w:sz="4" w:space="0"/>
            </w:tcBorders>
            <w:vAlign w:val="center"/>
          </w:tcPr>
          <w:p>
            <w:pPr>
              <w:widowControl/>
              <w:jc w:val="center"/>
              <w:rPr>
                <w:rFonts w:hint="eastAsia" w:ascii="宋体" w:eastAsia="宋体"/>
                <w:color w:val="000000"/>
                <w:kern w:val="0"/>
                <w:lang w:eastAsia="zh-CN"/>
              </w:rPr>
            </w:pPr>
            <w:r>
              <w:rPr>
                <w:rFonts w:ascii="宋体" w:hAnsi="宋体"/>
                <w:color w:val="000000"/>
                <w:kern w:val="0"/>
              </w:rPr>
              <w:t>1</w:t>
            </w:r>
            <w:r>
              <w:rPr>
                <w:rFonts w:hint="eastAsia" w:ascii="宋体" w:hAnsi="宋体"/>
                <w:color w:val="000000"/>
                <w:kern w:val="0"/>
                <w:lang w:val="en-US" w:eastAsia="zh-CN"/>
              </w:rPr>
              <w:t>8</w:t>
            </w:r>
          </w:p>
        </w:tc>
        <w:tc>
          <w:tcPr>
            <w:tcW w:w="2730" w:type="dxa"/>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p>
        </w:tc>
      </w:tr>
      <w:tr>
        <w:tblPrEx>
          <w:tblCellMar>
            <w:top w:w="0" w:type="dxa"/>
            <w:left w:w="108" w:type="dxa"/>
            <w:bottom w:w="0" w:type="dxa"/>
            <w:right w:w="108" w:type="dxa"/>
          </w:tblCellMar>
        </w:tblPrEx>
        <w:trPr>
          <w:trHeight w:val="312" w:hRule="exact"/>
          <w:jc w:val="center"/>
        </w:trPr>
        <w:tc>
          <w:tcPr>
            <w:tcW w:w="3242"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rPr>
                <w:rFonts w:hint="default" w:ascii="宋体"/>
                <w:color w:val="000000"/>
                <w:kern w:val="0"/>
              </w:rPr>
            </w:pPr>
            <w:r>
              <w:rPr>
                <w:rFonts w:ascii="宋体" w:hAnsi="宋体"/>
                <w:color w:val="000000"/>
                <w:kern w:val="0"/>
              </w:rPr>
              <w:t>四、上级补助收入</w:t>
            </w:r>
          </w:p>
        </w:tc>
        <w:tc>
          <w:tcPr>
            <w:tcW w:w="1607" w:type="dxa"/>
            <w:tcBorders>
              <w:top w:val="single" w:color="000000" w:sz="4" w:space="0"/>
              <w:left w:val="nil"/>
              <w:bottom w:val="single" w:color="000000" w:sz="4" w:space="0"/>
              <w:right w:val="single" w:color="000000" w:sz="4" w:space="0"/>
            </w:tcBorders>
            <w:vAlign w:val="center"/>
          </w:tcPr>
          <w:p>
            <w:pPr>
              <w:widowControl/>
              <w:jc w:val="center"/>
              <w:rPr>
                <w:rFonts w:hint="default" w:ascii="宋体"/>
                <w:color w:val="000000"/>
                <w:kern w:val="0"/>
              </w:rPr>
            </w:pPr>
            <w:r>
              <w:rPr>
                <w:rFonts w:ascii="宋体" w:hAnsi="宋体"/>
                <w:color w:val="000000"/>
                <w:kern w:val="0"/>
              </w:rPr>
              <w:t>4</w:t>
            </w:r>
          </w:p>
        </w:tc>
        <w:tc>
          <w:tcPr>
            <w:tcW w:w="2712"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rPr>
            </w:pPr>
          </w:p>
        </w:tc>
        <w:tc>
          <w:tcPr>
            <w:tcW w:w="2662" w:type="dxa"/>
            <w:gridSpan w:val="2"/>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r>
              <w:rPr>
                <w:rFonts w:ascii="宋体" w:hAnsi="宋体"/>
                <w:color w:val="000000"/>
                <w:kern w:val="0"/>
              </w:rPr>
              <w:t>四、公共安全支出</w:t>
            </w:r>
          </w:p>
        </w:tc>
        <w:tc>
          <w:tcPr>
            <w:tcW w:w="1607" w:type="dxa"/>
            <w:tcBorders>
              <w:top w:val="single" w:color="000000" w:sz="4" w:space="0"/>
              <w:left w:val="nil"/>
              <w:bottom w:val="single" w:color="000000" w:sz="4" w:space="0"/>
              <w:right w:val="single" w:color="000000" w:sz="4" w:space="0"/>
            </w:tcBorders>
            <w:vAlign w:val="center"/>
          </w:tcPr>
          <w:p>
            <w:pPr>
              <w:widowControl/>
              <w:jc w:val="center"/>
              <w:rPr>
                <w:rFonts w:hint="eastAsia" w:ascii="宋体" w:eastAsia="宋体"/>
                <w:color w:val="000000"/>
                <w:kern w:val="0"/>
                <w:lang w:eastAsia="zh-CN"/>
              </w:rPr>
            </w:pPr>
            <w:r>
              <w:rPr>
                <w:rFonts w:ascii="宋体" w:hAnsi="宋体"/>
                <w:color w:val="000000"/>
                <w:kern w:val="0"/>
              </w:rPr>
              <w:t>1</w:t>
            </w:r>
            <w:r>
              <w:rPr>
                <w:rFonts w:hint="eastAsia" w:ascii="宋体" w:hAnsi="宋体"/>
                <w:color w:val="000000"/>
                <w:kern w:val="0"/>
                <w:lang w:val="en-US" w:eastAsia="zh-CN"/>
              </w:rPr>
              <w:t>9</w:t>
            </w:r>
          </w:p>
        </w:tc>
        <w:tc>
          <w:tcPr>
            <w:tcW w:w="2730" w:type="dxa"/>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p>
        </w:tc>
      </w:tr>
      <w:tr>
        <w:tblPrEx>
          <w:tblCellMar>
            <w:top w:w="0" w:type="dxa"/>
            <w:left w:w="108" w:type="dxa"/>
            <w:bottom w:w="0" w:type="dxa"/>
            <w:right w:w="108" w:type="dxa"/>
          </w:tblCellMar>
        </w:tblPrEx>
        <w:trPr>
          <w:trHeight w:val="312" w:hRule="exact"/>
          <w:jc w:val="center"/>
        </w:trPr>
        <w:tc>
          <w:tcPr>
            <w:tcW w:w="3242"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rPr>
                <w:rFonts w:hint="default" w:ascii="宋体"/>
                <w:color w:val="000000"/>
                <w:kern w:val="0"/>
              </w:rPr>
            </w:pPr>
            <w:r>
              <w:rPr>
                <w:rFonts w:ascii="宋体" w:hAnsi="宋体"/>
                <w:color w:val="000000"/>
                <w:kern w:val="0"/>
              </w:rPr>
              <w:t>五、事业收入</w:t>
            </w:r>
          </w:p>
        </w:tc>
        <w:tc>
          <w:tcPr>
            <w:tcW w:w="1607" w:type="dxa"/>
            <w:tcBorders>
              <w:top w:val="single" w:color="000000" w:sz="4" w:space="0"/>
              <w:left w:val="nil"/>
              <w:bottom w:val="single" w:color="000000" w:sz="4" w:space="0"/>
              <w:right w:val="single" w:color="000000" w:sz="4" w:space="0"/>
            </w:tcBorders>
            <w:vAlign w:val="center"/>
          </w:tcPr>
          <w:p>
            <w:pPr>
              <w:widowControl/>
              <w:jc w:val="center"/>
              <w:rPr>
                <w:rFonts w:hint="default" w:ascii="宋体"/>
                <w:color w:val="000000"/>
                <w:kern w:val="0"/>
              </w:rPr>
            </w:pPr>
            <w:r>
              <w:rPr>
                <w:rFonts w:ascii="宋体" w:hAnsi="宋体"/>
                <w:color w:val="000000"/>
                <w:kern w:val="0"/>
              </w:rPr>
              <w:t>5</w:t>
            </w:r>
          </w:p>
        </w:tc>
        <w:tc>
          <w:tcPr>
            <w:tcW w:w="2712"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rPr>
            </w:pPr>
          </w:p>
        </w:tc>
        <w:tc>
          <w:tcPr>
            <w:tcW w:w="2662" w:type="dxa"/>
            <w:gridSpan w:val="2"/>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r>
              <w:rPr>
                <w:rFonts w:ascii="宋体" w:hAnsi="宋体"/>
                <w:color w:val="000000"/>
                <w:kern w:val="0"/>
              </w:rPr>
              <w:t>五、教育支出</w:t>
            </w:r>
          </w:p>
        </w:tc>
        <w:tc>
          <w:tcPr>
            <w:tcW w:w="1607" w:type="dxa"/>
            <w:tcBorders>
              <w:top w:val="single" w:color="000000" w:sz="4" w:space="0"/>
              <w:left w:val="nil"/>
              <w:bottom w:val="single" w:color="000000" w:sz="4" w:space="0"/>
              <w:right w:val="single" w:color="000000" w:sz="4" w:space="0"/>
            </w:tcBorders>
            <w:vAlign w:val="center"/>
          </w:tcPr>
          <w:p>
            <w:pPr>
              <w:widowControl/>
              <w:jc w:val="center"/>
              <w:rPr>
                <w:rFonts w:hint="default" w:ascii="宋体" w:eastAsia="宋体"/>
                <w:color w:val="000000"/>
                <w:kern w:val="0"/>
                <w:lang w:val="en-US" w:eastAsia="zh-CN"/>
              </w:rPr>
            </w:pPr>
            <w:r>
              <w:rPr>
                <w:rFonts w:hint="eastAsia" w:ascii="宋体" w:hAnsi="宋体"/>
                <w:color w:val="000000"/>
                <w:kern w:val="0"/>
                <w:lang w:val="en-US" w:eastAsia="zh-CN"/>
              </w:rPr>
              <w:t>20</w:t>
            </w:r>
          </w:p>
        </w:tc>
        <w:tc>
          <w:tcPr>
            <w:tcW w:w="2730" w:type="dxa"/>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r>
              <w:rPr>
                <w:rFonts w:hint="default" w:ascii="宋体"/>
                <w:color w:val="000000"/>
                <w:kern w:val="0"/>
              </w:rPr>
              <w:t>7469.77</w:t>
            </w:r>
          </w:p>
        </w:tc>
      </w:tr>
      <w:tr>
        <w:tblPrEx>
          <w:tblCellMar>
            <w:top w:w="0" w:type="dxa"/>
            <w:left w:w="108" w:type="dxa"/>
            <w:bottom w:w="0" w:type="dxa"/>
            <w:right w:w="108" w:type="dxa"/>
          </w:tblCellMar>
        </w:tblPrEx>
        <w:trPr>
          <w:trHeight w:val="312" w:hRule="exact"/>
          <w:jc w:val="center"/>
        </w:trPr>
        <w:tc>
          <w:tcPr>
            <w:tcW w:w="3242"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rPr>
                <w:rFonts w:hint="default" w:ascii="宋体"/>
                <w:color w:val="000000"/>
                <w:kern w:val="0"/>
              </w:rPr>
            </w:pPr>
            <w:r>
              <w:rPr>
                <w:rFonts w:ascii="宋体" w:hAnsi="宋体"/>
                <w:color w:val="000000"/>
                <w:kern w:val="0"/>
              </w:rPr>
              <w:t>六、经营收入</w:t>
            </w:r>
          </w:p>
        </w:tc>
        <w:tc>
          <w:tcPr>
            <w:tcW w:w="1607" w:type="dxa"/>
            <w:tcBorders>
              <w:top w:val="single" w:color="000000" w:sz="4" w:space="0"/>
              <w:left w:val="nil"/>
              <w:bottom w:val="single" w:color="000000" w:sz="4" w:space="0"/>
              <w:right w:val="single" w:color="000000" w:sz="4" w:space="0"/>
            </w:tcBorders>
            <w:vAlign w:val="center"/>
          </w:tcPr>
          <w:p>
            <w:pPr>
              <w:widowControl/>
              <w:jc w:val="center"/>
              <w:rPr>
                <w:rFonts w:hint="default" w:ascii="宋体"/>
                <w:color w:val="000000"/>
                <w:kern w:val="0"/>
              </w:rPr>
            </w:pPr>
            <w:r>
              <w:rPr>
                <w:rFonts w:ascii="宋体" w:hAnsi="宋体"/>
                <w:color w:val="000000"/>
                <w:kern w:val="0"/>
              </w:rPr>
              <w:t>6</w:t>
            </w:r>
          </w:p>
        </w:tc>
        <w:tc>
          <w:tcPr>
            <w:tcW w:w="2712"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rPr>
            </w:pPr>
          </w:p>
        </w:tc>
        <w:tc>
          <w:tcPr>
            <w:tcW w:w="2662" w:type="dxa"/>
            <w:gridSpan w:val="2"/>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r>
              <w:rPr>
                <w:rFonts w:ascii="宋体" w:hAnsi="宋体"/>
                <w:color w:val="000000"/>
                <w:kern w:val="0"/>
              </w:rPr>
              <w:t>六、科学技术支出</w:t>
            </w:r>
          </w:p>
        </w:tc>
        <w:tc>
          <w:tcPr>
            <w:tcW w:w="1607" w:type="dxa"/>
            <w:tcBorders>
              <w:top w:val="single" w:color="000000" w:sz="4" w:space="0"/>
              <w:left w:val="nil"/>
              <w:bottom w:val="single" w:color="000000" w:sz="4" w:space="0"/>
              <w:right w:val="single" w:color="000000" w:sz="4" w:space="0"/>
            </w:tcBorders>
            <w:vAlign w:val="center"/>
          </w:tcPr>
          <w:p>
            <w:pPr>
              <w:widowControl/>
              <w:jc w:val="center"/>
              <w:rPr>
                <w:rFonts w:hint="default" w:ascii="宋体" w:eastAsia="宋体"/>
                <w:color w:val="000000"/>
                <w:kern w:val="0"/>
                <w:lang w:val="en-US" w:eastAsia="zh-CN"/>
              </w:rPr>
            </w:pPr>
            <w:r>
              <w:rPr>
                <w:rFonts w:hint="eastAsia" w:ascii="宋体"/>
                <w:color w:val="000000"/>
                <w:kern w:val="0"/>
                <w:lang w:val="en-US" w:eastAsia="zh-CN"/>
              </w:rPr>
              <w:t>21</w:t>
            </w:r>
          </w:p>
        </w:tc>
        <w:tc>
          <w:tcPr>
            <w:tcW w:w="2730" w:type="dxa"/>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p>
        </w:tc>
      </w:tr>
      <w:tr>
        <w:tblPrEx>
          <w:tblCellMar>
            <w:top w:w="0" w:type="dxa"/>
            <w:left w:w="108" w:type="dxa"/>
            <w:bottom w:w="0" w:type="dxa"/>
            <w:right w:w="108" w:type="dxa"/>
          </w:tblCellMar>
        </w:tblPrEx>
        <w:trPr>
          <w:trHeight w:val="312" w:hRule="exact"/>
          <w:jc w:val="center"/>
        </w:trPr>
        <w:tc>
          <w:tcPr>
            <w:tcW w:w="3242"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rPr>
                <w:rFonts w:hint="default" w:ascii="宋体"/>
                <w:color w:val="000000"/>
                <w:kern w:val="0"/>
              </w:rPr>
            </w:pPr>
            <w:r>
              <w:rPr>
                <w:rFonts w:ascii="宋体" w:hAnsi="宋体"/>
                <w:color w:val="000000"/>
                <w:kern w:val="0"/>
              </w:rPr>
              <w:t>七、附属单位上缴收入</w:t>
            </w:r>
          </w:p>
        </w:tc>
        <w:tc>
          <w:tcPr>
            <w:tcW w:w="1607" w:type="dxa"/>
            <w:tcBorders>
              <w:top w:val="single" w:color="000000" w:sz="4" w:space="0"/>
              <w:left w:val="nil"/>
              <w:bottom w:val="single" w:color="000000" w:sz="4" w:space="0"/>
              <w:right w:val="single" w:color="000000" w:sz="4" w:space="0"/>
            </w:tcBorders>
            <w:vAlign w:val="center"/>
          </w:tcPr>
          <w:p>
            <w:pPr>
              <w:widowControl/>
              <w:jc w:val="center"/>
              <w:rPr>
                <w:rFonts w:hint="default" w:ascii="宋体"/>
                <w:color w:val="000000"/>
                <w:kern w:val="0"/>
              </w:rPr>
            </w:pPr>
            <w:r>
              <w:rPr>
                <w:rFonts w:ascii="宋体" w:hAnsi="宋体"/>
                <w:color w:val="000000"/>
                <w:kern w:val="0"/>
              </w:rPr>
              <w:t>7</w:t>
            </w:r>
          </w:p>
        </w:tc>
        <w:tc>
          <w:tcPr>
            <w:tcW w:w="2712"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rPr>
            </w:pPr>
          </w:p>
        </w:tc>
        <w:tc>
          <w:tcPr>
            <w:tcW w:w="2662" w:type="dxa"/>
            <w:gridSpan w:val="2"/>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r>
              <w:rPr>
                <w:rFonts w:hint="eastAsia" w:ascii="宋体" w:hAnsi="宋体"/>
                <w:color w:val="000000"/>
                <w:kern w:val="0"/>
              </w:rPr>
              <w:t>七、文化旅游体育与传媒支出</w:t>
            </w:r>
          </w:p>
        </w:tc>
        <w:tc>
          <w:tcPr>
            <w:tcW w:w="1607" w:type="dxa"/>
            <w:tcBorders>
              <w:top w:val="single" w:color="000000" w:sz="4" w:space="0"/>
              <w:left w:val="nil"/>
              <w:bottom w:val="single" w:color="000000" w:sz="4" w:space="0"/>
              <w:right w:val="single" w:color="000000" w:sz="4" w:space="0"/>
            </w:tcBorders>
            <w:vAlign w:val="center"/>
          </w:tcPr>
          <w:p>
            <w:pPr>
              <w:widowControl/>
              <w:jc w:val="center"/>
              <w:rPr>
                <w:rFonts w:hint="default" w:ascii="宋体" w:eastAsia="宋体"/>
                <w:color w:val="000000"/>
                <w:kern w:val="0"/>
                <w:lang w:val="en-US" w:eastAsia="zh-CN"/>
              </w:rPr>
            </w:pPr>
            <w:r>
              <w:rPr>
                <w:rFonts w:hint="eastAsia" w:ascii="宋体" w:hAnsi="宋体"/>
                <w:color w:val="000000"/>
                <w:kern w:val="0"/>
                <w:lang w:val="en-US" w:eastAsia="zh-CN"/>
              </w:rPr>
              <w:t>22</w:t>
            </w:r>
          </w:p>
        </w:tc>
        <w:tc>
          <w:tcPr>
            <w:tcW w:w="2730" w:type="dxa"/>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p>
        </w:tc>
      </w:tr>
      <w:tr>
        <w:tblPrEx>
          <w:tblCellMar>
            <w:top w:w="0" w:type="dxa"/>
            <w:left w:w="108" w:type="dxa"/>
            <w:bottom w:w="0" w:type="dxa"/>
            <w:right w:w="108" w:type="dxa"/>
          </w:tblCellMar>
        </w:tblPrEx>
        <w:trPr>
          <w:trHeight w:val="312" w:hRule="exact"/>
          <w:jc w:val="center"/>
        </w:trPr>
        <w:tc>
          <w:tcPr>
            <w:tcW w:w="32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default" w:ascii="宋体"/>
                <w:color w:val="000000"/>
                <w:kern w:val="0"/>
              </w:rPr>
            </w:pPr>
            <w:r>
              <w:rPr>
                <w:rFonts w:ascii="宋体" w:hAnsi="宋体"/>
                <w:color w:val="000000"/>
                <w:kern w:val="0"/>
              </w:rPr>
              <w:t>八、其他收入</w:t>
            </w:r>
          </w:p>
        </w:tc>
        <w:tc>
          <w:tcPr>
            <w:tcW w:w="1607" w:type="dxa"/>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color w:val="000000"/>
                <w:kern w:val="0"/>
                <w:shd w:val="clear" w:color="auto" w:fill="FFFFFF"/>
              </w:rPr>
            </w:pPr>
            <w:r>
              <w:rPr>
                <w:rFonts w:ascii="宋体" w:hAnsi="宋体"/>
                <w:color w:val="000000"/>
                <w:kern w:val="0"/>
                <w:shd w:val="clear" w:color="auto" w:fill="FFFFFF"/>
              </w:rPr>
              <w:t>8</w:t>
            </w:r>
          </w:p>
        </w:tc>
        <w:tc>
          <w:tcPr>
            <w:tcW w:w="2712" w:type="dxa"/>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p>
        </w:tc>
        <w:tc>
          <w:tcPr>
            <w:tcW w:w="2662" w:type="dxa"/>
            <w:gridSpan w:val="2"/>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r>
              <w:rPr>
                <w:rFonts w:hint="default" w:ascii="宋体"/>
                <w:color w:val="000000"/>
                <w:kern w:val="0"/>
              </w:rPr>
              <w:t>八、社会保障和就业支出</w:t>
            </w:r>
          </w:p>
        </w:tc>
        <w:tc>
          <w:tcPr>
            <w:tcW w:w="1607" w:type="dxa"/>
            <w:tcBorders>
              <w:top w:val="single" w:color="000000" w:sz="4" w:space="0"/>
              <w:left w:val="nil"/>
              <w:bottom w:val="single" w:color="000000" w:sz="4" w:space="0"/>
              <w:right w:val="single" w:color="000000" w:sz="4" w:space="0"/>
            </w:tcBorders>
            <w:vAlign w:val="center"/>
          </w:tcPr>
          <w:p>
            <w:pPr>
              <w:widowControl/>
              <w:jc w:val="center"/>
              <w:rPr>
                <w:rFonts w:hint="eastAsia" w:ascii="宋体" w:eastAsia="宋体"/>
                <w:color w:val="000000"/>
                <w:kern w:val="0"/>
                <w:lang w:eastAsia="zh-CN"/>
              </w:rPr>
            </w:pPr>
            <w:r>
              <w:rPr>
                <w:rFonts w:ascii="宋体" w:hAnsi="宋体"/>
                <w:color w:val="000000"/>
                <w:kern w:val="0"/>
              </w:rPr>
              <w:t>2</w:t>
            </w:r>
            <w:r>
              <w:rPr>
                <w:rFonts w:hint="eastAsia" w:ascii="宋体" w:hAnsi="宋体"/>
                <w:color w:val="000000"/>
                <w:kern w:val="0"/>
                <w:lang w:val="en-US" w:eastAsia="zh-CN"/>
              </w:rPr>
              <w:t>3</w:t>
            </w:r>
          </w:p>
        </w:tc>
        <w:tc>
          <w:tcPr>
            <w:tcW w:w="2730" w:type="dxa"/>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r>
              <w:rPr>
                <w:rFonts w:hint="default" w:ascii="宋体"/>
                <w:color w:val="000000"/>
                <w:kern w:val="0"/>
              </w:rPr>
              <w:t>52948.82</w:t>
            </w:r>
          </w:p>
        </w:tc>
      </w:tr>
      <w:tr>
        <w:tblPrEx>
          <w:tblCellMar>
            <w:top w:w="0" w:type="dxa"/>
            <w:left w:w="108" w:type="dxa"/>
            <w:bottom w:w="0" w:type="dxa"/>
            <w:right w:w="108" w:type="dxa"/>
          </w:tblCellMar>
        </w:tblPrEx>
        <w:trPr>
          <w:trHeight w:val="312" w:hRule="exact"/>
          <w:jc w:val="center"/>
        </w:trPr>
        <w:tc>
          <w:tcPr>
            <w:tcW w:w="32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default" w:ascii="宋体" w:hAnsi="宋体"/>
                <w:color w:val="000000"/>
                <w:kern w:val="0"/>
              </w:rPr>
            </w:pPr>
          </w:p>
        </w:tc>
        <w:tc>
          <w:tcPr>
            <w:tcW w:w="1607" w:type="dxa"/>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hAnsi="宋体"/>
                <w:color w:val="000000"/>
                <w:kern w:val="0"/>
                <w:shd w:val="clear" w:color="auto" w:fill="FFFFFF"/>
              </w:rPr>
            </w:pPr>
            <w:r>
              <w:rPr>
                <w:rFonts w:ascii="宋体" w:hAnsi="宋体"/>
                <w:color w:val="000000"/>
                <w:kern w:val="0"/>
                <w:shd w:val="clear" w:color="auto" w:fill="FFFFFF"/>
              </w:rPr>
              <w:t>9</w:t>
            </w:r>
          </w:p>
        </w:tc>
        <w:tc>
          <w:tcPr>
            <w:tcW w:w="2712" w:type="dxa"/>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p>
        </w:tc>
        <w:tc>
          <w:tcPr>
            <w:tcW w:w="2662" w:type="dxa"/>
            <w:gridSpan w:val="2"/>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r>
              <w:rPr>
                <w:rFonts w:hint="default" w:ascii="宋体"/>
                <w:color w:val="000000"/>
                <w:kern w:val="0"/>
              </w:rPr>
              <w:t>九、卫生健康支出</w:t>
            </w:r>
          </w:p>
        </w:tc>
        <w:tc>
          <w:tcPr>
            <w:tcW w:w="1607" w:type="dxa"/>
            <w:tcBorders>
              <w:top w:val="single" w:color="000000" w:sz="4" w:space="0"/>
              <w:left w:val="nil"/>
              <w:bottom w:val="single" w:color="000000" w:sz="4" w:space="0"/>
              <w:right w:val="single" w:color="000000" w:sz="4" w:space="0"/>
            </w:tcBorders>
            <w:vAlign w:val="center"/>
          </w:tcPr>
          <w:p>
            <w:pPr>
              <w:widowControl/>
              <w:jc w:val="center"/>
              <w:rPr>
                <w:rFonts w:hint="eastAsia" w:ascii="宋体" w:hAnsi="宋体" w:eastAsia="宋体"/>
                <w:color w:val="000000"/>
                <w:kern w:val="0"/>
                <w:lang w:eastAsia="zh-CN"/>
              </w:rPr>
            </w:pPr>
            <w:r>
              <w:rPr>
                <w:rFonts w:ascii="宋体" w:hAnsi="宋体"/>
                <w:color w:val="000000"/>
                <w:kern w:val="0"/>
              </w:rPr>
              <w:t>2</w:t>
            </w:r>
            <w:r>
              <w:rPr>
                <w:rFonts w:hint="eastAsia" w:ascii="宋体" w:hAnsi="宋体"/>
                <w:color w:val="000000"/>
                <w:kern w:val="0"/>
                <w:lang w:val="en-US" w:eastAsia="zh-CN"/>
              </w:rPr>
              <w:t>4</w:t>
            </w:r>
          </w:p>
        </w:tc>
        <w:tc>
          <w:tcPr>
            <w:tcW w:w="2730" w:type="dxa"/>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r>
              <w:rPr>
                <w:rFonts w:hint="default" w:ascii="宋体"/>
                <w:color w:val="000000"/>
                <w:kern w:val="0"/>
              </w:rPr>
              <w:t>546.31</w:t>
            </w:r>
          </w:p>
        </w:tc>
      </w:tr>
      <w:tr>
        <w:tblPrEx>
          <w:tblCellMar>
            <w:top w:w="0" w:type="dxa"/>
            <w:left w:w="108" w:type="dxa"/>
            <w:bottom w:w="0" w:type="dxa"/>
            <w:right w:w="108" w:type="dxa"/>
          </w:tblCellMar>
        </w:tblPrEx>
        <w:trPr>
          <w:trHeight w:val="312" w:hRule="exact"/>
          <w:jc w:val="center"/>
        </w:trPr>
        <w:tc>
          <w:tcPr>
            <w:tcW w:w="32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default" w:ascii="宋体" w:hAnsi="宋体"/>
                <w:color w:val="000000"/>
                <w:kern w:val="0"/>
              </w:rPr>
            </w:pPr>
          </w:p>
        </w:tc>
        <w:tc>
          <w:tcPr>
            <w:tcW w:w="1607" w:type="dxa"/>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hAnsi="宋体" w:eastAsia="宋体"/>
                <w:color w:val="000000"/>
                <w:kern w:val="0"/>
                <w:shd w:val="clear" w:color="auto" w:fill="FFFFFF"/>
                <w:lang w:val="en-US" w:eastAsia="zh-CN"/>
              </w:rPr>
            </w:pPr>
            <w:r>
              <w:rPr>
                <w:rFonts w:hint="eastAsia" w:ascii="宋体" w:hAnsi="宋体"/>
                <w:color w:val="000000"/>
                <w:kern w:val="0"/>
                <w:shd w:val="clear" w:color="auto" w:fill="FFFFFF"/>
                <w:lang w:val="en-US" w:eastAsia="zh-CN"/>
              </w:rPr>
              <w:t>10</w:t>
            </w:r>
          </w:p>
        </w:tc>
        <w:tc>
          <w:tcPr>
            <w:tcW w:w="2712" w:type="dxa"/>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p>
        </w:tc>
        <w:tc>
          <w:tcPr>
            <w:tcW w:w="2662" w:type="dxa"/>
            <w:gridSpan w:val="2"/>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r>
              <w:rPr>
                <w:rFonts w:hint="default" w:ascii="宋体"/>
                <w:color w:val="000000"/>
                <w:kern w:val="0"/>
              </w:rPr>
              <w:t>十、节能环保支出</w:t>
            </w:r>
          </w:p>
        </w:tc>
        <w:tc>
          <w:tcPr>
            <w:tcW w:w="1607" w:type="dxa"/>
            <w:tcBorders>
              <w:top w:val="single" w:color="000000" w:sz="4" w:space="0"/>
              <w:left w:val="nil"/>
              <w:bottom w:val="single" w:color="000000" w:sz="4" w:space="0"/>
              <w:right w:val="single" w:color="000000" w:sz="4" w:space="0"/>
            </w:tcBorders>
            <w:vAlign w:val="center"/>
          </w:tcPr>
          <w:p>
            <w:pPr>
              <w:widowControl/>
              <w:jc w:val="center"/>
              <w:rPr>
                <w:rFonts w:hint="default" w:ascii="宋体" w:hAnsi="宋体" w:eastAsia="宋体"/>
                <w:color w:val="000000"/>
                <w:kern w:val="0"/>
                <w:lang w:val="en-US" w:eastAsia="zh-CN"/>
              </w:rPr>
            </w:pPr>
            <w:r>
              <w:rPr>
                <w:rFonts w:hint="eastAsia" w:ascii="宋体" w:hAnsi="宋体"/>
                <w:color w:val="000000"/>
                <w:kern w:val="0"/>
                <w:lang w:val="en-US" w:eastAsia="zh-CN"/>
              </w:rPr>
              <w:t>25</w:t>
            </w:r>
          </w:p>
        </w:tc>
        <w:tc>
          <w:tcPr>
            <w:tcW w:w="2730" w:type="dxa"/>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r>
              <w:rPr>
                <w:rFonts w:hint="default" w:ascii="宋体"/>
                <w:color w:val="000000"/>
                <w:kern w:val="0"/>
              </w:rPr>
              <w:t>4504.15</w:t>
            </w:r>
          </w:p>
        </w:tc>
      </w:tr>
      <w:tr>
        <w:tblPrEx>
          <w:tblCellMar>
            <w:top w:w="0" w:type="dxa"/>
            <w:left w:w="108" w:type="dxa"/>
            <w:bottom w:w="0" w:type="dxa"/>
            <w:right w:w="108" w:type="dxa"/>
          </w:tblCellMar>
        </w:tblPrEx>
        <w:trPr>
          <w:trHeight w:val="312" w:hRule="exact"/>
          <w:jc w:val="center"/>
        </w:trPr>
        <w:tc>
          <w:tcPr>
            <w:tcW w:w="32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default" w:ascii="宋体" w:hAnsi="宋体"/>
                <w:color w:val="000000"/>
                <w:kern w:val="0"/>
              </w:rPr>
            </w:pPr>
          </w:p>
        </w:tc>
        <w:tc>
          <w:tcPr>
            <w:tcW w:w="1607" w:type="dxa"/>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hAnsi="宋体" w:eastAsia="宋体"/>
                <w:color w:val="000000"/>
                <w:kern w:val="0"/>
                <w:shd w:val="clear" w:color="auto" w:fill="FFFFFF"/>
                <w:lang w:val="en-US" w:eastAsia="zh-CN"/>
              </w:rPr>
            </w:pPr>
            <w:r>
              <w:rPr>
                <w:rFonts w:hint="eastAsia" w:ascii="宋体" w:hAnsi="宋体"/>
                <w:color w:val="000000"/>
                <w:kern w:val="0"/>
                <w:shd w:val="clear" w:color="auto" w:fill="FFFFFF"/>
                <w:lang w:val="en-US" w:eastAsia="zh-CN"/>
              </w:rPr>
              <w:t>11</w:t>
            </w:r>
          </w:p>
        </w:tc>
        <w:tc>
          <w:tcPr>
            <w:tcW w:w="2712" w:type="dxa"/>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p>
        </w:tc>
        <w:tc>
          <w:tcPr>
            <w:tcW w:w="2662" w:type="dxa"/>
            <w:gridSpan w:val="2"/>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r>
              <w:rPr>
                <w:rFonts w:hint="default" w:ascii="宋体"/>
                <w:color w:val="000000"/>
                <w:kern w:val="0"/>
              </w:rPr>
              <w:t>十九、住房保障支出</w:t>
            </w:r>
          </w:p>
        </w:tc>
        <w:tc>
          <w:tcPr>
            <w:tcW w:w="1607" w:type="dxa"/>
            <w:tcBorders>
              <w:top w:val="single" w:color="000000" w:sz="4" w:space="0"/>
              <w:left w:val="nil"/>
              <w:bottom w:val="single" w:color="000000" w:sz="4" w:space="0"/>
              <w:right w:val="single" w:color="000000" w:sz="4" w:space="0"/>
            </w:tcBorders>
            <w:vAlign w:val="center"/>
          </w:tcPr>
          <w:p>
            <w:pPr>
              <w:widowControl/>
              <w:jc w:val="center"/>
              <w:rPr>
                <w:rFonts w:hint="default" w:ascii="宋体" w:hAnsi="宋体" w:eastAsia="宋体"/>
                <w:color w:val="000000"/>
                <w:kern w:val="0"/>
                <w:lang w:val="en-US" w:eastAsia="zh-CN"/>
              </w:rPr>
            </w:pPr>
            <w:r>
              <w:rPr>
                <w:rFonts w:hint="eastAsia" w:ascii="宋体" w:hAnsi="宋体"/>
                <w:color w:val="000000"/>
                <w:kern w:val="0"/>
                <w:lang w:val="en-US" w:eastAsia="zh-CN"/>
              </w:rPr>
              <w:t>26</w:t>
            </w:r>
          </w:p>
        </w:tc>
        <w:tc>
          <w:tcPr>
            <w:tcW w:w="2730" w:type="dxa"/>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r>
              <w:rPr>
                <w:rFonts w:hint="default" w:ascii="宋体"/>
                <w:color w:val="000000"/>
                <w:kern w:val="0"/>
              </w:rPr>
              <w:t>1898.68</w:t>
            </w:r>
          </w:p>
        </w:tc>
      </w:tr>
      <w:tr>
        <w:tblPrEx>
          <w:tblCellMar>
            <w:top w:w="0" w:type="dxa"/>
            <w:left w:w="108" w:type="dxa"/>
            <w:bottom w:w="0" w:type="dxa"/>
            <w:right w:w="108" w:type="dxa"/>
          </w:tblCellMar>
        </w:tblPrEx>
        <w:trPr>
          <w:trHeight w:val="312" w:hRule="exact"/>
          <w:jc w:val="center"/>
        </w:trPr>
        <w:tc>
          <w:tcPr>
            <w:tcW w:w="32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b/>
                <w:color w:val="000000"/>
                <w:kern w:val="0"/>
              </w:rPr>
            </w:pPr>
            <w:r>
              <w:rPr>
                <w:rFonts w:ascii="宋体" w:hAnsi="宋体"/>
                <w:b/>
                <w:color w:val="000000"/>
                <w:kern w:val="0"/>
              </w:rPr>
              <w:t>本年收入合计</w:t>
            </w:r>
          </w:p>
        </w:tc>
        <w:tc>
          <w:tcPr>
            <w:tcW w:w="1607" w:type="dxa"/>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eastAsia="宋体"/>
                <w:color w:val="000000"/>
                <w:kern w:val="0"/>
                <w:shd w:val="clear" w:color="auto" w:fill="FFFFFF"/>
                <w:lang w:val="en-US" w:eastAsia="zh-CN"/>
              </w:rPr>
            </w:pPr>
            <w:r>
              <w:rPr>
                <w:rFonts w:hint="eastAsia" w:ascii="宋体" w:hAnsi="宋体"/>
                <w:color w:val="000000"/>
                <w:kern w:val="0"/>
                <w:shd w:val="clear" w:color="auto" w:fill="FFFFFF"/>
                <w:lang w:val="en-US" w:eastAsia="zh-CN"/>
              </w:rPr>
              <w:t>12</w:t>
            </w:r>
          </w:p>
        </w:tc>
        <w:tc>
          <w:tcPr>
            <w:tcW w:w="2712"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rPr>
            </w:pPr>
            <w:r>
              <w:rPr>
                <w:rFonts w:hint="default" w:ascii="宋体"/>
                <w:color w:val="000000"/>
                <w:kern w:val="0"/>
              </w:rPr>
              <w:t>59223.93</w:t>
            </w:r>
          </w:p>
        </w:tc>
        <w:tc>
          <w:tcPr>
            <w:tcW w:w="2662" w:type="dxa"/>
            <w:gridSpan w:val="2"/>
            <w:tcBorders>
              <w:top w:val="single" w:color="000000" w:sz="4" w:space="0"/>
              <w:left w:val="nil"/>
              <w:bottom w:val="single" w:color="000000" w:sz="4" w:space="0"/>
              <w:right w:val="single" w:color="000000" w:sz="4" w:space="0"/>
            </w:tcBorders>
            <w:vAlign w:val="center"/>
          </w:tcPr>
          <w:p>
            <w:pPr>
              <w:widowControl/>
              <w:jc w:val="center"/>
              <w:rPr>
                <w:rFonts w:hint="default" w:ascii="宋体"/>
                <w:b/>
                <w:color w:val="000000"/>
                <w:kern w:val="0"/>
              </w:rPr>
            </w:pPr>
            <w:r>
              <w:rPr>
                <w:rFonts w:ascii="宋体" w:hAnsi="宋体"/>
                <w:b/>
                <w:color w:val="000000"/>
                <w:kern w:val="0"/>
              </w:rPr>
              <w:t>本年支出合计</w:t>
            </w:r>
          </w:p>
        </w:tc>
        <w:tc>
          <w:tcPr>
            <w:tcW w:w="1607" w:type="dxa"/>
            <w:tcBorders>
              <w:top w:val="single" w:color="000000" w:sz="4" w:space="0"/>
              <w:left w:val="nil"/>
              <w:bottom w:val="single" w:color="000000" w:sz="4" w:space="0"/>
              <w:right w:val="single" w:color="000000" w:sz="4" w:space="0"/>
            </w:tcBorders>
            <w:vAlign w:val="center"/>
          </w:tcPr>
          <w:p>
            <w:pPr>
              <w:widowControl/>
              <w:jc w:val="center"/>
              <w:rPr>
                <w:rFonts w:hint="eastAsia" w:ascii="宋体" w:eastAsia="宋体"/>
                <w:color w:val="000000"/>
                <w:kern w:val="0"/>
                <w:lang w:eastAsia="zh-CN"/>
              </w:rPr>
            </w:pPr>
            <w:r>
              <w:rPr>
                <w:rFonts w:ascii="宋体" w:hAnsi="宋体"/>
                <w:color w:val="000000"/>
                <w:kern w:val="0"/>
              </w:rPr>
              <w:t>2</w:t>
            </w:r>
            <w:r>
              <w:rPr>
                <w:rFonts w:hint="eastAsia" w:ascii="宋体" w:hAnsi="宋体"/>
                <w:color w:val="000000"/>
                <w:kern w:val="0"/>
                <w:lang w:val="en-US" w:eastAsia="zh-CN"/>
              </w:rPr>
              <w:t>7</w:t>
            </w:r>
          </w:p>
        </w:tc>
        <w:tc>
          <w:tcPr>
            <w:tcW w:w="2730" w:type="dxa"/>
            <w:tcBorders>
              <w:top w:val="single" w:color="000000" w:sz="4" w:space="0"/>
              <w:left w:val="nil"/>
              <w:bottom w:val="single" w:color="000000" w:sz="4" w:space="0"/>
              <w:right w:val="single" w:color="000000" w:sz="4" w:space="0"/>
            </w:tcBorders>
            <w:vAlign w:val="center"/>
          </w:tcPr>
          <w:p>
            <w:pPr>
              <w:widowControl/>
              <w:jc w:val="left"/>
              <w:rPr>
                <w:rFonts w:hint="default" w:ascii="宋体"/>
                <w:b/>
                <w:color w:val="000000"/>
                <w:kern w:val="0"/>
              </w:rPr>
            </w:pPr>
            <w:r>
              <w:rPr>
                <w:rFonts w:hint="default" w:ascii="宋体"/>
                <w:b/>
                <w:color w:val="000000"/>
                <w:kern w:val="0"/>
              </w:rPr>
              <w:t>67367.74</w:t>
            </w:r>
          </w:p>
        </w:tc>
      </w:tr>
      <w:tr>
        <w:tblPrEx>
          <w:tblCellMar>
            <w:top w:w="0" w:type="dxa"/>
            <w:left w:w="108" w:type="dxa"/>
            <w:bottom w:w="0" w:type="dxa"/>
            <w:right w:w="108" w:type="dxa"/>
          </w:tblCellMar>
        </w:tblPrEx>
        <w:trPr>
          <w:trHeight w:val="312" w:hRule="exact"/>
          <w:jc w:val="center"/>
        </w:trPr>
        <w:tc>
          <w:tcPr>
            <w:tcW w:w="32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default" w:ascii="宋体"/>
                <w:color w:val="000000"/>
                <w:kern w:val="0"/>
              </w:rPr>
            </w:pPr>
            <w:r>
              <w:rPr>
                <w:rFonts w:ascii="宋体" w:hAnsi="宋体"/>
                <w:color w:val="000000"/>
                <w:kern w:val="0"/>
              </w:rPr>
              <w:t>使用非财政拨款结余</w:t>
            </w:r>
          </w:p>
        </w:tc>
        <w:tc>
          <w:tcPr>
            <w:tcW w:w="1607" w:type="dxa"/>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eastAsia="宋体"/>
                <w:color w:val="000000"/>
                <w:kern w:val="0"/>
                <w:shd w:val="clear" w:color="auto" w:fill="FFFFFF"/>
                <w:lang w:val="en-US" w:eastAsia="zh-CN"/>
              </w:rPr>
            </w:pPr>
            <w:r>
              <w:rPr>
                <w:rFonts w:hint="eastAsia" w:ascii="宋体" w:hAnsi="宋体"/>
                <w:color w:val="000000"/>
                <w:kern w:val="0"/>
                <w:shd w:val="clear" w:color="auto" w:fill="FFFFFF"/>
                <w:lang w:val="en-US" w:eastAsia="zh-CN"/>
              </w:rPr>
              <w:t>13</w:t>
            </w:r>
          </w:p>
        </w:tc>
        <w:tc>
          <w:tcPr>
            <w:tcW w:w="2712"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rPr>
            </w:pPr>
          </w:p>
        </w:tc>
        <w:tc>
          <w:tcPr>
            <w:tcW w:w="2662" w:type="dxa"/>
            <w:gridSpan w:val="2"/>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r>
              <w:rPr>
                <w:rFonts w:ascii="宋体" w:hAnsi="宋体"/>
                <w:color w:val="000000"/>
                <w:kern w:val="0"/>
              </w:rPr>
              <w:t>结余分配</w:t>
            </w:r>
          </w:p>
        </w:tc>
        <w:tc>
          <w:tcPr>
            <w:tcW w:w="1607" w:type="dxa"/>
            <w:tcBorders>
              <w:top w:val="single" w:color="000000" w:sz="4" w:space="0"/>
              <w:left w:val="nil"/>
              <w:bottom w:val="single" w:color="000000" w:sz="4" w:space="0"/>
              <w:right w:val="single" w:color="000000" w:sz="4" w:space="0"/>
            </w:tcBorders>
            <w:vAlign w:val="center"/>
          </w:tcPr>
          <w:p>
            <w:pPr>
              <w:widowControl/>
              <w:jc w:val="center"/>
              <w:rPr>
                <w:rFonts w:hint="eastAsia" w:ascii="宋体" w:eastAsia="宋体"/>
                <w:color w:val="000000"/>
                <w:kern w:val="0"/>
                <w:lang w:eastAsia="zh-CN"/>
              </w:rPr>
            </w:pPr>
            <w:r>
              <w:rPr>
                <w:rFonts w:ascii="宋体" w:hAnsi="宋体"/>
                <w:color w:val="000000"/>
                <w:kern w:val="0"/>
              </w:rPr>
              <w:t>2</w:t>
            </w:r>
            <w:r>
              <w:rPr>
                <w:rFonts w:hint="eastAsia" w:ascii="宋体" w:hAnsi="宋体"/>
                <w:color w:val="000000"/>
                <w:kern w:val="0"/>
                <w:lang w:val="en-US" w:eastAsia="zh-CN"/>
              </w:rPr>
              <w:t>8</w:t>
            </w:r>
          </w:p>
        </w:tc>
        <w:tc>
          <w:tcPr>
            <w:tcW w:w="2730" w:type="dxa"/>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p>
        </w:tc>
      </w:tr>
      <w:tr>
        <w:tblPrEx>
          <w:tblCellMar>
            <w:top w:w="0" w:type="dxa"/>
            <w:left w:w="108" w:type="dxa"/>
            <w:bottom w:w="0" w:type="dxa"/>
            <w:right w:w="108" w:type="dxa"/>
          </w:tblCellMar>
        </w:tblPrEx>
        <w:trPr>
          <w:trHeight w:val="312" w:hRule="exact"/>
          <w:jc w:val="center"/>
        </w:trPr>
        <w:tc>
          <w:tcPr>
            <w:tcW w:w="32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default" w:ascii="宋体"/>
                <w:color w:val="000000"/>
                <w:kern w:val="0"/>
              </w:rPr>
            </w:pPr>
            <w:r>
              <w:rPr>
                <w:rFonts w:ascii="宋体" w:hAnsi="宋体"/>
                <w:color w:val="000000"/>
                <w:kern w:val="0"/>
              </w:rPr>
              <w:t>年初结转和结余</w:t>
            </w:r>
          </w:p>
        </w:tc>
        <w:tc>
          <w:tcPr>
            <w:tcW w:w="1607" w:type="dxa"/>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jc w:val="center"/>
              <w:rPr>
                <w:rFonts w:hint="eastAsia" w:ascii="宋体" w:eastAsia="宋体"/>
                <w:color w:val="000000"/>
                <w:kern w:val="0"/>
                <w:shd w:val="clear" w:color="auto" w:fill="FFFFFF"/>
                <w:lang w:eastAsia="zh-CN"/>
              </w:rPr>
            </w:pPr>
            <w:r>
              <w:rPr>
                <w:rFonts w:ascii="宋体" w:hAnsi="宋体"/>
                <w:color w:val="000000"/>
                <w:kern w:val="0"/>
                <w:shd w:val="clear" w:color="auto" w:fill="FFFFFF"/>
              </w:rPr>
              <w:t>1</w:t>
            </w:r>
            <w:r>
              <w:rPr>
                <w:rFonts w:hint="eastAsia" w:ascii="宋体" w:hAnsi="宋体"/>
                <w:color w:val="000000"/>
                <w:kern w:val="0"/>
                <w:shd w:val="clear" w:color="auto" w:fill="FFFFFF"/>
                <w:lang w:val="en-US" w:eastAsia="zh-CN"/>
              </w:rPr>
              <w:t>4</w:t>
            </w:r>
          </w:p>
        </w:tc>
        <w:tc>
          <w:tcPr>
            <w:tcW w:w="2712"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rPr>
            </w:pPr>
            <w:r>
              <w:rPr>
                <w:rFonts w:hint="default" w:ascii="宋体"/>
                <w:color w:val="000000"/>
                <w:kern w:val="0"/>
              </w:rPr>
              <w:t>9515.72</w:t>
            </w:r>
          </w:p>
        </w:tc>
        <w:tc>
          <w:tcPr>
            <w:tcW w:w="2662" w:type="dxa"/>
            <w:gridSpan w:val="2"/>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r>
              <w:rPr>
                <w:rFonts w:ascii="宋体" w:hAnsi="宋体"/>
                <w:color w:val="000000"/>
                <w:kern w:val="0"/>
              </w:rPr>
              <w:t>年末结转和结余</w:t>
            </w:r>
          </w:p>
        </w:tc>
        <w:tc>
          <w:tcPr>
            <w:tcW w:w="1607" w:type="dxa"/>
            <w:tcBorders>
              <w:top w:val="single" w:color="000000" w:sz="4" w:space="0"/>
              <w:left w:val="nil"/>
              <w:bottom w:val="single" w:color="000000" w:sz="4" w:space="0"/>
              <w:right w:val="single" w:color="000000" w:sz="4" w:space="0"/>
            </w:tcBorders>
            <w:vAlign w:val="center"/>
          </w:tcPr>
          <w:p>
            <w:pPr>
              <w:widowControl/>
              <w:jc w:val="center"/>
              <w:rPr>
                <w:rFonts w:hint="eastAsia" w:ascii="宋体" w:eastAsia="宋体"/>
                <w:color w:val="000000"/>
                <w:kern w:val="0"/>
                <w:lang w:eastAsia="zh-CN"/>
              </w:rPr>
            </w:pPr>
            <w:r>
              <w:rPr>
                <w:rFonts w:ascii="宋体" w:hAnsi="宋体"/>
                <w:color w:val="000000"/>
                <w:kern w:val="0"/>
              </w:rPr>
              <w:t>2</w:t>
            </w:r>
            <w:r>
              <w:rPr>
                <w:rFonts w:hint="eastAsia" w:ascii="宋体" w:hAnsi="宋体"/>
                <w:color w:val="000000"/>
                <w:kern w:val="0"/>
                <w:lang w:val="en-US" w:eastAsia="zh-CN"/>
              </w:rPr>
              <w:t>9</w:t>
            </w:r>
          </w:p>
        </w:tc>
        <w:tc>
          <w:tcPr>
            <w:tcW w:w="2730" w:type="dxa"/>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r>
              <w:rPr>
                <w:rFonts w:hint="default" w:ascii="宋体"/>
                <w:color w:val="000000"/>
                <w:kern w:val="0"/>
              </w:rPr>
              <w:t>1371.91</w:t>
            </w:r>
          </w:p>
        </w:tc>
      </w:tr>
      <w:tr>
        <w:tblPrEx>
          <w:tblCellMar>
            <w:top w:w="0" w:type="dxa"/>
            <w:left w:w="108" w:type="dxa"/>
            <w:bottom w:w="0" w:type="dxa"/>
            <w:right w:w="108" w:type="dxa"/>
          </w:tblCellMar>
        </w:tblPrEx>
        <w:trPr>
          <w:trHeight w:val="312" w:hRule="exact"/>
          <w:jc w:val="center"/>
        </w:trPr>
        <w:tc>
          <w:tcPr>
            <w:tcW w:w="32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default" w:ascii="宋体"/>
                <w:color w:val="000000"/>
                <w:kern w:val="0"/>
              </w:rPr>
            </w:pPr>
            <w:r>
              <w:rPr>
                <w:rFonts w:ascii="宋体" w:hAnsi="宋体"/>
                <w:color w:val="000000"/>
                <w:kern w:val="0"/>
              </w:rPr>
              <w:t xml:space="preserve">                </w:t>
            </w:r>
            <w:r>
              <w:rPr>
                <w:rFonts w:ascii="宋体" w:hAnsi="宋体"/>
                <w:b/>
                <w:color w:val="000000"/>
                <w:kern w:val="0"/>
                <w:shd w:val="clear" w:color="auto" w:fill="FFFFFF"/>
              </w:rPr>
              <w:t>总计</w:t>
            </w:r>
          </w:p>
        </w:tc>
        <w:tc>
          <w:tcPr>
            <w:tcW w:w="1607" w:type="dxa"/>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jc w:val="center"/>
              <w:rPr>
                <w:rFonts w:hint="eastAsia" w:ascii="宋体" w:eastAsia="宋体"/>
                <w:color w:val="000000"/>
                <w:kern w:val="0"/>
                <w:shd w:val="clear" w:color="auto" w:fill="FFFFFF"/>
                <w:lang w:eastAsia="zh-CN"/>
              </w:rPr>
            </w:pPr>
            <w:r>
              <w:rPr>
                <w:rFonts w:ascii="宋体" w:hAnsi="宋体"/>
                <w:color w:val="000000"/>
                <w:kern w:val="0"/>
                <w:shd w:val="clear" w:color="auto" w:fill="FFFFFF"/>
              </w:rPr>
              <w:t>1</w:t>
            </w:r>
            <w:r>
              <w:rPr>
                <w:rFonts w:hint="eastAsia" w:ascii="宋体" w:hAnsi="宋体"/>
                <w:color w:val="000000"/>
                <w:kern w:val="0"/>
                <w:shd w:val="clear" w:color="auto" w:fill="FFFFFF"/>
                <w:lang w:val="en-US" w:eastAsia="zh-CN"/>
              </w:rPr>
              <w:t>5</w:t>
            </w:r>
          </w:p>
        </w:tc>
        <w:tc>
          <w:tcPr>
            <w:tcW w:w="2712"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rPr>
            </w:pPr>
            <w:r>
              <w:rPr>
                <w:rFonts w:hint="default" w:ascii="宋体"/>
                <w:color w:val="000000"/>
                <w:kern w:val="0"/>
              </w:rPr>
              <w:t>68739.65</w:t>
            </w:r>
          </w:p>
        </w:tc>
        <w:tc>
          <w:tcPr>
            <w:tcW w:w="2662" w:type="dxa"/>
            <w:gridSpan w:val="2"/>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r>
              <w:rPr>
                <w:rFonts w:ascii="宋体" w:hAnsi="宋体"/>
                <w:b/>
                <w:color w:val="000000"/>
                <w:kern w:val="0"/>
                <w:shd w:val="clear" w:color="auto" w:fill="FFFFFF"/>
              </w:rPr>
              <w:t xml:space="preserve">            总计</w:t>
            </w:r>
          </w:p>
        </w:tc>
        <w:tc>
          <w:tcPr>
            <w:tcW w:w="1607" w:type="dxa"/>
            <w:tcBorders>
              <w:top w:val="single" w:color="000000" w:sz="4" w:space="0"/>
              <w:left w:val="nil"/>
              <w:bottom w:val="single" w:color="000000" w:sz="4" w:space="0"/>
              <w:right w:val="single" w:color="000000" w:sz="4" w:space="0"/>
            </w:tcBorders>
            <w:vAlign w:val="center"/>
          </w:tcPr>
          <w:p>
            <w:pPr>
              <w:widowControl/>
              <w:jc w:val="center"/>
              <w:rPr>
                <w:rFonts w:hint="default" w:ascii="宋体" w:eastAsia="宋体"/>
                <w:color w:val="000000"/>
                <w:kern w:val="0"/>
                <w:lang w:val="en-US" w:eastAsia="zh-CN"/>
              </w:rPr>
            </w:pPr>
            <w:r>
              <w:rPr>
                <w:rFonts w:hint="eastAsia" w:ascii="宋体" w:hAnsi="宋体"/>
                <w:color w:val="000000"/>
                <w:kern w:val="0"/>
                <w:lang w:val="en-US" w:eastAsia="zh-CN"/>
              </w:rPr>
              <w:t>30</w:t>
            </w:r>
          </w:p>
        </w:tc>
        <w:tc>
          <w:tcPr>
            <w:tcW w:w="2730" w:type="dxa"/>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rPr>
            </w:pPr>
            <w:r>
              <w:rPr>
                <w:rFonts w:hint="default" w:ascii="宋体"/>
                <w:color w:val="000000"/>
                <w:kern w:val="0"/>
              </w:rPr>
              <w:t>68739.65</w:t>
            </w:r>
          </w:p>
        </w:tc>
      </w:tr>
    </w:tbl>
    <w:p>
      <w:pPr>
        <w:widowControl/>
        <w:spacing w:line="560" w:lineRule="atLeast"/>
        <w:jc w:val="left"/>
        <w:rPr>
          <w:rFonts w:hint="default" w:ascii="宋体" w:hAnsi="宋体" w:cs="宋体"/>
          <w:kern w:val="0"/>
          <w:szCs w:val="21"/>
        </w:rPr>
      </w:pPr>
      <w:r>
        <w:rPr>
          <w:rFonts w:ascii="宋体" w:hAnsi="宋体" w:cs="宋体"/>
          <w:kern w:val="0"/>
          <w:szCs w:val="21"/>
        </w:rPr>
        <w:t>注：1.本表反映部门本年度的总收支和年末结转结余情况。2.本套报表金额单位转换时可能存在尾数误差。3.如本表为空，则我部门本年度无此类资金收支余。</w:t>
      </w:r>
    </w:p>
    <w:p>
      <w:pPr>
        <w:widowControl/>
        <w:spacing w:line="560" w:lineRule="atLeast"/>
        <w:rPr>
          <w:rFonts w:hint="default" w:ascii="仿宋_GB2312" w:hAnsi="宋体" w:eastAsia="仿宋_GB2312"/>
          <w:kern w:val="0"/>
          <w:sz w:val="24"/>
        </w:rPr>
      </w:pPr>
    </w:p>
    <w:p>
      <w:pPr>
        <w:widowControl/>
        <w:spacing w:line="560" w:lineRule="atLeast"/>
        <w:rPr>
          <w:rFonts w:hint="default" w:ascii="仿宋_GB2312" w:hAnsi="宋体" w:eastAsia="仿宋_GB2312"/>
          <w:kern w:val="0"/>
          <w:sz w:val="24"/>
        </w:rPr>
      </w:pPr>
      <w:r>
        <w:rPr>
          <w:rFonts w:ascii="仿宋_GB2312" w:hAnsi="宋体" w:eastAsia="仿宋_GB2312"/>
          <w:kern w:val="0"/>
          <w:sz w:val="24"/>
        </w:rPr>
        <w:t>附件1-2</w:t>
      </w:r>
    </w:p>
    <w:tbl>
      <w:tblPr>
        <w:tblStyle w:val="5"/>
        <w:tblW w:w="13884" w:type="dxa"/>
        <w:jc w:val="center"/>
        <w:tblLayout w:type="fixed"/>
        <w:tblCellMar>
          <w:top w:w="0" w:type="dxa"/>
          <w:left w:w="108" w:type="dxa"/>
          <w:bottom w:w="0" w:type="dxa"/>
          <w:right w:w="108" w:type="dxa"/>
        </w:tblCellMar>
      </w:tblPr>
      <w:tblGrid>
        <w:gridCol w:w="934"/>
        <w:gridCol w:w="122"/>
        <w:gridCol w:w="463"/>
        <w:gridCol w:w="930"/>
        <w:gridCol w:w="930"/>
        <w:gridCol w:w="923"/>
        <w:gridCol w:w="930"/>
        <w:gridCol w:w="1476"/>
        <w:gridCol w:w="1476"/>
        <w:gridCol w:w="738"/>
        <w:gridCol w:w="428"/>
        <w:gridCol w:w="840"/>
        <w:gridCol w:w="930"/>
        <w:gridCol w:w="1905"/>
        <w:gridCol w:w="859"/>
      </w:tblGrid>
      <w:tr>
        <w:tblPrEx>
          <w:tblCellMar>
            <w:top w:w="0" w:type="dxa"/>
            <w:left w:w="108" w:type="dxa"/>
            <w:bottom w:w="0" w:type="dxa"/>
            <w:right w:w="108" w:type="dxa"/>
          </w:tblCellMar>
        </w:tblPrEx>
        <w:trPr>
          <w:trHeight w:val="280" w:hRule="atLeast"/>
          <w:jc w:val="center"/>
        </w:trPr>
        <w:tc>
          <w:tcPr>
            <w:tcW w:w="13884" w:type="dxa"/>
            <w:gridSpan w:val="15"/>
            <w:tcBorders>
              <w:top w:val="nil"/>
              <w:left w:val="nil"/>
              <w:bottom w:val="nil"/>
              <w:right w:val="nil"/>
            </w:tcBorders>
            <w:shd w:val="clear" w:color="auto" w:fill="FFFFFF"/>
            <w:vAlign w:val="center"/>
          </w:tcPr>
          <w:p>
            <w:pPr>
              <w:widowControl/>
              <w:shd w:val="clear" w:color="auto" w:fill="FFFFFF"/>
              <w:jc w:val="center"/>
              <w:rPr>
                <w:rFonts w:hint="default" w:ascii="宋体"/>
                <w:b/>
                <w:color w:val="000000"/>
                <w:kern w:val="0"/>
                <w:shd w:val="clear" w:color="auto" w:fill="FFFFFF"/>
              </w:rPr>
            </w:pPr>
            <w:r>
              <w:rPr>
                <w:rFonts w:ascii="宋体" w:hAnsi="宋体"/>
                <w:b/>
                <w:color w:val="000000"/>
                <w:kern w:val="0"/>
                <w:sz w:val="24"/>
                <w:szCs w:val="24"/>
                <w:shd w:val="clear" w:color="auto" w:fill="FFFFFF"/>
              </w:rPr>
              <w:t>收入决算表</w:t>
            </w:r>
          </w:p>
        </w:tc>
      </w:tr>
      <w:tr>
        <w:tblPrEx>
          <w:tblCellMar>
            <w:top w:w="0" w:type="dxa"/>
            <w:left w:w="108" w:type="dxa"/>
            <w:bottom w:w="0" w:type="dxa"/>
            <w:right w:w="108" w:type="dxa"/>
          </w:tblCellMar>
        </w:tblPrEx>
        <w:trPr>
          <w:trHeight w:val="177" w:hRule="atLeast"/>
          <w:jc w:val="center"/>
        </w:trPr>
        <w:tc>
          <w:tcPr>
            <w:tcW w:w="934"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585" w:type="dxa"/>
            <w:gridSpan w:val="2"/>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930"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930"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923"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930"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2952" w:type="dxa"/>
            <w:gridSpan w:val="2"/>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738"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428"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840"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3694" w:type="dxa"/>
            <w:gridSpan w:val="3"/>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公开02表</w:t>
            </w:r>
          </w:p>
        </w:tc>
      </w:tr>
      <w:tr>
        <w:tblPrEx>
          <w:tblCellMar>
            <w:top w:w="0" w:type="dxa"/>
            <w:left w:w="108" w:type="dxa"/>
            <w:bottom w:w="0" w:type="dxa"/>
            <w:right w:w="108" w:type="dxa"/>
          </w:tblCellMar>
        </w:tblPrEx>
        <w:trPr>
          <w:trHeight w:val="267" w:hRule="atLeast"/>
          <w:jc w:val="center"/>
        </w:trPr>
        <w:tc>
          <w:tcPr>
            <w:tcW w:w="934" w:type="dxa"/>
            <w:tcBorders>
              <w:top w:val="nil"/>
              <w:left w:val="nil"/>
              <w:bottom w:val="nil"/>
              <w:right w:val="nil"/>
            </w:tcBorders>
            <w:shd w:val="clear" w:color="auto" w:fill="FFFFFF"/>
            <w:vAlign w:val="bottom"/>
          </w:tcPr>
          <w:p>
            <w:pPr>
              <w:widowControl/>
              <w:shd w:val="clear" w:color="auto" w:fill="FFFFFF"/>
              <w:jc w:val="left"/>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部门：</w:t>
            </w:r>
          </w:p>
        </w:tc>
        <w:tc>
          <w:tcPr>
            <w:tcW w:w="585" w:type="dxa"/>
            <w:gridSpan w:val="2"/>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930"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930"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923"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930"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2952" w:type="dxa"/>
            <w:gridSpan w:val="2"/>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738"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428"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840"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3694" w:type="dxa"/>
            <w:gridSpan w:val="3"/>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单位：万元</w:t>
            </w:r>
          </w:p>
        </w:tc>
      </w:tr>
      <w:tr>
        <w:tblPrEx>
          <w:tblCellMar>
            <w:top w:w="0" w:type="dxa"/>
            <w:left w:w="108" w:type="dxa"/>
            <w:bottom w:w="0" w:type="dxa"/>
            <w:right w:w="108" w:type="dxa"/>
          </w:tblCellMar>
        </w:tblPrEx>
        <w:trPr>
          <w:trHeight w:val="227" w:hRule="exact"/>
          <w:jc w:val="center"/>
        </w:trPr>
        <w:tc>
          <w:tcPr>
            <w:tcW w:w="5232"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hd w:val="clear" w:color="auto" w:fill="FFFFFF"/>
              <w:jc w:val="center"/>
              <w:rPr>
                <w:rFonts w:hint="default" w:ascii="宋体"/>
                <w:color w:val="000000"/>
                <w:kern w:val="0"/>
                <w:sz w:val="15"/>
                <w:szCs w:val="15"/>
                <w:shd w:val="clear" w:color="auto" w:fill="FFFFFF"/>
              </w:rPr>
            </w:pPr>
            <w:r>
              <w:rPr>
                <w:rFonts w:ascii="宋体"/>
                <w:color w:val="000000"/>
                <w:kern w:val="0"/>
                <w:sz w:val="15"/>
                <w:szCs w:val="15"/>
                <w:shd w:val="clear" w:color="auto" w:fill="FFFFFF"/>
              </w:rPr>
              <w:t>项目</w:t>
            </w:r>
          </w:p>
        </w:tc>
        <w:tc>
          <w:tcPr>
            <w:tcW w:w="1476" w:type="dxa"/>
            <w:vMerge w:val="restart"/>
            <w:tcBorders>
              <w:top w:val="single" w:color="000000" w:sz="4" w:space="0"/>
              <w:left w:val="nil"/>
              <w:right w:val="single" w:color="000000" w:sz="4" w:space="0"/>
            </w:tcBorders>
            <w:shd w:val="clear" w:color="auto" w:fill="FFFFFF"/>
            <w:vAlign w:val="center"/>
          </w:tcPr>
          <w:p>
            <w:pPr>
              <w:widowControl/>
              <w:shd w:val="clear" w:color="auto" w:fill="FFFFFF"/>
              <w:jc w:val="center"/>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本年收入合计</w:t>
            </w:r>
          </w:p>
        </w:tc>
        <w:tc>
          <w:tcPr>
            <w:tcW w:w="1476" w:type="dxa"/>
            <w:vMerge w:val="restart"/>
            <w:tcBorders>
              <w:top w:val="single" w:color="000000" w:sz="4" w:space="0"/>
              <w:left w:val="nil"/>
              <w:right w:val="single" w:color="000000" w:sz="4" w:space="0"/>
            </w:tcBorders>
            <w:shd w:val="clear" w:color="auto" w:fill="auto"/>
            <w:vAlign w:val="center"/>
          </w:tcPr>
          <w:p>
            <w:pPr>
              <w:widowControl/>
              <w:jc w:val="center"/>
              <w:rPr>
                <w:rFonts w:hint="default" w:ascii="宋体"/>
                <w:color w:val="000000"/>
                <w:kern w:val="0"/>
                <w:sz w:val="15"/>
                <w:szCs w:val="15"/>
              </w:rPr>
            </w:pPr>
            <w:r>
              <w:rPr>
                <w:rFonts w:ascii="宋体" w:hAnsi="宋体"/>
                <w:color w:val="000000"/>
                <w:kern w:val="0"/>
                <w:sz w:val="15"/>
                <w:szCs w:val="15"/>
              </w:rPr>
              <w:t>财政拨款收入</w:t>
            </w:r>
          </w:p>
        </w:tc>
        <w:tc>
          <w:tcPr>
            <w:tcW w:w="1166" w:type="dxa"/>
            <w:gridSpan w:val="2"/>
            <w:vMerge w:val="restart"/>
            <w:tcBorders>
              <w:top w:val="single" w:color="000000" w:sz="4" w:space="0"/>
              <w:left w:val="nil"/>
              <w:right w:val="single" w:color="000000" w:sz="4" w:space="0"/>
            </w:tcBorders>
            <w:shd w:val="clear" w:color="auto" w:fill="FFFFFF"/>
            <w:vAlign w:val="center"/>
          </w:tcPr>
          <w:p>
            <w:pPr>
              <w:widowControl/>
              <w:shd w:val="clear" w:color="auto" w:fill="FFFFFF"/>
              <w:jc w:val="center"/>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上级补助收入</w:t>
            </w:r>
          </w:p>
        </w:tc>
        <w:tc>
          <w:tcPr>
            <w:tcW w:w="840" w:type="dxa"/>
            <w:vMerge w:val="restart"/>
            <w:tcBorders>
              <w:top w:val="single" w:color="000000" w:sz="4" w:space="0"/>
              <w:left w:val="nil"/>
              <w:right w:val="single" w:color="000000" w:sz="4" w:space="0"/>
            </w:tcBorders>
            <w:shd w:val="clear" w:color="auto" w:fill="FFFFFF"/>
            <w:vAlign w:val="center"/>
          </w:tcPr>
          <w:p>
            <w:pPr>
              <w:widowControl/>
              <w:shd w:val="clear" w:color="auto" w:fill="FFFFFF"/>
              <w:jc w:val="center"/>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事业收入</w:t>
            </w:r>
          </w:p>
        </w:tc>
        <w:tc>
          <w:tcPr>
            <w:tcW w:w="930" w:type="dxa"/>
            <w:vMerge w:val="restart"/>
            <w:tcBorders>
              <w:top w:val="single" w:color="000000" w:sz="4" w:space="0"/>
              <w:left w:val="nil"/>
              <w:right w:val="single" w:color="000000" w:sz="4" w:space="0"/>
            </w:tcBorders>
            <w:shd w:val="clear" w:color="auto" w:fill="FFFFFF"/>
            <w:vAlign w:val="center"/>
          </w:tcPr>
          <w:p>
            <w:pPr>
              <w:widowControl/>
              <w:shd w:val="clear" w:color="auto" w:fill="FFFFFF"/>
              <w:jc w:val="center"/>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经营收入</w:t>
            </w:r>
          </w:p>
        </w:tc>
        <w:tc>
          <w:tcPr>
            <w:tcW w:w="1905" w:type="dxa"/>
            <w:vMerge w:val="restart"/>
            <w:tcBorders>
              <w:top w:val="single" w:color="000000" w:sz="4" w:space="0"/>
              <w:left w:val="nil"/>
              <w:right w:val="single" w:color="000000" w:sz="4" w:space="0"/>
            </w:tcBorders>
            <w:vAlign w:val="center"/>
          </w:tcPr>
          <w:p>
            <w:pPr>
              <w:widowControl/>
              <w:jc w:val="center"/>
              <w:rPr>
                <w:rFonts w:hint="default" w:ascii="宋体"/>
                <w:color w:val="000000"/>
                <w:kern w:val="0"/>
                <w:sz w:val="15"/>
                <w:szCs w:val="15"/>
              </w:rPr>
            </w:pPr>
            <w:r>
              <w:rPr>
                <w:rFonts w:ascii="宋体" w:hAnsi="宋体"/>
                <w:color w:val="000000"/>
                <w:kern w:val="0"/>
                <w:sz w:val="15"/>
                <w:szCs w:val="15"/>
              </w:rPr>
              <w:t>附属单位上缴收入</w:t>
            </w:r>
          </w:p>
        </w:tc>
        <w:tc>
          <w:tcPr>
            <w:tcW w:w="859" w:type="dxa"/>
            <w:vMerge w:val="restart"/>
            <w:tcBorders>
              <w:top w:val="single" w:color="000000" w:sz="4" w:space="0"/>
              <w:left w:val="nil"/>
              <w:right w:val="single" w:color="000000" w:sz="4" w:space="0"/>
            </w:tcBorders>
            <w:vAlign w:val="center"/>
          </w:tcPr>
          <w:p>
            <w:pPr>
              <w:widowControl/>
              <w:jc w:val="center"/>
              <w:rPr>
                <w:rFonts w:hint="default" w:ascii="宋体"/>
                <w:color w:val="000000"/>
                <w:kern w:val="0"/>
                <w:sz w:val="15"/>
                <w:szCs w:val="15"/>
              </w:rPr>
            </w:pPr>
            <w:r>
              <w:rPr>
                <w:rFonts w:ascii="宋体" w:hAnsi="宋体"/>
                <w:color w:val="000000"/>
                <w:kern w:val="0"/>
                <w:sz w:val="15"/>
                <w:szCs w:val="15"/>
              </w:rPr>
              <w:t>其他收入</w:t>
            </w:r>
          </w:p>
        </w:tc>
      </w:tr>
      <w:tr>
        <w:tblPrEx>
          <w:tblCellMar>
            <w:top w:w="0" w:type="dxa"/>
            <w:left w:w="108" w:type="dxa"/>
            <w:bottom w:w="0" w:type="dxa"/>
            <w:right w:w="108" w:type="dxa"/>
          </w:tblCellMar>
        </w:tblPrEx>
        <w:trPr>
          <w:trHeight w:val="227" w:hRule="exact"/>
          <w:jc w:val="center"/>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hd w:val="clear" w:color="auto" w:fill="FFFFFF"/>
              <w:jc w:val="center"/>
              <w:rPr>
                <w:rFonts w:hint="default" w:ascii="宋体" w:hAnsi="宋体"/>
                <w:color w:val="000000"/>
                <w:kern w:val="0"/>
                <w:sz w:val="15"/>
                <w:szCs w:val="15"/>
                <w:shd w:val="clear" w:color="auto" w:fill="FFFFFF"/>
              </w:rPr>
            </w:pPr>
            <w:r>
              <w:rPr>
                <w:rFonts w:ascii="宋体" w:hAnsi="宋体"/>
                <w:color w:val="000000"/>
                <w:kern w:val="0"/>
                <w:sz w:val="15"/>
                <w:szCs w:val="15"/>
                <w:shd w:val="clear" w:color="auto" w:fill="FFFFFF"/>
              </w:rPr>
              <w:t>功能分类</w:t>
            </w:r>
          </w:p>
          <w:p>
            <w:pPr>
              <w:widowControl/>
              <w:shd w:val="clear" w:color="auto" w:fill="FFFFFF"/>
              <w:jc w:val="center"/>
              <w:rPr>
                <w:rFonts w:hint="default" w:ascii="宋体" w:hAnsi="宋体"/>
                <w:color w:val="000000"/>
                <w:kern w:val="0"/>
                <w:sz w:val="15"/>
                <w:szCs w:val="15"/>
                <w:shd w:val="clear" w:color="auto" w:fill="FFFFFF"/>
              </w:rPr>
            </w:pPr>
            <w:r>
              <w:rPr>
                <w:rFonts w:ascii="宋体" w:hAnsi="宋体"/>
                <w:color w:val="000000"/>
                <w:kern w:val="0"/>
                <w:sz w:val="15"/>
                <w:szCs w:val="15"/>
                <w:shd w:val="clear" w:color="auto" w:fill="FFFFFF"/>
              </w:rPr>
              <w:t>科目编码</w:t>
            </w:r>
          </w:p>
        </w:tc>
        <w:tc>
          <w:tcPr>
            <w:tcW w:w="4176" w:type="dxa"/>
            <w:gridSpan w:val="5"/>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hAnsi="宋体"/>
                <w:color w:val="000000"/>
                <w:kern w:val="0"/>
                <w:sz w:val="15"/>
                <w:szCs w:val="15"/>
                <w:shd w:val="clear" w:color="auto" w:fill="FFFFFF"/>
              </w:rPr>
            </w:pPr>
            <w:r>
              <w:rPr>
                <w:rFonts w:ascii="宋体" w:hAnsi="宋体"/>
                <w:color w:val="000000"/>
                <w:kern w:val="0"/>
                <w:sz w:val="15"/>
                <w:szCs w:val="15"/>
                <w:shd w:val="clear" w:color="auto" w:fill="FFFFFF"/>
              </w:rPr>
              <w:t>科目名称</w:t>
            </w:r>
          </w:p>
        </w:tc>
        <w:tc>
          <w:tcPr>
            <w:tcW w:w="1476" w:type="dxa"/>
            <w:vMerge w:val="continue"/>
            <w:tcBorders>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hAnsi="宋体"/>
                <w:color w:val="000000"/>
                <w:kern w:val="0"/>
                <w:sz w:val="15"/>
                <w:szCs w:val="15"/>
                <w:shd w:val="clear" w:color="auto" w:fill="FFFFFF"/>
              </w:rPr>
            </w:pPr>
          </w:p>
        </w:tc>
        <w:tc>
          <w:tcPr>
            <w:tcW w:w="1476" w:type="dxa"/>
            <w:vMerge w:val="continue"/>
            <w:tcBorders>
              <w:left w:val="nil"/>
              <w:bottom w:val="single" w:color="000000" w:sz="4" w:space="0"/>
              <w:right w:val="single" w:color="000000" w:sz="4" w:space="0"/>
            </w:tcBorders>
            <w:shd w:val="clear" w:color="auto" w:fill="auto"/>
            <w:vAlign w:val="center"/>
          </w:tcPr>
          <w:p>
            <w:pPr>
              <w:widowControl/>
              <w:jc w:val="center"/>
              <w:rPr>
                <w:rFonts w:hint="default" w:ascii="宋体" w:hAnsi="宋体"/>
                <w:color w:val="000000"/>
                <w:kern w:val="0"/>
                <w:sz w:val="15"/>
                <w:szCs w:val="15"/>
              </w:rPr>
            </w:pPr>
          </w:p>
        </w:tc>
        <w:tc>
          <w:tcPr>
            <w:tcW w:w="1166" w:type="dxa"/>
            <w:gridSpan w:val="2"/>
            <w:vMerge w:val="continue"/>
            <w:tcBorders>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hAnsi="宋体"/>
                <w:color w:val="000000"/>
                <w:kern w:val="0"/>
                <w:sz w:val="15"/>
                <w:szCs w:val="15"/>
                <w:shd w:val="clear" w:color="auto" w:fill="FFFFFF"/>
              </w:rPr>
            </w:pPr>
          </w:p>
        </w:tc>
        <w:tc>
          <w:tcPr>
            <w:tcW w:w="840" w:type="dxa"/>
            <w:vMerge w:val="continue"/>
            <w:tcBorders>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hAnsi="宋体"/>
                <w:color w:val="000000"/>
                <w:kern w:val="0"/>
                <w:sz w:val="15"/>
                <w:szCs w:val="15"/>
                <w:shd w:val="clear" w:color="auto" w:fill="FFFFFF"/>
              </w:rPr>
            </w:pPr>
          </w:p>
        </w:tc>
        <w:tc>
          <w:tcPr>
            <w:tcW w:w="930" w:type="dxa"/>
            <w:vMerge w:val="continue"/>
            <w:tcBorders>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hAnsi="宋体"/>
                <w:color w:val="000000"/>
                <w:kern w:val="0"/>
                <w:sz w:val="15"/>
                <w:szCs w:val="15"/>
                <w:shd w:val="clear" w:color="auto" w:fill="FFFFFF"/>
              </w:rPr>
            </w:pPr>
          </w:p>
        </w:tc>
        <w:tc>
          <w:tcPr>
            <w:tcW w:w="1905" w:type="dxa"/>
            <w:vMerge w:val="continue"/>
            <w:tcBorders>
              <w:left w:val="nil"/>
              <w:bottom w:val="single" w:color="000000" w:sz="4" w:space="0"/>
              <w:right w:val="single" w:color="000000" w:sz="4" w:space="0"/>
            </w:tcBorders>
            <w:vAlign w:val="center"/>
          </w:tcPr>
          <w:p>
            <w:pPr>
              <w:widowControl/>
              <w:jc w:val="center"/>
              <w:rPr>
                <w:rFonts w:hint="default" w:ascii="宋体" w:hAnsi="宋体"/>
                <w:color w:val="000000"/>
                <w:kern w:val="0"/>
                <w:sz w:val="15"/>
                <w:szCs w:val="15"/>
              </w:rPr>
            </w:pPr>
          </w:p>
        </w:tc>
        <w:tc>
          <w:tcPr>
            <w:tcW w:w="859" w:type="dxa"/>
            <w:vMerge w:val="continue"/>
            <w:tcBorders>
              <w:left w:val="nil"/>
              <w:bottom w:val="single" w:color="000000" w:sz="4" w:space="0"/>
              <w:right w:val="single" w:color="000000" w:sz="4" w:space="0"/>
            </w:tcBorders>
            <w:vAlign w:val="center"/>
          </w:tcPr>
          <w:p>
            <w:pPr>
              <w:widowControl/>
              <w:jc w:val="center"/>
              <w:rPr>
                <w:rFonts w:hint="default" w:ascii="宋体" w:hAnsi="宋体"/>
                <w:color w:val="000000"/>
                <w:kern w:val="0"/>
                <w:sz w:val="15"/>
                <w:szCs w:val="15"/>
              </w:rPr>
            </w:pPr>
          </w:p>
        </w:tc>
      </w:tr>
      <w:tr>
        <w:tblPrEx>
          <w:tblCellMar>
            <w:top w:w="0" w:type="dxa"/>
            <w:left w:w="108" w:type="dxa"/>
            <w:bottom w:w="0" w:type="dxa"/>
            <w:right w:w="108" w:type="dxa"/>
          </w:tblCellMar>
        </w:tblPrEx>
        <w:trPr>
          <w:trHeight w:val="227" w:hRule="exact"/>
          <w:jc w:val="center"/>
        </w:trPr>
        <w:tc>
          <w:tcPr>
            <w:tcW w:w="5232" w:type="dxa"/>
            <w:gridSpan w:val="7"/>
            <w:tcBorders>
              <w:top w:val="nil"/>
              <w:left w:val="single" w:color="000000" w:sz="4" w:space="0"/>
              <w:bottom w:val="single" w:color="000000" w:sz="4" w:space="0"/>
              <w:right w:val="single" w:color="000000" w:sz="4" w:space="0"/>
            </w:tcBorders>
            <w:shd w:val="clear" w:color="auto" w:fill="FFFFFF"/>
            <w:vAlign w:val="center"/>
          </w:tcPr>
          <w:p>
            <w:pPr>
              <w:widowControl/>
              <w:shd w:val="clear" w:color="auto" w:fill="FFFFFF"/>
              <w:jc w:val="center"/>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栏次</w:t>
            </w:r>
          </w:p>
        </w:tc>
        <w:tc>
          <w:tcPr>
            <w:tcW w:w="1476" w:type="dxa"/>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1</w:t>
            </w:r>
          </w:p>
        </w:tc>
        <w:tc>
          <w:tcPr>
            <w:tcW w:w="1476" w:type="dxa"/>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2</w:t>
            </w:r>
          </w:p>
        </w:tc>
        <w:tc>
          <w:tcPr>
            <w:tcW w:w="1166" w:type="dxa"/>
            <w:gridSpan w:val="2"/>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3</w:t>
            </w:r>
          </w:p>
        </w:tc>
        <w:tc>
          <w:tcPr>
            <w:tcW w:w="840" w:type="dxa"/>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4</w:t>
            </w:r>
          </w:p>
        </w:tc>
        <w:tc>
          <w:tcPr>
            <w:tcW w:w="930" w:type="dxa"/>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5</w:t>
            </w:r>
          </w:p>
        </w:tc>
        <w:tc>
          <w:tcPr>
            <w:tcW w:w="1905" w:type="dxa"/>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6</w:t>
            </w:r>
          </w:p>
        </w:tc>
        <w:tc>
          <w:tcPr>
            <w:tcW w:w="859" w:type="dxa"/>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7</w:t>
            </w:r>
          </w:p>
        </w:tc>
      </w:tr>
      <w:tr>
        <w:tblPrEx>
          <w:tblCellMar>
            <w:top w:w="0" w:type="dxa"/>
            <w:left w:w="108" w:type="dxa"/>
            <w:bottom w:w="0" w:type="dxa"/>
            <w:right w:w="108" w:type="dxa"/>
          </w:tblCellMar>
        </w:tblPrEx>
        <w:trPr>
          <w:trHeight w:val="227" w:hRule="exact"/>
          <w:jc w:val="center"/>
        </w:trPr>
        <w:tc>
          <w:tcPr>
            <w:tcW w:w="5232" w:type="dxa"/>
            <w:gridSpan w:val="7"/>
            <w:tcBorders>
              <w:top w:val="nil"/>
              <w:left w:val="single" w:color="000000" w:sz="4" w:space="0"/>
              <w:bottom w:val="single" w:color="000000" w:sz="4" w:space="0"/>
              <w:right w:val="single" w:color="000000" w:sz="4" w:space="0"/>
            </w:tcBorders>
            <w:shd w:val="clear" w:color="auto" w:fill="auto"/>
            <w:vAlign w:val="center"/>
          </w:tcPr>
          <w:p>
            <w:pPr>
              <w:widowControl/>
              <w:shd w:val="clear" w:color="auto" w:fill="FFFFFF"/>
              <w:jc w:val="center"/>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合计</w:t>
            </w: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r>
              <w:rPr>
                <w:rFonts w:hint="default" w:ascii="宋体"/>
                <w:color w:val="000000"/>
                <w:kern w:val="0"/>
                <w:sz w:val="15"/>
                <w:szCs w:val="15"/>
              </w:rPr>
              <w:t>59223.93</w:t>
            </w: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r>
              <w:rPr>
                <w:rFonts w:hint="default" w:ascii="宋体"/>
                <w:color w:val="000000"/>
                <w:kern w:val="0"/>
                <w:sz w:val="15"/>
                <w:szCs w:val="15"/>
              </w:rPr>
              <w:t>59223.93</w:t>
            </w:r>
          </w:p>
        </w:tc>
        <w:tc>
          <w:tcPr>
            <w:tcW w:w="1166" w:type="dxa"/>
            <w:gridSpan w:val="2"/>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4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93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905"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59"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27" w:hRule="exact"/>
          <w:jc w:val="center"/>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2050303</w:t>
            </w:r>
          </w:p>
        </w:tc>
        <w:tc>
          <w:tcPr>
            <w:tcW w:w="4176"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 xml:space="preserve">  技校教育</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1,152.50</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1,152.50</w:t>
            </w:r>
          </w:p>
        </w:tc>
        <w:tc>
          <w:tcPr>
            <w:tcW w:w="1166" w:type="dxa"/>
            <w:gridSpan w:val="2"/>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4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93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905"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59"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27" w:hRule="exact"/>
          <w:jc w:val="center"/>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2050999</w:t>
            </w:r>
          </w:p>
        </w:tc>
        <w:tc>
          <w:tcPr>
            <w:tcW w:w="4176"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 xml:space="preserve">  其他教育费附加安排的支出</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4,440.13</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4,440.13</w:t>
            </w:r>
          </w:p>
        </w:tc>
        <w:tc>
          <w:tcPr>
            <w:tcW w:w="1166" w:type="dxa"/>
            <w:gridSpan w:val="2"/>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4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93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905"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59"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27" w:hRule="exact"/>
          <w:jc w:val="center"/>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2080101</w:t>
            </w:r>
          </w:p>
        </w:tc>
        <w:tc>
          <w:tcPr>
            <w:tcW w:w="4176"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 xml:space="preserve">  行政运行</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3,662.96</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3,662.96</w:t>
            </w:r>
          </w:p>
        </w:tc>
        <w:tc>
          <w:tcPr>
            <w:tcW w:w="1166" w:type="dxa"/>
            <w:gridSpan w:val="2"/>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4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93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905"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59"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27" w:hRule="exact"/>
          <w:jc w:val="center"/>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2080102</w:t>
            </w:r>
          </w:p>
        </w:tc>
        <w:tc>
          <w:tcPr>
            <w:tcW w:w="4176"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 xml:space="preserve">  一般行政管理事务</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308.78</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308.78</w:t>
            </w:r>
          </w:p>
        </w:tc>
        <w:tc>
          <w:tcPr>
            <w:tcW w:w="1166" w:type="dxa"/>
            <w:gridSpan w:val="2"/>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4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93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905"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59"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27" w:hRule="exact"/>
          <w:jc w:val="center"/>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2080103</w:t>
            </w:r>
          </w:p>
        </w:tc>
        <w:tc>
          <w:tcPr>
            <w:tcW w:w="4176"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 xml:space="preserve">  机关服务</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58.87</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58.87</w:t>
            </w:r>
          </w:p>
        </w:tc>
        <w:tc>
          <w:tcPr>
            <w:tcW w:w="1166" w:type="dxa"/>
            <w:gridSpan w:val="2"/>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4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93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905"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59"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27" w:hRule="exact"/>
          <w:jc w:val="center"/>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2080105</w:t>
            </w:r>
          </w:p>
        </w:tc>
        <w:tc>
          <w:tcPr>
            <w:tcW w:w="4176"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劳动保障监察</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20.19</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20.19</w:t>
            </w:r>
          </w:p>
        </w:tc>
        <w:tc>
          <w:tcPr>
            <w:tcW w:w="1166" w:type="dxa"/>
            <w:gridSpan w:val="2"/>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4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93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905"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59"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27" w:hRule="exact"/>
          <w:jc w:val="center"/>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2080107</w:t>
            </w:r>
          </w:p>
        </w:tc>
        <w:tc>
          <w:tcPr>
            <w:tcW w:w="4176"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社会保险业务管理事务</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6,857.22</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6,857.22</w:t>
            </w:r>
          </w:p>
        </w:tc>
        <w:tc>
          <w:tcPr>
            <w:tcW w:w="1166" w:type="dxa"/>
            <w:gridSpan w:val="2"/>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4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93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905"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59"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27" w:hRule="exact"/>
          <w:jc w:val="center"/>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2080109</w:t>
            </w:r>
          </w:p>
        </w:tc>
        <w:tc>
          <w:tcPr>
            <w:tcW w:w="4176"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社会保险经办机构</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2,561.63</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2,561.63</w:t>
            </w:r>
          </w:p>
        </w:tc>
        <w:tc>
          <w:tcPr>
            <w:tcW w:w="1166" w:type="dxa"/>
            <w:gridSpan w:val="2"/>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4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93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905"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59"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27" w:hRule="exact"/>
          <w:jc w:val="center"/>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2080111</w:t>
            </w:r>
          </w:p>
        </w:tc>
        <w:tc>
          <w:tcPr>
            <w:tcW w:w="4176"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公共就业服务和职业技能鉴定机构</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5,427.81</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5,427.81</w:t>
            </w:r>
          </w:p>
        </w:tc>
        <w:tc>
          <w:tcPr>
            <w:tcW w:w="1166" w:type="dxa"/>
            <w:gridSpan w:val="2"/>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4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93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905"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59"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27" w:hRule="exact"/>
          <w:jc w:val="center"/>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2080116</w:t>
            </w:r>
          </w:p>
        </w:tc>
        <w:tc>
          <w:tcPr>
            <w:tcW w:w="4176"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引进人才费用</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3,273.35</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3,273.35</w:t>
            </w:r>
          </w:p>
        </w:tc>
        <w:tc>
          <w:tcPr>
            <w:tcW w:w="1166" w:type="dxa"/>
            <w:gridSpan w:val="2"/>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4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93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905"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59"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27" w:hRule="exact"/>
          <w:jc w:val="center"/>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2080199</w:t>
            </w:r>
          </w:p>
        </w:tc>
        <w:tc>
          <w:tcPr>
            <w:tcW w:w="4176"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其他人力资源和社会保障管理事务支出</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12,581.85</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12,581.85</w:t>
            </w:r>
          </w:p>
        </w:tc>
        <w:tc>
          <w:tcPr>
            <w:tcW w:w="1166" w:type="dxa"/>
            <w:gridSpan w:val="2"/>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4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93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905"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59"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27" w:hRule="exact"/>
          <w:jc w:val="center"/>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2080501</w:t>
            </w:r>
          </w:p>
        </w:tc>
        <w:tc>
          <w:tcPr>
            <w:tcW w:w="4176"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行政单位离退休</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100.01</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100.01</w:t>
            </w:r>
          </w:p>
        </w:tc>
        <w:tc>
          <w:tcPr>
            <w:tcW w:w="1166" w:type="dxa"/>
            <w:gridSpan w:val="2"/>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4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93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905"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59"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27" w:hRule="exact"/>
          <w:jc w:val="center"/>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2080502</w:t>
            </w:r>
          </w:p>
        </w:tc>
        <w:tc>
          <w:tcPr>
            <w:tcW w:w="4176"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事业单位离退休</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161.92</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161.92</w:t>
            </w:r>
          </w:p>
        </w:tc>
        <w:tc>
          <w:tcPr>
            <w:tcW w:w="1166" w:type="dxa"/>
            <w:gridSpan w:val="2"/>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4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93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905"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59"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27" w:hRule="exact"/>
          <w:jc w:val="center"/>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2080505</w:t>
            </w:r>
          </w:p>
        </w:tc>
        <w:tc>
          <w:tcPr>
            <w:tcW w:w="4176"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机关事业单位基本养老保险缴费支出</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1,019.93</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1,019.93</w:t>
            </w:r>
          </w:p>
        </w:tc>
        <w:tc>
          <w:tcPr>
            <w:tcW w:w="1166" w:type="dxa"/>
            <w:gridSpan w:val="2"/>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4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93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905"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59"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27" w:hRule="exact"/>
          <w:jc w:val="center"/>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2080506</w:t>
            </w:r>
          </w:p>
        </w:tc>
        <w:tc>
          <w:tcPr>
            <w:tcW w:w="4176"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机关事业单位职业年金缴费支出</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57.44</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57.44</w:t>
            </w:r>
          </w:p>
        </w:tc>
        <w:tc>
          <w:tcPr>
            <w:tcW w:w="1166" w:type="dxa"/>
            <w:gridSpan w:val="2"/>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4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93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905"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59"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27" w:hRule="exact"/>
          <w:jc w:val="center"/>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2080508</w:t>
            </w:r>
          </w:p>
        </w:tc>
        <w:tc>
          <w:tcPr>
            <w:tcW w:w="4176"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对机关事业单位职业年金的补助</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17.15</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17.15</w:t>
            </w:r>
          </w:p>
        </w:tc>
        <w:tc>
          <w:tcPr>
            <w:tcW w:w="1166" w:type="dxa"/>
            <w:gridSpan w:val="2"/>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4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93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905"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59"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27" w:hRule="exact"/>
          <w:jc w:val="center"/>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2080601</w:t>
            </w:r>
          </w:p>
        </w:tc>
        <w:tc>
          <w:tcPr>
            <w:tcW w:w="4176"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企业关闭破产补助</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1,391.72</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1,391.72</w:t>
            </w:r>
          </w:p>
        </w:tc>
        <w:tc>
          <w:tcPr>
            <w:tcW w:w="1166" w:type="dxa"/>
            <w:gridSpan w:val="2"/>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4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93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905"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59"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27" w:hRule="exact"/>
          <w:jc w:val="center"/>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2080704</w:t>
            </w:r>
          </w:p>
        </w:tc>
        <w:tc>
          <w:tcPr>
            <w:tcW w:w="4176"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社会保险补贴</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7.40</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7.40</w:t>
            </w:r>
          </w:p>
        </w:tc>
        <w:tc>
          <w:tcPr>
            <w:tcW w:w="1166" w:type="dxa"/>
            <w:gridSpan w:val="2"/>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4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93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905"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59"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27" w:hRule="exact"/>
          <w:jc w:val="center"/>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2080705</w:t>
            </w:r>
          </w:p>
        </w:tc>
        <w:tc>
          <w:tcPr>
            <w:tcW w:w="4176"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公益性岗位补贴</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26.37</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26.37</w:t>
            </w:r>
          </w:p>
        </w:tc>
        <w:tc>
          <w:tcPr>
            <w:tcW w:w="1166" w:type="dxa"/>
            <w:gridSpan w:val="2"/>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4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93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905"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59"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27" w:hRule="exact"/>
          <w:jc w:val="center"/>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2080712</w:t>
            </w:r>
          </w:p>
        </w:tc>
        <w:tc>
          <w:tcPr>
            <w:tcW w:w="4176"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高技能人才培养补助</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540.48</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540.48</w:t>
            </w:r>
          </w:p>
        </w:tc>
        <w:tc>
          <w:tcPr>
            <w:tcW w:w="1166" w:type="dxa"/>
            <w:gridSpan w:val="2"/>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4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93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905"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59"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27" w:hRule="exact"/>
          <w:jc w:val="center"/>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2080799</w:t>
            </w:r>
          </w:p>
        </w:tc>
        <w:tc>
          <w:tcPr>
            <w:tcW w:w="4176"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其他就业补助支出</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12,735.38</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12,735.38</w:t>
            </w:r>
          </w:p>
        </w:tc>
        <w:tc>
          <w:tcPr>
            <w:tcW w:w="1166" w:type="dxa"/>
            <w:gridSpan w:val="2"/>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4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93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905"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59"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27" w:hRule="exact"/>
          <w:jc w:val="center"/>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2080802</w:t>
            </w:r>
          </w:p>
        </w:tc>
        <w:tc>
          <w:tcPr>
            <w:tcW w:w="4176"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伤残抚恤</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73.49</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73.49</w:t>
            </w:r>
          </w:p>
        </w:tc>
        <w:tc>
          <w:tcPr>
            <w:tcW w:w="1166" w:type="dxa"/>
            <w:gridSpan w:val="2"/>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4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93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905"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59"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27" w:hRule="exact"/>
          <w:jc w:val="center"/>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2080899</w:t>
            </w:r>
          </w:p>
        </w:tc>
        <w:tc>
          <w:tcPr>
            <w:tcW w:w="4176"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其他优抚支出</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65.66</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65.66</w:t>
            </w:r>
          </w:p>
        </w:tc>
        <w:tc>
          <w:tcPr>
            <w:tcW w:w="1166" w:type="dxa"/>
            <w:gridSpan w:val="2"/>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4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93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905"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59"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27" w:hRule="exact"/>
          <w:jc w:val="center"/>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2089999</w:t>
            </w:r>
          </w:p>
        </w:tc>
        <w:tc>
          <w:tcPr>
            <w:tcW w:w="4176"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其他社会保障和就业支出</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292.44</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292.44</w:t>
            </w:r>
          </w:p>
        </w:tc>
        <w:tc>
          <w:tcPr>
            <w:tcW w:w="1166" w:type="dxa"/>
            <w:gridSpan w:val="2"/>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4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93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905"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59"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27" w:hRule="exact"/>
          <w:jc w:val="center"/>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2101101</w:t>
            </w:r>
          </w:p>
        </w:tc>
        <w:tc>
          <w:tcPr>
            <w:tcW w:w="4176"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行政单位医疗</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122.50</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122.50</w:t>
            </w:r>
          </w:p>
        </w:tc>
        <w:tc>
          <w:tcPr>
            <w:tcW w:w="1166" w:type="dxa"/>
            <w:gridSpan w:val="2"/>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4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93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905"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59"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27" w:hRule="exact"/>
          <w:jc w:val="center"/>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2101102</w:t>
            </w:r>
          </w:p>
        </w:tc>
        <w:tc>
          <w:tcPr>
            <w:tcW w:w="4176"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事业单位医疗</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423.81</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423.81</w:t>
            </w:r>
          </w:p>
        </w:tc>
        <w:tc>
          <w:tcPr>
            <w:tcW w:w="1166" w:type="dxa"/>
            <w:gridSpan w:val="2"/>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4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93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905"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59"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27" w:hRule="exact"/>
          <w:jc w:val="center"/>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2119999</w:t>
            </w:r>
          </w:p>
        </w:tc>
        <w:tc>
          <w:tcPr>
            <w:tcW w:w="4176"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其他节能环保支出</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63.60</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63.60</w:t>
            </w:r>
          </w:p>
        </w:tc>
        <w:tc>
          <w:tcPr>
            <w:tcW w:w="1166" w:type="dxa"/>
            <w:gridSpan w:val="2"/>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4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93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905"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59"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27" w:hRule="exact"/>
          <w:jc w:val="center"/>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2210201</w:t>
            </w:r>
          </w:p>
        </w:tc>
        <w:tc>
          <w:tcPr>
            <w:tcW w:w="4176"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住房公积金</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1,440.51</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1,440.51</w:t>
            </w:r>
          </w:p>
        </w:tc>
        <w:tc>
          <w:tcPr>
            <w:tcW w:w="1166" w:type="dxa"/>
            <w:gridSpan w:val="2"/>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4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93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905"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59"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27" w:hRule="exact"/>
          <w:jc w:val="center"/>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2210203</w:t>
            </w:r>
          </w:p>
        </w:tc>
        <w:tc>
          <w:tcPr>
            <w:tcW w:w="4176"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购房补贴</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338.80</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338.80</w:t>
            </w:r>
          </w:p>
        </w:tc>
        <w:tc>
          <w:tcPr>
            <w:tcW w:w="1166" w:type="dxa"/>
            <w:gridSpan w:val="2"/>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4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93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905"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859"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bl>
    <w:p>
      <w:pPr>
        <w:widowControl/>
        <w:spacing w:line="560" w:lineRule="atLeast"/>
        <w:jc w:val="left"/>
        <w:rPr>
          <w:rFonts w:ascii="宋体" w:hAnsi="宋体" w:cs="宋体"/>
          <w:kern w:val="0"/>
          <w:sz w:val="15"/>
          <w:szCs w:val="15"/>
        </w:rPr>
      </w:pPr>
      <w:r>
        <w:rPr>
          <w:rFonts w:ascii="宋体" w:hAnsi="宋体" w:cs="宋体"/>
          <w:kern w:val="0"/>
          <w:sz w:val="15"/>
          <w:szCs w:val="15"/>
        </w:rPr>
        <w:t>注：1.本表反映部门本年度取得的各项收入情况。2.本套报表金额单位转换时可能存在尾数误差。3.如本表为空，则我部门本年度无此类资金收支余。</w:t>
      </w:r>
    </w:p>
    <w:p>
      <w:pPr>
        <w:widowControl/>
        <w:spacing w:line="560" w:lineRule="atLeast"/>
        <w:jc w:val="left"/>
        <w:rPr>
          <w:rFonts w:ascii="仿宋_GB2312" w:hAnsi="宋体" w:eastAsia="仿宋_GB2312"/>
          <w:kern w:val="0"/>
          <w:sz w:val="15"/>
          <w:szCs w:val="15"/>
        </w:rPr>
      </w:pPr>
    </w:p>
    <w:p>
      <w:pPr>
        <w:widowControl/>
        <w:spacing w:line="560" w:lineRule="atLeast"/>
        <w:jc w:val="left"/>
        <w:rPr>
          <w:rFonts w:hint="default" w:ascii="仿宋_GB2312" w:hAnsi="宋体" w:eastAsia="仿宋_GB2312"/>
          <w:kern w:val="0"/>
          <w:sz w:val="28"/>
          <w:szCs w:val="28"/>
        </w:rPr>
      </w:pPr>
      <w:r>
        <w:rPr>
          <w:rFonts w:ascii="仿宋_GB2312" w:hAnsi="宋体" w:eastAsia="仿宋_GB2312"/>
          <w:kern w:val="0"/>
          <w:sz w:val="15"/>
          <w:szCs w:val="15"/>
        </w:rPr>
        <w:t>附件1-3</w:t>
      </w:r>
      <w:r>
        <w:rPr>
          <w:rFonts w:hint="eastAsia" w:ascii="仿宋_GB2312" w:hAnsi="宋体" w:eastAsia="仿宋_GB2312"/>
          <w:kern w:val="0"/>
          <w:sz w:val="24"/>
          <w:lang w:val="en-US" w:eastAsia="zh-CN"/>
        </w:rPr>
        <w:t xml:space="preserve">                                              </w:t>
      </w:r>
      <w:r>
        <w:rPr>
          <w:rFonts w:ascii="宋体" w:hAnsi="宋体"/>
          <w:b/>
          <w:color w:val="000000"/>
          <w:kern w:val="0"/>
          <w:sz w:val="28"/>
          <w:szCs w:val="28"/>
          <w:shd w:val="clear" w:color="auto" w:fill="FFFFFF"/>
        </w:rPr>
        <w:t>支出决算表</w:t>
      </w:r>
    </w:p>
    <w:tbl>
      <w:tblPr>
        <w:tblStyle w:val="5"/>
        <w:tblW w:w="13897" w:type="dxa"/>
        <w:jc w:val="center"/>
        <w:tblLayout w:type="fixed"/>
        <w:tblCellMar>
          <w:top w:w="0" w:type="dxa"/>
          <w:left w:w="108" w:type="dxa"/>
          <w:bottom w:w="0" w:type="dxa"/>
          <w:right w:w="108" w:type="dxa"/>
        </w:tblCellMar>
      </w:tblPr>
      <w:tblGrid>
        <w:gridCol w:w="846"/>
        <w:gridCol w:w="222"/>
        <w:gridCol w:w="1393"/>
        <w:gridCol w:w="1390"/>
        <w:gridCol w:w="1393"/>
        <w:gridCol w:w="1476"/>
        <w:gridCol w:w="1103"/>
        <w:gridCol w:w="1214"/>
        <w:gridCol w:w="1476"/>
        <w:gridCol w:w="1056"/>
        <w:gridCol w:w="2106"/>
        <w:gridCol w:w="222"/>
      </w:tblGrid>
      <w:tr>
        <w:tblPrEx>
          <w:tblCellMar>
            <w:top w:w="0" w:type="dxa"/>
            <w:left w:w="108" w:type="dxa"/>
            <w:bottom w:w="0" w:type="dxa"/>
            <w:right w:w="108" w:type="dxa"/>
          </w:tblCellMar>
        </w:tblPrEx>
        <w:trPr>
          <w:trHeight w:val="227" w:hRule="exact"/>
          <w:jc w:val="center"/>
        </w:trPr>
        <w:tc>
          <w:tcPr>
            <w:tcW w:w="846"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222"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1393"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1390"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1393"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1476"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1103"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1214"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1476"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3384" w:type="dxa"/>
            <w:gridSpan w:val="3"/>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 xml:space="preserve">                   公开03表</w:t>
            </w:r>
          </w:p>
        </w:tc>
      </w:tr>
      <w:tr>
        <w:tblPrEx>
          <w:tblCellMar>
            <w:top w:w="0" w:type="dxa"/>
            <w:left w:w="108" w:type="dxa"/>
            <w:bottom w:w="0" w:type="dxa"/>
            <w:right w:w="108" w:type="dxa"/>
          </w:tblCellMar>
        </w:tblPrEx>
        <w:trPr>
          <w:trHeight w:val="227" w:hRule="exact"/>
          <w:jc w:val="center"/>
        </w:trPr>
        <w:tc>
          <w:tcPr>
            <w:tcW w:w="846" w:type="dxa"/>
            <w:tcBorders>
              <w:top w:val="nil"/>
              <w:left w:val="nil"/>
              <w:bottom w:val="nil"/>
              <w:right w:val="nil"/>
            </w:tcBorders>
            <w:shd w:val="clear" w:color="auto" w:fill="FFFFFF"/>
            <w:vAlign w:val="bottom"/>
          </w:tcPr>
          <w:p>
            <w:pPr>
              <w:widowControl/>
              <w:shd w:val="clear" w:color="auto" w:fill="FFFFFF"/>
              <w:jc w:val="left"/>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部门：</w:t>
            </w:r>
          </w:p>
        </w:tc>
        <w:tc>
          <w:tcPr>
            <w:tcW w:w="222"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1393"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1390"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1393"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1476"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1103" w:type="dxa"/>
            <w:tcBorders>
              <w:top w:val="nil"/>
              <w:left w:val="nil"/>
              <w:bottom w:val="nil"/>
              <w:right w:val="nil"/>
            </w:tcBorders>
            <w:shd w:val="clear" w:color="auto" w:fill="FFFFFF"/>
            <w:vAlign w:val="center"/>
          </w:tcPr>
          <w:p>
            <w:pPr>
              <w:widowControl/>
              <w:shd w:val="clear" w:color="auto" w:fill="FFFFFF"/>
              <w:jc w:val="center"/>
              <w:rPr>
                <w:rFonts w:hint="default" w:ascii="宋体"/>
                <w:color w:val="000000"/>
                <w:kern w:val="0"/>
                <w:sz w:val="15"/>
                <w:szCs w:val="15"/>
                <w:shd w:val="clear" w:color="auto" w:fill="FFFFFF"/>
              </w:rPr>
            </w:pPr>
          </w:p>
        </w:tc>
        <w:tc>
          <w:tcPr>
            <w:tcW w:w="1214"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1476"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p>
        </w:tc>
        <w:tc>
          <w:tcPr>
            <w:tcW w:w="3384" w:type="dxa"/>
            <w:gridSpan w:val="3"/>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 xml:space="preserve">                单位：万元</w:t>
            </w:r>
          </w:p>
        </w:tc>
      </w:tr>
      <w:tr>
        <w:tblPrEx>
          <w:tblCellMar>
            <w:top w:w="0" w:type="dxa"/>
            <w:left w:w="108" w:type="dxa"/>
            <w:bottom w:w="0" w:type="dxa"/>
            <w:right w:w="108" w:type="dxa"/>
          </w:tblCellMar>
        </w:tblPrEx>
        <w:trPr>
          <w:trHeight w:val="227" w:hRule="exact"/>
          <w:jc w:val="center"/>
        </w:trPr>
        <w:tc>
          <w:tcPr>
            <w:tcW w:w="5244"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hd w:val="clear" w:color="auto" w:fill="FFFFFF"/>
              <w:jc w:val="center"/>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项目</w:t>
            </w:r>
          </w:p>
        </w:tc>
        <w:tc>
          <w:tcPr>
            <w:tcW w:w="1476" w:type="dxa"/>
            <w:vMerge w:val="restart"/>
            <w:tcBorders>
              <w:top w:val="single" w:color="000000" w:sz="4" w:space="0"/>
              <w:left w:val="nil"/>
              <w:right w:val="single" w:color="000000" w:sz="4" w:space="0"/>
            </w:tcBorders>
            <w:shd w:val="clear" w:color="auto" w:fill="FFFFFF"/>
            <w:vAlign w:val="center"/>
          </w:tcPr>
          <w:p>
            <w:pPr>
              <w:widowControl/>
              <w:shd w:val="clear" w:color="auto" w:fill="FFFFFF"/>
              <w:jc w:val="center"/>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本年支出合计</w:t>
            </w:r>
          </w:p>
        </w:tc>
        <w:tc>
          <w:tcPr>
            <w:tcW w:w="1103" w:type="dxa"/>
            <w:vMerge w:val="restart"/>
            <w:tcBorders>
              <w:top w:val="single" w:color="000000" w:sz="4" w:space="0"/>
              <w:left w:val="nil"/>
              <w:right w:val="single" w:color="000000" w:sz="4" w:space="0"/>
            </w:tcBorders>
            <w:shd w:val="clear" w:color="auto" w:fill="auto"/>
            <w:vAlign w:val="center"/>
          </w:tcPr>
          <w:p>
            <w:pPr>
              <w:widowControl/>
              <w:jc w:val="center"/>
              <w:rPr>
                <w:rFonts w:hint="default" w:ascii="宋体"/>
                <w:color w:val="000000"/>
                <w:kern w:val="0"/>
                <w:sz w:val="15"/>
                <w:szCs w:val="15"/>
              </w:rPr>
            </w:pPr>
            <w:r>
              <w:rPr>
                <w:rFonts w:ascii="宋体" w:hAnsi="宋体"/>
                <w:color w:val="000000"/>
                <w:kern w:val="0"/>
                <w:sz w:val="15"/>
                <w:szCs w:val="15"/>
              </w:rPr>
              <w:t>基本支出</w:t>
            </w:r>
          </w:p>
        </w:tc>
        <w:tc>
          <w:tcPr>
            <w:tcW w:w="1214" w:type="dxa"/>
            <w:vMerge w:val="restart"/>
            <w:tcBorders>
              <w:top w:val="single" w:color="000000" w:sz="4" w:space="0"/>
              <w:left w:val="nil"/>
              <w:right w:val="single" w:color="000000" w:sz="4" w:space="0"/>
            </w:tcBorders>
            <w:shd w:val="clear" w:color="auto" w:fill="auto"/>
            <w:vAlign w:val="center"/>
          </w:tcPr>
          <w:p>
            <w:pPr>
              <w:widowControl/>
              <w:jc w:val="center"/>
              <w:rPr>
                <w:rFonts w:hint="default" w:ascii="宋体"/>
                <w:color w:val="000000"/>
                <w:kern w:val="0"/>
                <w:sz w:val="15"/>
                <w:szCs w:val="15"/>
              </w:rPr>
            </w:pPr>
            <w:r>
              <w:rPr>
                <w:rFonts w:ascii="宋体" w:hAnsi="宋体"/>
                <w:color w:val="000000"/>
                <w:kern w:val="0"/>
                <w:sz w:val="15"/>
                <w:szCs w:val="15"/>
              </w:rPr>
              <w:t>项目支出</w:t>
            </w:r>
          </w:p>
        </w:tc>
        <w:tc>
          <w:tcPr>
            <w:tcW w:w="1476" w:type="dxa"/>
            <w:vMerge w:val="restart"/>
            <w:tcBorders>
              <w:top w:val="single" w:color="000000" w:sz="4" w:space="0"/>
              <w:left w:val="nil"/>
              <w:right w:val="single" w:color="000000" w:sz="4" w:space="0"/>
            </w:tcBorders>
            <w:shd w:val="clear" w:color="auto" w:fill="auto"/>
            <w:vAlign w:val="center"/>
          </w:tcPr>
          <w:p>
            <w:pPr>
              <w:widowControl/>
              <w:jc w:val="center"/>
              <w:rPr>
                <w:rFonts w:hint="default" w:ascii="宋体"/>
                <w:color w:val="000000"/>
                <w:kern w:val="0"/>
                <w:sz w:val="15"/>
                <w:szCs w:val="15"/>
              </w:rPr>
            </w:pPr>
            <w:r>
              <w:rPr>
                <w:rFonts w:ascii="宋体" w:hAnsi="宋体"/>
                <w:color w:val="000000"/>
                <w:kern w:val="0"/>
                <w:sz w:val="15"/>
                <w:szCs w:val="15"/>
              </w:rPr>
              <w:t>上缴上级支出</w:t>
            </w:r>
          </w:p>
        </w:tc>
        <w:tc>
          <w:tcPr>
            <w:tcW w:w="1056" w:type="dxa"/>
            <w:vMerge w:val="restart"/>
            <w:tcBorders>
              <w:top w:val="single" w:color="000000" w:sz="4" w:space="0"/>
              <w:left w:val="nil"/>
              <w:right w:val="single" w:color="000000" w:sz="4" w:space="0"/>
            </w:tcBorders>
            <w:shd w:val="clear" w:color="auto" w:fill="FFFFFF"/>
            <w:vAlign w:val="center"/>
          </w:tcPr>
          <w:p>
            <w:pPr>
              <w:widowControl/>
              <w:shd w:val="clear" w:color="auto" w:fill="FFFFFF"/>
              <w:jc w:val="center"/>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经营支出</w:t>
            </w:r>
          </w:p>
        </w:tc>
        <w:tc>
          <w:tcPr>
            <w:tcW w:w="2106" w:type="dxa"/>
            <w:vMerge w:val="restart"/>
            <w:tcBorders>
              <w:top w:val="single" w:color="000000" w:sz="4" w:space="0"/>
              <w:left w:val="nil"/>
              <w:right w:val="single" w:color="000000" w:sz="4" w:space="0"/>
            </w:tcBorders>
            <w:shd w:val="clear" w:color="auto" w:fill="FFFFFF"/>
            <w:vAlign w:val="center"/>
          </w:tcPr>
          <w:p>
            <w:pPr>
              <w:widowControl/>
              <w:shd w:val="clear" w:color="auto" w:fill="FFFFFF"/>
              <w:jc w:val="center"/>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对附属单位补助支出</w:t>
            </w: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hd w:val="clear" w:color="auto" w:fill="FFFFFF"/>
              <w:jc w:val="center"/>
              <w:rPr>
                <w:rFonts w:hint="default" w:ascii="宋体" w:hAnsi="宋体"/>
                <w:color w:val="000000"/>
                <w:kern w:val="0"/>
                <w:sz w:val="15"/>
                <w:szCs w:val="15"/>
                <w:shd w:val="clear" w:color="auto" w:fill="FFFFFF"/>
              </w:rPr>
            </w:pPr>
            <w:r>
              <w:rPr>
                <w:rFonts w:ascii="宋体" w:hAnsi="宋体"/>
                <w:color w:val="000000"/>
                <w:kern w:val="0"/>
                <w:sz w:val="15"/>
                <w:szCs w:val="15"/>
                <w:shd w:val="clear" w:color="auto" w:fill="FFFFFF"/>
              </w:rPr>
              <w:t>功能分类</w:t>
            </w:r>
          </w:p>
          <w:p>
            <w:pPr>
              <w:widowControl/>
              <w:shd w:val="clear" w:color="auto" w:fill="FFFFFF"/>
              <w:jc w:val="center"/>
              <w:rPr>
                <w:rFonts w:hint="default" w:ascii="宋体" w:hAnsi="宋体"/>
                <w:color w:val="000000"/>
                <w:kern w:val="0"/>
                <w:sz w:val="15"/>
                <w:szCs w:val="15"/>
                <w:shd w:val="clear" w:color="auto" w:fill="FFFFFF"/>
              </w:rPr>
            </w:pPr>
            <w:r>
              <w:rPr>
                <w:rFonts w:ascii="宋体" w:hAnsi="宋体"/>
                <w:color w:val="000000"/>
                <w:kern w:val="0"/>
                <w:sz w:val="15"/>
                <w:szCs w:val="15"/>
                <w:shd w:val="clear" w:color="auto" w:fill="FFFFFF"/>
              </w:rPr>
              <w:t>科目编码</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hAnsi="宋体"/>
                <w:color w:val="000000"/>
                <w:kern w:val="0"/>
                <w:sz w:val="15"/>
                <w:szCs w:val="15"/>
                <w:shd w:val="clear" w:color="auto" w:fill="FFFFFF"/>
              </w:rPr>
            </w:pPr>
            <w:r>
              <w:rPr>
                <w:rFonts w:ascii="宋体" w:hAnsi="宋体"/>
                <w:color w:val="000000"/>
                <w:kern w:val="0"/>
                <w:sz w:val="15"/>
                <w:szCs w:val="15"/>
                <w:shd w:val="clear" w:color="auto" w:fill="FFFFFF"/>
              </w:rPr>
              <w:t>科目名称</w:t>
            </w:r>
          </w:p>
        </w:tc>
        <w:tc>
          <w:tcPr>
            <w:tcW w:w="1476" w:type="dxa"/>
            <w:vMerge w:val="continue"/>
            <w:tcBorders>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hAnsi="宋体"/>
                <w:color w:val="000000"/>
                <w:kern w:val="0"/>
                <w:sz w:val="15"/>
                <w:szCs w:val="15"/>
                <w:shd w:val="clear" w:color="auto" w:fill="FFFFFF"/>
              </w:rPr>
            </w:pPr>
          </w:p>
        </w:tc>
        <w:tc>
          <w:tcPr>
            <w:tcW w:w="1103" w:type="dxa"/>
            <w:vMerge w:val="continue"/>
            <w:tcBorders>
              <w:left w:val="nil"/>
              <w:bottom w:val="single" w:color="000000" w:sz="4" w:space="0"/>
              <w:right w:val="single" w:color="000000" w:sz="4" w:space="0"/>
            </w:tcBorders>
            <w:shd w:val="clear" w:color="auto" w:fill="auto"/>
            <w:vAlign w:val="center"/>
          </w:tcPr>
          <w:p>
            <w:pPr>
              <w:widowControl/>
              <w:jc w:val="center"/>
              <w:rPr>
                <w:rFonts w:hint="default" w:ascii="宋体" w:hAnsi="宋体"/>
                <w:color w:val="000000"/>
                <w:kern w:val="0"/>
                <w:sz w:val="15"/>
                <w:szCs w:val="15"/>
              </w:rPr>
            </w:pPr>
          </w:p>
        </w:tc>
        <w:tc>
          <w:tcPr>
            <w:tcW w:w="1214" w:type="dxa"/>
            <w:vMerge w:val="continue"/>
            <w:tcBorders>
              <w:left w:val="nil"/>
              <w:bottom w:val="single" w:color="000000" w:sz="4" w:space="0"/>
              <w:right w:val="single" w:color="000000" w:sz="4" w:space="0"/>
            </w:tcBorders>
            <w:shd w:val="clear" w:color="auto" w:fill="auto"/>
            <w:vAlign w:val="center"/>
          </w:tcPr>
          <w:p>
            <w:pPr>
              <w:widowControl/>
              <w:jc w:val="center"/>
              <w:rPr>
                <w:rFonts w:hint="default" w:ascii="宋体" w:hAnsi="宋体"/>
                <w:color w:val="000000"/>
                <w:kern w:val="0"/>
                <w:sz w:val="15"/>
                <w:szCs w:val="15"/>
              </w:rPr>
            </w:pPr>
          </w:p>
        </w:tc>
        <w:tc>
          <w:tcPr>
            <w:tcW w:w="1476" w:type="dxa"/>
            <w:vMerge w:val="continue"/>
            <w:tcBorders>
              <w:left w:val="nil"/>
              <w:bottom w:val="single" w:color="000000" w:sz="4" w:space="0"/>
              <w:right w:val="single" w:color="000000" w:sz="4" w:space="0"/>
            </w:tcBorders>
            <w:shd w:val="clear" w:color="auto" w:fill="auto"/>
            <w:vAlign w:val="center"/>
          </w:tcPr>
          <w:p>
            <w:pPr>
              <w:widowControl/>
              <w:jc w:val="center"/>
              <w:rPr>
                <w:rFonts w:hint="default" w:ascii="宋体" w:hAnsi="宋体"/>
                <w:color w:val="000000"/>
                <w:kern w:val="0"/>
                <w:sz w:val="15"/>
                <w:szCs w:val="15"/>
              </w:rPr>
            </w:pPr>
          </w:p>
        </w:tc>
        <w:tc>
          <w:tcPr>
            <w:tcW w:w="1056" w:type="dxa"/>
            <w:vMerge w:val="continue"/>
            <w:tcBorders>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hAnsi="宋体"/>
                <w:color w:val="000000"/>
                <w:kern w:val="0"/>
                <w:sz w:val="15"/>
                <w:szCs w:val="15"/>
                <w:shd w:val="clear" w:color="auto" w:fill="FFFFFF"/>
              </w:rPr>
            </w:pPr>
          </w:p>
        </w:tc>
        <w:tc>
          <w:tcPr>
            <w:tcW w:w="2106" w:type="dxa"/>
            <w:vMerge w:val="continue"/>
            <w:tcBorders>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hAnsi="宋体"/>
                <w:color w:val="000000"/>
                <w:kern w:val="0"/>
                <w:sz w:val="15"/>
                <w:szCs w:val="15"/>
                <w:shd w:val="clear" w:color="auto" w:fill="FFFFFF"/>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5244" w:type="dxa"/>
            <w:gridSpan w:val="5"/>
            <w:tcBorders>
              <w:top w:val="nil"/>
              <w:left w:val="single" w:color="000000" w:sz="4" w:space="0"/>
              <w:bottom w:val="single" w:color="000000" w:sz="4" w:space="0"/>
              <w:right w:val="single" w:color="000000" w:sz="4" w:space="0"/>
            </w:tcBorders>
            <w:shd w:val="clear" w:color="auto" w:fill="FFFFFF"/>
            <w:vAlign w:val="center"/>
          </w:tcPr>
          <w:p>
            <w:pPr>
              <w:widowControl/>
              <w:shd w:val="clear" w:color="auto" w:fill="FFFFFF"/>
              <w:jc w:val="center"/>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栏次</w:t>
            </w:r>
          </w:p>
        </w:tc>
        <w:tc>
          <w:tcPr>
            <w:tcW w:w="1476" w:type="dxa"/>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1</w:t>
            </w:r>
          </w:p>
        </w:tc>
        <w:tc>
          <w:tcPr>
            <w:tcW w:w="1103" w:type="dxa"/>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2</w:t>
            </w:r>
          </w:p>
        </w:tc>
        <w:tc>
          <w:tcPr>
            <w:tcW w:w="1214" w:type="dxa"/>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3</w:t>
            </w:r>
          </w:p>
        </w:tc>
        <w:tc>
          <w:tcPr>
            <w:tcW w:w="1476" w:type="dxa"/>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4</w:t>
            </w:r>
          </w:p>
        </w:tc>
        <w:tc>
          <w:tcPr>
            <w:tcW w:w="1056" w:type="dxa"/>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5</w:t>
            </w:r>
          </w:p>
        </w:tc>
        <w:tc>
          <w:tcPr>
            <w:tcW w:w="2106" w:type="dxa"/>
            <w:tcBorders>
              <w:top w:val="single" w:color="000000" w:sz="4" w:space="0"/>
              <w:left w:val="nil"/>
              <w:bottom w:val="single" w:color="000000" w:sz="4" w:space="0"/>
              <w:right w:val="single" w:color="000000" w:sz="4" w:space="0"/>
            </w:tcBorders>
            <w:shd w:val="clear" w:color="auto" w:fill="FFFFFF"/>
            <w:vAlign w:val="center"/>
          </w:tcPr>
          <w:p>
            <w:pPr>
              <w:widowControl/>
              <w:shd w:val="clear" w:color="auto" w:fill="FFFFFF"/>
              <w:jc w:val="center"/>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6</w:t>
            </w: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5244" w:type="dxa"/>
            <w:gridSpan w:val="5"/>
            <w:tcBorders>
              <w:top w:val="nil"/>
              <w:left w:val="single" w:color="000000" w:sz="4" w:space="0"/>
              <w:bottom w:val="single" w:color="000000" w:sz="4" w:space="0"/>
              <w:right w:val="single" w:color="000000" w:sz="4" w:space="0"/>
            </w:tcBorders>
            <w:shd w:val="clear" w:color="auto" w:fill="auto"/>
            <w:vAlign w:val="center"/>
          </w:tcPr>
          <w:p>
            <w:pPr>
              <w:widowControl/>
              <w:shd w:val="clear" w:color="auto" w:fill="FFFFFF"/>
              <w:jc w:val="center"/>
              <w:rPr>
                <w:rFonts w:hint="default" w:ascii="宋体"/>
                <w:color w:val="000000"/>
                <w:kern w:val="0"/>
                <w:sz w:val="15"/>
                <w:szCs w:val="15"/>
                <w:shd w:val="clear" w:color="auto" w:fill="FFFFFF"/>
              </w:rPr>
            </w:pPr>
            <w:r>
              <w:rPr>
                <w:rFonts w:ascii="宋体" w:hAnsi="宋体"/>
                <w:color w:val="000000"/>
                <w:kern w:val="0"/>
                <w:sz w:val="15"/>
                <w:szCs w:val="15"/>
                <w:shd w:val="clear" w:color="auto" w:fill="FFFFFF"/>
              </w:rPr>
              <w:t>合计</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b/>
                <w:bCs/>
                <w:i w:val="0"/>
                <w:iCs w:val="0"/>
                <w:color w:val="000000"/>
                <w:kern w:val="2"/>
                <w:sz w:val="15"/>
                <w:szCs w:val="15"/>
                <w:u w:val="none"/>
                <w:lang w:val="en-US" w:eastAsia="zh-CN" w:bidi="ar-SA"/>
              </w:rPr>
            </w:pPr>
            <w:r>
              <w:rPr>
                <w:rFonts w:hint="eastAsia" w:ascii="宋体" w:hAnsi="宋体" w:eastAsia="宋体" w:cs="宋体"/>
                <w:b/>
                <w:i w:val="0"/>
                <w:color w:val="000000"/>
                <w:kern w:val="0"/>
                <w:sz w:val="15"/>
                <w:szCs w:val="15"/>
                <w:u w:val="none"/>
                <w:lang w:val="en-US" w:eastAsia="zh-CN" w:bidi="ar"/>
              </w:rPr>
              <w:t>67,367.74</w:t>
            </w:r>
          </w:p>
        </w:tc>
        <w:tc>
          <w:tcPr>
            <w:tcW w:w="1103"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b/>
                <w:bCs/>
                <w:i w:val="0"/>
                <w:iCs w:val="0"/>
                <w:color w:val="000000"/>
                <w:kern w:val="2"/>
                <w:sz w:val="15"/>
                <w:szCs w:val="15"/>
                <w:u w:val="none"/>
                <w:lang w:val="en-US" w:eastAsia="zh-CN" w:bidi="ar-SA"/>
              </w:rPr>
            </w:pPr>
            <w:r>
              <w:rPr>
                <w:rFonts w:hint="eastAsia" w:ascii="宋体" w:hAnsi="宋体" w:eastAsia="宋体" w:cs="宋体"/>
                <w:b/>
                <w:i w:val="0"/>
                <w:color w:val="000000"/>
                <w:kern w:val="0"/>
                <w:sz w:val="15"/>
                <w:szCs w:val="15"/>
                <w:u w:val="none"/>
                <w:lang w:val="en-US" w:eastAsia="zh-CN" w:bidi="ar"/>
              </w:rPr>
              <w:t>19,616.16</w:t>
            </w:r>
          </w:p>
        </w:tc>
        <w:tc>
          <w:tcPr>
            <w:tcW w:w="121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b/>
                <w:bCs/>
                <w:i w:val="0"/>
                <w:iCs w:val="0"/>
                <w:color w:val="000000"/>
                <w:kern w:val="2"/>
                <w:sz w:val="15"/>
                <w:szCs w:val="15"/>
                <w:u w:val="none"/>
                <w:lang w:val="en-US" w:eastAsia="zh-CN" w:bidi="ar-SA"/>
              </w:rPr>
            </w:pPr>
            <w:r>
              <w:rPr>
                <w:rFonts w:hint="eastAsia" w:ascii="宋体" w:hAnsi="宋体" w:eastAsia="宋体" w:cs="宋体"/>
                <w:b/>
                <w:i w:val="0"/>
                <w:color w:val="000000"/>
                <w:kern w:val="0"/>
                <w:sz w:val="15"/>
                <w:szCs w:val="15"/>
                <w:u w:val="none"/>
                <w:lang w:val="en-US" w:eastAsia="zh-CN" w:bidi="ar"/>
              </w:rPr>
              <w:t>47,751.58</w:t>
            </w: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2050303</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 xml:space="preserve">  技校教育</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1,152.50</w:t>
            </w:r>
          </w:p>
        </w:tc>
        <w:tc>
          <w:tcPr>
            <w:tcW w:w="1103"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sz w:val="15"/>
                <w:szCs w:val="15"/>
                <w:u w:val="none"/>
              </w:rPr>
            </w:pPr>
          </w:p>
        </w:tc>
        <w:tc>
          <w:tcPr>
            <w:tcW w:w="121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1,152.50</w:t>
            </w: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2050999</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 xml:space="preserve">  其他教育费附加安排的支出</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6,317.27</w:t>
            </w:r>
          </w:p>
        </w:tc>
        <w:tc>
          <w:tcPr>
            <w:tcW w:w="1103"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sz w:val="15"/>
                <w:szCs w:val="15"/>
                <w:u w:val="none"/>
              </w:rPr>
            </w:pPr>
          </w:p>
        </w:tc>
        <w:tc>
          <w:tcPr>
            <w:tcW w:w="121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6,317.27</w:t>
            </w: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2080101</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行政运行</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3,823.00</w:t>
            </w:r>
          </w:p>
        </w:tc>
        <w:tc>
          <w:tcPr>
            <w:tcW w:w="1103"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3,823.00</w:t>
            </w:r>
          </w:p>
        </w:tc>
        <w:tc>
          <w:tcPr>
            <w:tcW w:w="1214"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sz w:val="15"/>
                <w:szCs w:val="15"/>
                <w:u w:val="none"/>
              </w:rPr>
            </w:pP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2080102</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一般行政管理事务</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337.12</w:t>
            </w:r>
          </w:p>
        </w:tc>
        <w:tc>
          <w:tcPr>
            <w:tcW w:w="1103"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sz w:val="15"/>
                <w:szCs w:val="15"/>
                <w:u w:val="none"/>
              </w:rPr>
            </w:pPr>
          </w:p>
        </w:tc>
        <w:tc>
          <w:tcPr>
            <w:tcW w:w="121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337.12</w:t>
            </w: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2080103</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机关服务</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59.16</w:t>
            </w:r>
          </w:p>
        </w:tc>
        <w:tc>
          <w:tcPr>
            <w:tcW w:w="1103"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sz w:val="15"/>
                <w:szCs w:val="15"/>
                <w:u w:val="none"/>
              </w:rPr>
            </w:pPr>
          </w:p>
        </w:tc>
        <w:tc>
          <w:tcPr>
            <w:tcW w:w="121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59.16</w:t>
            </w: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2080105</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劳动保障监察</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20.19</w:t>
            </w:r>
          </w:p>
        </w:tc>
        <w:tc>
          <w:tcPr>
            <w:tcW w:w="1103"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sz w:val="15"/>
                <w:szCs w:val="15"/>
                <w:u w:val="none"/>
              </w:rPr>
            </w:pPr>
          </w:p>
        </w:tc>
        <w:tc>
          <w:tcPr>
            <w:tcW w:w="121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20.19</w:t>
            </w: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2080107</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社会保险业务管理事务</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7,243.45</w:t>
            </w:r>
          </w:p>
        </w:tc>
        <w:tc>
          <w:tcPr>
            <w:tcW w:w="1103"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sz w:val="15"/>
                <w:szCs w:val="15"/>
                <w:u w:val="none"/>
              </w:rPr>
            </w:pPr>
            <w:r>
              <w:rPr>
                <w:rFonts w:hint="eastAsia" w:ascii="宋体" w:hAnsi="宋体" w:eastAsia="宋体" w:cs="宋体"/>
                <w:i w:val="0"/>
                <w:color w:val="000000"/>
                <w:kern w:val="0"/>
                <w:sz w:val="15"/>
                <w:szCs w:val="15"/>
                <w:u w:val="none"/>
                <w:lang w:val="en-US" w:eastAsia="zh-CN" w:bidi="ar"/>
              </w:rPr>
              <w:t>7,243.45</w:t>
            </w:r>
          </w:p>
        </w:tc>
        <w:tc>
          <w:tcPr>
            <w:tcW w:w="1214"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kern w:val="2"/>
                <w:sz w:val="15"/>
                <w:szCs w:val="15"/>
                <w:u w:val="none"/>
                <w:lang w:val="en-US" w:eastAsia="zh-CN" w:bidi="ar-SA"/>
              </w:rPr>
            </w:pP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2080109</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社会保险经办机构</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2,578.62</w:t>
            </w:r>
          </w:p>
        </w:tc>
        <w:tc>
          <w:tcPr>
            <w:tcW w:w="1103"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kern w:val="2"/>
                <w:sz w:val="15"/>
                <w:szCs w:val="15"/>
                <w:u w:val="none"/>
                <w:lang w:val="en-US" w:eastAsia="zh-CN" w:bidi="ar-SA"/>
              </w:rPr>
            </w:pPr>
          </w:p>
        </w:tc>
        <w:tc>
          <w:tcPr>
            <w:tcW w:w="121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color w:val="000000"/>
                <w:kern w:val="0"/>
                <w:sz w:val="15"/>
                <w:szCs w:val="15"/>
              </w:rPr>
            </w:pPr>
            <w:r>
              <w:rPr>
                <w:rFonts w:hint="eastAsia" w:ascii="宋体" w:hAnsi="宋体" w:eastAsia="宋体" w:cs="宋体"/>
                <w:i w:val="0"/>
                <w:color w:val="000000"/>
                <w:kern w:val="0"/>
                <w:sz w:val="15"/>
                <w:szCs w:val="15"/>
                <w:u w:val="none"/>
                <w:lang w:val="en-US" w:eastAsia="zh-CN" w:bidi="ar"/>
              </w:rPr>
              <w:t>2,578.62</w:t>
            </w: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2080111</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公共就业服务和职业技能鉴定机构</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5,872.68</w:t>
            </w:r>
          </w:p>
        </w:tc>
        <w:tc>
          <w:tcPr>
            <w:tcW w:w="1103"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4,661.12</w:t>
            </w:r>
          </w:p>
        </w:tc>
        <w:tc>
          <w:tcPr>
            <w:tcW w:w="121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color w:val="000000"/>
                <w:kern w:val="0"/>
                <w:sz w:val="15"/>
                <w:szCs w:val="15"/>
              </w:rPr>
            </w:pPr>
            <w:r>
              <w:rPr>
                <w:rFonts w:hint="eastAsia" w:ascii="宋体" w:hAnsi="宋体" w:eastAsia="宋体" w:cs="宋体"/>
                <w:i w:val="0"/>
                <w:color w:val="000000"/>
                <w:kern w:val="0"/>
                <w:sz w:val="15"/>
                <w:szCs w:val="15"/>
                <w:u w:val="none"/>
                <w:lang w:val="en-US" w:eastAsia="zh-CN" w:bidi="ar"/>
              </w:rPr>
              <w:t>1,211.56</w:t>
            </w: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2080116</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引进人才费用</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3,375.23</w:t>
            </w:r>
          </w:p>
        </w:tc>
        <w:tc>
          <w:tcPr>
            <w:tcW w:w="1103"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kern w:val="2"/>
                <w:sz w:val="15"/>
                <w:szCs w:val="15"/>
                <w:u w:val="none"/>
                <w:lang w:val="en-US" w:eastAsia="zh-CN" w:bidi="ar-SA"/>
              </w:rPr>
            </w:pPr>
          </w:p>
        </w:tc>
        <w:tc>
          <w:tcPr>
            <w:tcW w:w="121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color w:val="000000"/>
                <w:kern w:val="0"/>
                <w:sz w:val="15"/>
                <w:szCs w:val="15"/>
              </w:rPr>
            </w:pPr>
            <w:r>
              <w:rPr>
                <w:rFonts w:hint="eastAsia" w:ascii="宋体" w:hAnsi="宋体" w:eastAsia="宋体" w:cs="宋体"/>
                <w:i w:val="0"/>
                <w:color w:val="000000"/>
                <w:kern w:val="0"/>
                <w:sz w:val="15"/>
                <w:szCs w:val="15"/>
                <w:u w:val="none"/>
                <w:lang w:val="en-US" w:eastAsia="zh-CN" w:bidi="ar"/>
              </w:rPr>
              <w:t>3,375.23</w:t>
            </w: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2080199</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其他人力资源和社会保障管理事务支出</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13,124.13</w:t>
            </w:r>
          </w:p>
        </w:tc>
        <w:tc>
          <w:tcPr>
            <w:tcW w:w="1103"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kern w:val="2"/>
                <w:sz w:val="15"/>
                <w:szCs w:val="15"/>
                <w:u w:val="none"/>
                <w:lang w:val="en-US" w:eastAsia="zh-CN" w:bidi="ar-SA"/>
              </w:rPr>
            </w:pPr>
          </w:p>
        </w:tc>
        <w:tc>
          <w:tcPr>
            <w:tcW w:w="121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color w:val="000000"/>
                <w:kern w:val="0"/>
                <w:sz w:val="15"/>
                <w:szCs w:val="15"/>
              </w:rPr>
            </w:pPr>
            <w:r>
              <w:rPr>
                <w:rFonts w:hint="eastAsia" w:ascii="宋体" w:hAnsi="宋体" w:eastAsia="宋体" w:cs="宋体"/>
                <w:i w:val="0"/>
                <w:color w:val="000000"/>
                <w:kern w:val="0"/>
                <w:sz w:val="15"/>
                <w:szCs w:val="15"/>
                <w:u w:val="none"/>
                <w:lang w:val="en-US" w:eastAsia="zh-CN" w:bidi="ar"/>
              </w:rPr>
              <w:t>13,124.13</w:t>
            </w: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2080501</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行政单位离退休</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100.01</w:t>
            </w:r>
          </w:p>
        </w:tc>
        <w:tc>
          <w:tcPr>
            <w:tcW w:w="1103"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sz w:val="15"/>
                <w:szCs w:val="15"/>
                <w:u w:val="none"/>
              </w:rPr>
            </w:pPr>
            <w:r>
              <w:rPr>
                <w:rFonts w:hint="eastAsia" w:ascii="宋体" w:hAnsi="宋体" w:eastAsia="宋体" w:cs="宋体"/>
                <w:i w:val="0"/>
                <w:color w:val="000000"/>
                <w:kern w:val="0"/>
                <w:sz w:val="15"/>
                <w:szCs w:val="15"/>
                <w:u w:val="none"/>
                <w:lang w:val="en-US" w:eastAsia="zh-CN" w:bidi="ar"/>
              </w:rPr>
              <w:t>100.01</w:t>
            </w:r>
          </w:p>
        </w:tc>
        <w:tc>
          <w:tcPr>
            <w:tcW w:w="1214"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kern w:val="2"/>
                <w:sz w:val="15"/>
                <w:szCs w:val="15"/>
                <w:u w:val="none"/>
                <w:lang w:val="en-US" w:eastAsia="zh-CN" w:bidi="ar-SA"/>
              </w:rPr>
            </w:pP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2080502</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事业单位离退休</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161.92</w:t>
            </w:r>
          </w:p>
        </w:tc>
        <w:tc>
          <w:tcPr>
            <w:tcW w:w="1103"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161.92</w:t>
            </w:r>
          </w:p>
        </w:tc>
        <w:tc>
          <w:tcPr>
            <w:tcW w:w="1214"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sz w:val="15"/>
                <w:szCs w:val="15"/>
                <w:u w:val="none"/>
              </w:rPr>
            </w:pP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2080505</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机关事业单位基本养老保险缴费支出</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1,033.58</w:t>
            </w:r>
          </w:p>
        </w:tc>
        <w:tc>
          <w:tcPr>
            <w:tcW w:w="1103"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1,033.58</w:t>
            </w:r>
          </w:p>
        </w:tc>
        <w:tc>
          <w:tcPr>
            <w:tcW w:w="1214" w:type="dxa"/>
            <w:tcBorders>
              <w:top w:val="single" w:color="000000" w:sz="4" w:space="0"/>
              <w:left w:val="nil"/>
              <w:bottom w:val="single" w:color="000000" w:sz="4" w:space="0"/>
              <w:right w:val="single" w:color="000000" w:sz="4" w:space="0"/>
            </w:tcBorders>
            <w:vAlign w:val="center"/>
          </w:tcPr>
          <w:p>
            <w:pPr>
              <w:jc w:val="right"/>
              <w:rPr>
                <w:rFonts w:hint="default" w:ascii="宋体"/>
                <w:color w:val="000000"/>
                <w:kern w:val="0"/>
                <w:sz w:val="15"/>
                <w:szCs w:val="15"/>
              </w:rPr>
            </w:pP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2080506</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机关事业单位职业年金缴费支出</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57.44</w:t>
            </w:r>
          </w:p>
        </w:tc>
        <w:tc>
          <w:tcPr>
            <w:tcW w:w="1103"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sz w:val="15"/>
                <w:szCs w:val="15"/>
                <w:u w:val="none"/>
              </w:rPr>
            </w:pPr>
            <w:r>
              <w:rPr>
                <w:rFonts w:hint="eastAsia" w:ascii="宋体" w:hAnsi="宋体" w:eastAsia="宋体" w:cs="宋体"/>
                <w:i w:val="0"/>
                <w:color w:val="000000"/>
                <w:kern w:val="0"/>
                <w:sz w:val="15"/>
                <w:szCs w:val="15"/>
                <w:u w:val="none"/>
                <w:lang w:val="en-US" w:eastAsia="zh-CN" w:bidi="ar"/>
              </w:rPr>
              <w:t>57.44</w:t>
            </w:r>
          </w:p>
        </w:tc>
        <w:tc>
          <w:tcPr>
            <w:tcW w:w="1214"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kern w:val="2"/>
                <w:sz w:val="15"/>
                <w:szCs w:val="15"/>
                <w:u w:val="none"/>
                <w:lang w:val="en-US" w:eastAsia="zh-CN" w:bidi="ar-SA"/>
              </w:rPr>
            </w:pP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2080508</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对机关事业单位职业年金的补助</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17.15</w:t>
            </w:r>
          </w:p>
        </w:tc>
        <w:tc>
          <w:tcPr>
            <w:tcW w:w="1103"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sz w:val="15"/>
                <w:szCs w:val="15"/>
                <w:u w:val="none"/>
              </w:rPr>
            </w:pPr>
            <w:r>
              <w:rPr>
                <w:rFonts w:hint="eastAsia" w:ascii="宋体" w:hAnsi="宋体" w:eastAsia="宋体" w:cs="宋体"/>
                <w:i w:val="0"/>
                <w:color w:val="000000"/>
                <w:kern w:val="0"/>
                <w:sz w:val="15"/>
                <w:szCs w:val="15"/>
                <w:u w:val="none"/>
                <w:lang w:val="en-US" w:eastAsia="zh-CN" w:bidi="ar"/>
              </w:rPr>
              <w:t>17.15</w:t>
            </w:r>
          </w:p>
        </w:tc>
        <w:tc>
          <w:tcPr>
            <w:tcW w:w="1214" w:type="dxa"/>
            <w:tcBorders>
              <w:top w:val="single" w:color="000000" w:sz="4" w:space="0"/>
              <w:left w:val="nil"/>
              <w:bottom w:val="single" w:color="000000" w:sz="4" w:space="0"/>
              <w:right w:val="single" w:color="000000" w:sz="4" w:space="0"/>
            </w:tcBorders>
            <w:vAlign w:val="center"/>
          </w:tcPr>
          <w:p>
            <w:pPr>
              <w:jc w:val="right"/>
              <w:rPr>
                <w:rFonts w:hint="eastAsia" w:ascii="宋体" w:hAnsi="宋体" w:eastAsia="宋体" w:cs="宋体"/>
                <w:i w:val="0"/>
                <w:iCs w:val="0"/>
                <w:color w:val="000000"/>
                <w:kern w:val="0"/>
                <w:sz w:val="15"/>
                <w:szCs w:val="15"/>
                <w:u w:val="none"/>
                <w:lang w:val="en-US" w:eastAsia="zh-CN" w:bidi="ar"/>
              </w:rPr>
            </w:pP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2080601</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企业关闭破产补助</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1,391.72</w:t>
            </w:r>
          </w:p>
        </w:tc>
        <w:tc>
          <w:tcPr>
            <w:tcW w:w="1103"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sz w:val="15"/>
                <w:szCs w:val="15"/>
                <w:u w:val="none"/>
              </w:rPr>
            </w:pPr>
          </w:p>
        </w:tc>
        <w:tc>
          <w:tcPr>
            <w:tcW w:w="121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1,391.72</w:t>
            </w: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2080704</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社会保险补贴</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7.40</w:t>
            </w:r>
          </w:p>
        </w:tc>
        <w:tc>
          <w:tcPr>
            <w:tcW w:w="1103"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kern w:val="2"/>
                <w:sz w:val="15"/>
                <w:szCs w:val="15"/>
                <w:u w:val="none"/>
                <w:lang w:val="en-US" w:eastAsia="zh-CN" w:bidi="ar-SA"/>
              </w:rPr>
            </w:pPr>
          </w:p>
        </w:tc>
        <w:tc>
          <w:tcPr>
            <w:tcW w:w="121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color w:val="000000"/>
                <w:kern w:val="0"/>
                <w:sz w:val="15"/>
                <w:szCs w:val="15"/>
              </w:rPr>
            </w:pPr>
            <w:r>
              <w:rPr>
                <w:rFonts w:hint="eastAsia" w:ascii="宋体" w:hAnsi="宋体" w:eastAsia="宋体" w:cs="宋体"/>
                <w:i w:val="0"/>
                <w:color w:val="000000"/>
                <w:kern w:val="0"/>
                <w:sz w:val="15"/>
                <w:szCs w:val="15"/>
                <w:u w:val="none"/>
                <w:lang w:val="en-US" w:eastAsia="zh-CN" w:bidi="ar"/>
              </w:rPr>
              <w:t>7.40</w:t>
            </w: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2080705</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公益性岗位补贴</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26.37</w:t>
            </w:r>
          </w:p>
        </w:tc>
        <w:tc>
          <w:tcPr>
            <w:tcW w:w="1103" w:type="dxa"/>
            <w:tcBorders>
              <w:top w:val="single" w:color="000000" w:sz="4" w:space="0"/>
              <w:left w:val="nil"/>
              <w:bottom w:val="single" w:color="000000" w:sz="4" w:space="0"/>
              <w:right w:val="single" w:color="000000" w:sz="4" w:space="0"/>
            </w:tcBorders>
            <w:vAlign w:val="center"/>
          </w:tcPr>
          <w:p>
            <w:pPr>
              <w:jc w:val="right"/>
              <w:rPr>
                <w:rFonts w:hint="eastAsia" w:ascii="宋体" w:hAnsi="宋体" w:eastAsia="宋体" w:cs="宋体"/>
                <w:i w:val="0"/>
                <w:iCs w:val="0"/>
                <w:color w:val="000000"/>
                <w:kern w:val="0"/>
                <w:sz w:val="15"/>
                <w:szCs w:val="15"/>
                <w:u w:val="none"/>
                <w:lang w:val="en-US" w:eastAsia="zh-CN" w:bidi="ar"/>
              </w:rPr>
            </w:pPr>
          </w:p>
        </w:tc>
        <w:tc>
          <w:tcPr>
            <w:tcW w:w="121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color w:val="000000"/>
                <w:kern w:val="0"/>
                <w:sz w:val="15"/>
                <w:szCs w:val="15"/>
              </w:rPr>
            </w:pPr>
            <w:r>
              <w:rPr>
                <w:rFonts w:hint="eastAsia" w:ascii="宋体" w:hAnsi="宋体" w:eastAsia="宋体" w:cs="宋体"/>
                <w:i w:val="0"/>
                <w:color w:val="000000"/>
                <w:kern w:val="0"/>
                <w:sz w:val="15"/>
                <w:szCs w:val="15"/>
                <w:u w:val="none"/>
                <w:lang w:val="en-US" w:eastAsia="zh-CN" w:bidi="ar"/>
              </w:rPr>
              <w:t>26.37</w:t>
            </w: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2080712</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高技能人才培养补助</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550.48</w:t>
            </w:r>
          </w:p>
        </w:tc>
        <w:tc>
          <w:tcPr>
            <w:tcW w:w="1103" w:type="dxa"/>
            <w:tcBorders>
              <w:top w:val="single" w:color="000000" w:sz="4" w:space="0"/>
              <w:left w:val="nil"/>
              <w:bottom w:val="single" w:color="000000" w:sz="4" w:space="0"/>
              <w:right w:val="single" w:color="000000" w:sz="4" w:space="0"/>
            </w:tcBorders>
            <w:vAlign w:val="center"/>
          </w:tcPr>
          <w:p>
            <w:pPr>
              <w:jc w:val="right"/>
              <w:rPr>
                <w:rFonts w:hint="eastAsia" w:ascii="宋体" w:hAnsi="宋体" w:eastAsia="宋体" w:cs="宋体"/>
                <w:i w:val="0"/>
                <w:iCs w:val="0"/>
                <w:color w:val="000000"/>
                <w:kern w:val="0"/>
                <w:sz w:val="15"/>
                <w:szCs w:val="15"/>
                <w:u w:val="none"/>
                <w:lang w:val="en-US" w:eastAsia="zh-CN" w:bidi="ar"/>
              </w:rPr>
            </w:pPr>
          </w:p>
        </w:tc>
        <w:tc>
          <w:tcPr>
            <w:tcW w:w="121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color w:val="000000"/>
                <w:kern w:val="0"/>
                <w:sz w:val="15"/>
                <w:szCs w:val="15"/>
              </w:rPr>
            </w:pPr>
            <w:r>
              <w:rPr>
                <w:rFonts w:hint="eastAsia" w:ascii="宋体" w:hAnsi="宋体" w:eastAsia="宋体" w:cs="宋体"/>
                <w:i w:val="0"/>
                <w:color w:val="000000"/>
                <w:kern w:val="0"/>
                <w:sz w:val="15"/>
                <w:szCs w:val="15"/>
                <w:u w:val="none"/>
                <w:lang w:val="en-US" w:eastAsia="zh-CN" w:bidi="ar"/>
              </w:rPr>
              <w:t>550.48</w:t>
            </w: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2080799</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其他就业补助支出</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12,737.56</w:t>
            </w:r>
          </w:p>
        </w:tc>
        <w:tc>
          <w:tcPr>
            <w:tcW w:w="1103" w:type="dxa"/>
            <w:tcBorders>
              <w:top w:val="single" w:color="000000" w:sz="4" w:space="0"/>
              <w:left w:val="nil"/>
              <w:bottom w:val="single" w:color="000000" w:sz="4" w:space="0"/>
              <w:right w:val="single" w:color="000000" w:sz="4" w:space="0"/>
            </w:tcBorders>
            <w:vAlign w:val="center"/>
          </w:tcPr>
          <w:p>
            <w:pPr>
              <w:jc w:val="right"/>
              <w:rPr>
                <w:rFonts w:hint="eastAsia" w:ascii="宋体" w:hAnsi="宋体" w:eastAsia="宋体" w:cs="宋体"/>
                <w:i w:val="0"/>
                <w:iCs w:val="0"/>
                <w:color w:val="000000"/>
                <w:kern w:val="0"/>
                <w:sz w:val="15"/>
                <w:szCs w:val="15"/>
                <w:u w:val="none"/>
                <w:lang w:val="en-US" w:eastAsia="zh-CN" w:bidi="ar"/>
              </w:rPr>
            </w:pPr>
          </w:p>
        </w:tc>
        <w:tc>
          <w:tcPr>
            <w:tcW w:w="121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color w:val="000000"/>
                <w:kern w:val="0"/>
                <w:sz w:val="15"/>
                <w:szCs w:val="15"/>
              </w:rPr>
            </w:pPr>
            <w:r>
              <w:rPr>
                <w:rFonts w:hint="eastAsia" w:ascii="宋体" w:hAnsi="宋体" w:eastAsia="宋体" w:cs="宋体"/>
                <w:i w:val="0"/>
                <w:color w:val="000000"/>
                <w:kern w:val="0"/>
                <w:sz w:val="15"/>
                <w:szCs w:val="15"/>
                <w:u w:val="none"/>
                <w:lang w:val="en-US" w:eastAsia="zh-CN" w:bidi="ar"/>
              </w:rPr>
              <w:t>12,737.56</w:t>
            </w: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2080802</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伤残抚恤</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73.49</w:t>
            </w:r>
          </w:p>
        </w:tc>
        <w:tc>
          <w:tcPr>
            <w:tcW w:w="1103"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73.49</w:t>
            </w:r>
          </w:p>
        </w:tc>
        <w:tc>
          <w:tcPr>
            <w:tcW w:w="1214" w:type="dxa"/>
            <w:tcBorders>
              <w:top w:val="single" w:color="000000" w:sz="4" w:space="0"/>
              <w:left w:val="nil"/>
              <w:bottom w:val="single" w:color="000000" w:sz="4" w:space="0"/>
              <w:right w:val="single" w:color="000000" w:sz="4" w:space="0"/>
            </w:tcBorders>
            <w:vAlign w:val="center"/>
          </w:tcPr>
          <w:p>
            <w:pPr>
              <w:jc w:val="right"/>
              <w:rPr>
                <w:rFonts w:hint="default" w:ascii="宋体"/>
                <w:color w:val="000000"/>
                <w:kern w:val="0"/>
                <w:sz w:val="15"/>
                <w:szCs w:val="15"/>
              </w:rPr>
            </w:pP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2080899</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其他优抚支出</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65.66</w:t>
            </w:r>
          </w:p>
        </w:tc>
        <w:tc>
          <w:tcPr>
            <w:tcW w:w="1103" w:type="dxa"/>
            <w:tcBorders>
              <w:top w:val="single" w:color="000000" w:sz="4" w:space="0"/>
              <w:left w:val="nil"/>
              <w:bottom w:val="single" w:color="000000" w:sz="4" w:space="0"/>
              <w:right w:val="single" w:color="000000" w:sz="4" w:space="0"/>
            </w:tcBorders>
            <w:vAlign w:val="center"/>
          </w:tcPr>
          <w:p>
            <w:pPr>
              <w:jc w:val="right"/>
              <w:rPr>
                <w:rFonts w:hint="eastAsia" w:ascii="宋体" w:hAnsi="宋体" w:eastAsia="宋体" w:cs="宋体"/>
                <w:i w:val="0"/>
                <w:iCs w:val="0"/>
                <w:color w:val="000000"/>
                <w:kern w:val="0"/>
                <w:sz w:val="15"/>
                <w:szCs w:val="15"/>
                <w:u w:val="none"/>
                <w:lang w:val="en-US" w:eastAsia="zh-CN" w:bidi="ar"/>
              </w:rPr>
            </w:pPr>
          </w:p>
        </w:tc>
        <w:tc>
          <w:tcPr>
            <w:tcW w:w="121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color w:val="000000"/>
                <w:kern w:val="0"/>
                <w:sz w:val="15"/>
                <w:szCs w:val="15"/>
              </w:rPr>
            </w:pPr>
            <w:r>
              <w:rPr>
                <w:rFonts w:hint="eastAsia" w:ascii="宋体" w:hAnsi="宋体" w:eastAsia="宋体" w:cs="宋体"/>
                <w:i w:val="0"/>
                <w:color w:val="000000"/>
                <w:kern w:val="0"/>
                <w:sz w:val="15"/>
                <w:szCs w:val="15"/>
                <w:u w:val="none"/>
                <w:lang w:val="en-US" w:eastAsia="zh-CN" w:bidi="ar"/>
              </w:rPr>
              <w:t>65.66</w:t>
            </w: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2089999</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其他社会保障和就业支出</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292.44</w:t>
            </w:r>
          </w:p>
        </w:tc>
        <w:tc>
          <w:tcPr>
            <w:tcW w:w="1103" w:type="dxa"/>
            <w:tcBorders>
              <w:top w:val="single" w:color="000000" w:sz="4" w:space="0"/>
              <w:left w:val="nil"/>
              <w:bottom w:val="single" w:color="000000" w:sz="4" w:space="0"/>
              <w:right w:val="single" w:color="000000" w:sz="4" w:space="0"/>
            </w:tcBorders>
            <w:vAlign w:val="center"/>
          </w:tcPr>
          <w:p>
            <w:pPr>
              <w:jc w:val="right"/>
              <w:rPr>
                <w:rFonts w:hint="eastAsia" w:ascii="宋体" w:hAnsi="宋体" w:eastAsia="宋体" w:cs="宋体"/>
                <w:i w:val="0"/>
                <w:iCs w:val="0"/>
                <w:color w:val="000000"/>
                <w:kern w:val="0"/>
                <w:sz w:val="15"/>
                <w:szCs w:val="15"/>
                <w:u w:val="none"/>
                <w:lang w:val="en-US" w:eastAsia="zh-CN" w:bidi="ar"/>
              </w:rPr>
            </w:pPr>
          </w:p>
        </w:tc>
        <w:tc>
          <w:tcPr>
            <w:tcW w:w="121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color w:val="000000"/>
                <w:kern w:val="0"/>
                <w:sz w:val="15"/>
                <w:szCs w:val="15"/>
              </w:rPr>
            </w:pPr>
            <w:r>
              <w:rPr>
                <w:rFonts w:hint="eastAsia" w:ascii="宋体" w:hAnsi="宋体" w:eastAsia="宋体" w:cs="宋体"/>
                <w:i w:val="0"/>
                <w:color w:val="000000"/>
                <w:kern w:val="0"/>
                <w:sz w:val="15"/>
                <w:szCs w:val="15"/>
                <w:u w:val="none"/>
                <w:lang w:val="en-US" w:eastAsia="zh-CN" w:bidi="ar"/>
              </w:rPr>
              <w:t>292.44</w:t>
            </w: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2101101</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行政单位医疗</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122.50</w:t>
            </w:r>
          </w:p>
        </w:tc>
        <w:tc>
          <w:tcPr>
            <w:tcW w:w="1103"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122.50</w:t>
            </w:r>
          </w:p>
        </w:tc>
        <w:tc>
          <w:tcPr>
            <w:tcW w:w="1214" w:type="dxa"/>
            <w:tcBorders>
              <w:top w:val="single" w:color="000000" w:sz="4" w:space="0"/>
              <w:left w:val="nil"/>
              <w:bottom w:val="single" w:color="000000" w:sz="4" w:space="0"/>
              <w:right w:val="single" w:color="000000" w:sz="4" w:space="0"/>
            </w:tcBorders>
            <w:vAlign w:val="center"/>
          </w:tcPr>
          <w:p>
            <w:pPr>
              <w:jc w:val="right"/>
              <w:rPr>
                <w:rFonts w:hint="default" w:ascii="宋体"/>
                <w:color w:val="000000"/>
                <w:kern w:val="0"/>
                <w:sz w:val="15"/>
                <w:szCs w:val="15"/>
              </w:rPr>
            </w:pP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2101102</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事业单位医疗</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423.81</w:t>
            </w:r>
          </w:p>
        </w:tc>
        <w:tc>
          <w:tcPr>
            <w:tcW w:w="1103"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423.81</w:t>
            </w:r>
          </w:p>
        </w:tc>
        <w:tc>
          <w:tcPr>
            <w:tcW w:w="1214" w:type="dxa"/>
            <w:tcBorders>
              <w:top w:val="single" w:color="000000" w:sz="4" w:space="0"/>
              <w:left w:val="nil"/>
              <w:bottom w:val="single" w:color="000000" w:sz="4" w:space="0"/>
              <w:right w:val="single" w:color="000000" w:sz="4" w:space="0"/>
            </w:tcBorders>
            <w:vAlign w:val="center"/>
          </w:tcPr>
          <w:p>
            <w:pPr>
              <w:jc w:val="right"/>
              <w:rPr>
                <w:rFonts w:hint="default" w:ascii="宋体"/>
                <w:color w:val="000000"/>
                <w:kern w:val="0"/>
                <w:sz w:val="15"/>
                <w:szCs w:val="15"/>
              </w:rPr>
            </w:pP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2119999</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其他节能环保支出</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4,504.15</w:t>
            </w:r>
          </w:p>
        </w:tc>
        <w:tc>
          <w:tcPr>
            <w:tcW w:w="1103" w:type="dxa"/>
            <w:tcBorders>
              <w:top w:val="single" w:color="000000" w:sz="4" w:space="0"/>
              <w:left w:val="nil"/>
              <w:bottom w:val="single" w:color="000000" w:sz="4" w:space="0"/>
              <w:right w:val="single" w:color="000000" w:sz="4" w:space="0"/>
            </w:tcBorders>
            <w:vAlign w:val="center"/>
          </w:tcPr>
          <w:p>
            <w:pPr>
              <w:jc w:val="right"/>
              <w:rPr>
                <w:rFonts w:hint="eastAsia" w:ascii="宋体" w:hAnsi="宋体" w:eastAsia="宋体" w:cs="宋体"/>
                <w:i w:val="0"/>
                <w:iCs w:val="0"/>
                <w:color w:val="000000"/>
                <w:kern w:val="0"/>
                <w:sz w:val="15"/>
                <w:szCs w:val="15"/>
                <w:u w:val="none"/>
                <w:lang w:val="en-US" w:eastAsia="zh-CN" w:bidi="ar"/>
              </w:rPr>
            </w:pPr>
          </w:p>
        </w:tc>
        <w:tc>
          <w:tcPr>
            <w:tcW w:w="121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color w:val="000000"/>
                <w:kern w:val="0"/>
                <w:sz w:val="15"/>
                <w:szCs w:val="15"/>
              </w:rPr>
            </w:pPr>
            <w:r>
              <w:rPr>
                <w:rFonts w:hint="eastAsia" w:ascii="宋体" w:hAnsi="宋体" w:eastAsia="宋体" w:cs="宋体"/>
                <w:i w:val="0"/>
                <w:color w:val="000000"/>
                <w:kern w:val="0"/>
                <w:sz w:val="15"/>
                <w:szCs w:val="15"/>
                <w:u w:val="none"/>
                <w:lang w:val="en-US" w:eastAsia="zh-CN" w:bidi="ar"/>
              </w:rPr>
              <w:t>4,504.15</w:t>
            </w: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2210201</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住房公积金</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1,490.81</w:t>
            </w:r>
          </w:p>
        </w:tc>
        <w:tc>
          <w:tcPr>
            <w:tcW w:w="1103"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1,490.81</w:t>
            </w:r>
          </w:p>
        </w:tc>
        <w:tc>
          <w:tcPr>
            <w:tcW w:w="1214" w:type="dxa"/>
            <w:tcBorders>
              <w:top w:val="single" w:color="000000" w:sz="4" w:space="0"/>
              <w:left w:val="nil"/>
              <w:bottom w:val="single" w:color="000000" w:sz="4" w:space="0"/>
              <w:right w:val="single" w:color="000000" w:sz="4" w:space="0"/>
            </w:tcBorders>
            <w:vAlign w:val="center"/>
          </w:tcPr>
          <w:p>
            <w:pPr>
              <w:jc w:val="right"/>
              <w:rPr>
                <w:rFonts w:hint="default" w:ascii="宋体"/>
                <w:color w:val="000000"/>
                <w:kern w:val="0"/>
                <w:sz w:val="15"/>
                <w:szCs w:val="15"/>
              </w:rPr>
            </w:pP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2210202</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提租补贴</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1.52</w:t>
            </w:r>
          </w:p>
        </w:tc>
        <w:tc>
          <w:tcPr>
            <w:tcW w:w="1103"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1.52</w:t>
            </w:r>
          </w:p>
        </w:tc>
        <w:tc>
          <w:tcPr>
            <w:tcW w:w="1214" w:type="dxa"/>
            <w:tcBorders>
              <w:top w:val="single" w:color="000000" w:sz="4" w:space="0"/>
              <w:left w:val="nil"/>
              <w:bottom w:val="single" w:color="000000" w:sz="4" w:space="0"/>
              <w:right w:val="single" w:color="000000" w:sz="4" w:space="0"/>
            </w:tcBorders>
            <w:vAlign w:val="center"/>
          </w:tcPr>
          <w:p>
            <w:pPr>
              <w:jc w:val="right"/>
              <w:rPr>
                <w:rFonts w:hint="default" w:ascii="宋体"/>
                <w:color w:val="000000"/>
                <w:kern w:val="0"/>
                <w:sz w:val="15"/>
                <w:szCs w:val="15"/>
              </w:rPr>
            </w:pP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r>
        <w:tblPrEx>
          <w:tblCellMar>
            <w:top w:w="0" w:type="dxa"/>
            <w:left w:w="108" w:type="dxa"/>
            <w:bottom w:w="0" w:type="dxa"/>
            <w:right w:w="108" w:type="dxa"/>
          </w:tblCellMar>
        </w:tblPrEx>
        <w:trPr>
          <w:trHeight w:val="227" w:hRule="exact"/>
          <w:jc w:val="center"/>
        </w:trPr>
        <w:tc>
          <w:tcPr>
            <w:tcW w:w="1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2210203</w:t>
            </w:r>
          </w:p>
        </w:tc>
        <w:tc>
          <w:tcPr>
            <w:tcW w:w="4176" w:type="dxa"/>
            <w:gridSpan w:val="3"/>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购房补贴</w:t>
            </w:r>
          </w:p>
        </w:tc>
        <w:tc>
          <w:tcPr>
            <w:tcW w:w="147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406.36</w:t>
            </w:r>
          </w:p>
        </w:tc>
        <w:tc>
          <w:tcPr>
            <w:tcW w:w="1103"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406.36</w:t>
            </w:r>
          </w:p>
        </w:tc>
        <w:tc>
          <w:tcPr>
            <w:tcW w:w="1214" w:type="dxa"/>
            <w:tcBorders>
              <w:top w:val="single" w:color="000000" w:sz="4" w:space="0"/>
              <w:left w:val="nil"/>
              <w:bottom w:val="single" w:color="000000" w:sz="4" w:space="0"/>
              <w:right w:val="single" w:color="000000" w:sz="4" w:space="0"/>
            </w:tcBorders>
            <w:vAlign w:val="center"/>
          </w:tcPr>
          <w:p>
            <w:pPr>
              <w:jc w:val="right"/>
              <w:rPr>
                <w:rFonts w:hint="default" w:ascii="宋体"/>
                <w:color w:val="000000"/>
                <w:kern w:val="0"/>
                <w:sz w:val="15"/>
                <w:szCs w:val="15"/>
              </w:rPr>
            </w:pPr>
          </w:p>
        </w:tc>
        <w:tc>
          <w:tcPr>
            <w:tcW w:w="147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05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10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222" w:type="dxa"/>
            <w:tcBorders>
              <w:top w:val="nil"/>
              <w:left w:val="nil"/>
              <w:bottom w:val="nil"/>
              <w:right w:val="nil"/>
            </w:tcBorders>
            <w:vAlign w:val="center"/>
          </w:tcPr>
          <w:p>
            <w:pPr>
              <w:widowControl/>
              <w:jc w:val="left"/>
              <w:rPr>
                <w:rFonts w:hint="default" w:eastAsia="Times New Roman"/>
                <w:kern w:val="0"/>
                <w:sz w:val="15"/>
                <w:szCs w:val="15"/>
              </w:rPr>
            </w:pPr>
          </w:p>
        </w:tc>
      </w:tr>
    </w:tbl>
    <w:p>
      <w:pPr>
        <w:widowControl/>
        <w:spacing w:line="560" w:lineRule="atLeast"/>
        <w:jc w:val="left"/>
        <w:rPr>
          <w:rFonts w:hint="default" w:ascii="仿宋_GB2312" w:hAnsi="宋体" w:eastAsia="仿宋_GB2312"/>
          <w:kern w:val="0"/>
          <w:sz w:val="15"/>
          <w:szCs w:val="15"/>
        </w:rPr>
      </w:pPr>
      <w:r>
        <w:rPr>
          <w:rFonts w:ascii="宋体" w:hAnsi="宋体" w:cs="宋体"/>
          <w:kern w:val="0"/>
          <w:sz w:val="15"/>
          <w:szCs w:val="15"/>
        </w:rPr>
        <w:t>注：1.本表反映部门本年度各项支出情况。2.本套报表金额单位转换时可能存在尾数误差。3.如本表为空，则我部门本年度无此类资金收支余。</w:t>
      </w:r>
    </w:p>
    <w:p>
      <w:pPr>
        <w:widowControl/>
        <w:spacing w:line="560" w:lineRule="atLeast"/>
        <w:ind w:right="-1100"/>
        <w:jc w:val="left"/>
        <w:rPr>
          <w:rFonts w:hint="default" w:ascii="仿宋_GB2312" w:hAnsi="宋体" w:eastAsia="仿宋_GB2312"/>
          <w:kern w:val="0"/>
          <w:sz w:val="24"/>
        </w:rPr>
      </w:pPr>
      <w:r>
        <w:rPr>
          <w:rFonts w:ascii="仿宋_GB2312" w:hAnsi="宋体" w:eastAsia="仿宋_GB2312"/>
          <w:kern w:val="0"/>
          <w:sz w:val="24"/>
        </w:rPr>
        <w:t>附件1-4</w:t>
      </w:r>
    </w:p>
    <w:tbl>
      <w:tblPr>
        <w:tblStyle w:val="5"/>
        <w:tblW w:w="14560" w:type="dxa"/>
        <w:tblInd w:w="0" w:type="dxa"/>
        <w:tblLayout w:type="fixed"/>
        <w:tblCellMar>
          <w:top w:w="0" w:type="dxa"/>
          <w:left w:w="108" w:type="dxa"/>
          <w:bottom w:w="0" w:type="dxa"/>
          <w:right w:w="108" w:type="dxa"/>
        </w:tblCellMar>
      </w:tblPr>
      <w:tblGrid>
        <w:gridCol w:w="1727"/>
        <w:gridCol w:w="466"/>
        <w:gridCol w:w="466"/>
        <w:gridCol w:w="586"/>
        <w:gridCol w:w="528"/>
        <w:gridCol w:w="528"/>
        <w:gridCol w:w="2394"/>
        <w:gridCol w:w="586"/>
        <w:gridCol w:w="1056"/>
        <w:gridCol w:w="2015"/>
        <w:gridCol w:w="2024"/>
        <w:gridCol w:w="2184"/>
      </w:tblGrid>
      <w:tr>
        <w:tblPrEx>
          <w:tblCellMar>
            <w:top w:w="0" w:type="dxa"/>
            <w:left w:w="108" w:type="dxa"/>
            <w:bottom w:w="0" w:type="dxa"/>
            <w:right w:w="108" w:type="dxa"/>
          </w:tblCellMar>
        </w:tblPrEx>
        <w:trPr>
          <w:trHeight w:val="457" w:hRule="exact"/>
        </w:trPr>
        <w:tc>
          <w:tcPr>
            <w:tcW w:w="14560" w:type="dxa"/>
            <w:gridSpan w:val="12"/>
            <w:tcBorders>
              <w:top w:val="nil"/>
              <w:left w:val="nil"/>
              <w:bottom w:val="nil"/>
              <w:right w:val="nil"/>
            </w:tcBorders>
            <w:vAlign w:val="center"/>
          </w:tcPr>
          <w:p>
            <w:pPr>
              <w:widowControl/>
              <w:jc w:val="center"/>
              <w:textAlignment w:val="center"/>
              <w:rPr>
                <w:rFonts w:hint="default" w:ascii="宋体"/>
                <w:b/>
                <w:color w:val="000000"/>
                <w:kern w:val="0"/>
              </w:rPr>
            </w:pPr>
            <w:r>
              <w:rPr>
                <w:rFonts w:ascii="宋体" w:hAnsi="宋体" w:cs="宋体"/>
                <w:b/>
                <w:color w:val="000000"/>
                <w:kern w:val="0"/>
                <w:sz w:val="28"/>
                <w:szCs w:val="28"/>
              </w:rPr>
              <w:t>财政拨款收入支出决算表</w:t>
            </w:r>
          </w:p>
        </w:tc>
      </w:tr>
      <w:tr>
        <w:tblPrEx>
          <w:tblCellMar>
            <w:top w:w="0" w:type="dxa"/>
            <w:left w:w="108" w:type="dxa"/>
            <w:bottom w:w="0" w:type="dxa"/>
            <w:right w:w="108" w:type="dxa"/>
          </w:tblCellMar>
        </w:tblPrEx>
        <w:trPr>
          <w:trHeight w:val="267" w:hRule="exact"/>
        </w:trPr>
        <w:tc>
          <w:tcPr>
            <w:tcW w:w="14560" w:type="dxa"/>
            <w:gridSpan w:val="12"/>
            <w:tcBorders>
              <w:top w:val="nil"/>
              <w:left w:val="nil"/>
              <w:bottom w:val="nil"/>
              <w:right w:val="nil"/>
            </w:tcBorders>
            <w:vAlign w:val="center"/>
          </w:tcPr>
          <w:p>
            <w:pPr>
              <w:widowControl/>
              <w:jc w:val="right"/>
              <w:textAlignment w:val="center"/>
              <w:rPr>
                <w:rFonts w:hint="default" w:ascii="宋体" w:hAnsi="宋体" w:cs="宋体"/>
                <w:b/>
                <w:color w:val="000000"/>
                <w:kern w:val="0"/>
                <w:sz w:val="28"/>
                <w:szCs w:val="28"/>
              </w:rPr>
            </w:pPr>
            <w:r>
              <w:rPr>
                <w:rStyle w:val="11"/>
              </w:rPr>
              <w:t>公开04表</w:t>
            </w:r>
          </w:p>
        </w:tc>
      </w:tr>
      <w:tr>
        <w:tblPrEx>
          <w:tblCellMar>
            <w:top w:w="0" w:type="dxa"/>
            <w:left w:w="108" w:type="dxa"/>
            <w:bottom w:w="0" w:type="dxa"/>
            <w:right w:w="108" w:type="dxa"/>
          </w:tblCellMar>
        </w:tblPrEx>
        <w:trPr>
          <w:trHeight w:val="265" w:hRule="exact"/>
        </w:trPr>
        <w:tc>
          <w:tcPr>
            <w:tcW w:w="1727" w:type="dxa"/>
            <w:tcBorders>
              <w:top w:val="nil"/>
              <w:left w:val="nil"/>
              <w:bottom w:val="nil"/>
              <w:right w:val="nil"/>
            </w:tcBorders>
            <w:shd w:val="clear" w:color="auto" w:fill="FFFFFF"/>
            <w:vAlign w:val="center"/>
          </w:tcPr>
          <w:p>
            <w:pPr>
              <w:widowControl/>
              <w:jc w:val="left"/>
              <w:textAlignment w:val="center"/>
              <w:rPr>
                <w:rFonts w:hint="default" w:ascii="宋体"/>
                <w:color w:val="000000"/>
                <w:kern w:val="0"/>
                <w:shd w:val="clear" w:color="auto" w:fill="FFFFFF"/>
              </w:rPr>
            </w:pPr>
            <w:r>
              <w:rPr>
                <w:rFonts w:ascii="宋体" w:hAnsi="宋体" w:cs="宋体"/>
                <w:color w:val="000000"/>
                <w:kern w:val="0"/>
                <w:szCs w:val="21"/>
              </w:rPr>
              <w:t>部门：</w:t>
            </w:r>
          </w:p>
        </w:tc>
        <w:tc>
          <w:tcPr>
            <w:tcW w:w="466" w:type="dxa"/>
            <w:tcBorders>
              <w:top w:val="nil"/>
              <w:left w:val="nil"/>
              <w:bottom w:val="nil"/>
              <w:right w:val="nil"/>
            </w:tcBorders>
            <w:shd w:val="clear" w:color="auto" w:fill="FFFFFF"/>
            <w:vAlign w:val="center"/>
          </w:tcPr>
          <w:p>
            <w:pPr>
              <w:jc w:val="right"/>
              <w:rPr>
                <w:rFonts w:hint="default" w:ascii="宋体"/>
                <w:color w:val="000000"/>
                <w:kern w:val="0"/>
                <w:shd w:val="clear" w:color="auto" w:fill="FFFFFF"/>
              </w:rPr>
            </w:pPr>
          </w:p>
        </w:tc>
        <w:tc>
          <w:tcPr>
            <w:tcW w:w="466" w:type="dxa"/>
            <w:tcBorders>
              <w:top w:val="nil"/>
              <w:left w:val="nil"/>
              <w:bottom w:val="nil"/>
              <w:right w:val="nil"/>
            </w:tcBorders>
            <w:shd w:val="clear" w:color="auto" w:fill="FFFFFF"/>
            <w:vAlign w:val="center"/>
          </w:tcPr>
          <w:p>
            <w:pPr>
              <w:jc w:val="right"/>
              <w:rPr>
                <w:rFonts w:hint="default" w:ascii="宋体"/>
                <w:color w:val="000000"/>
                <w:kern w:val="0"/>
                <w:shd w:val="clear" w:color="auto" w:fill="FFFFFF"/>
              </w:rPr>
            </w:pPr>
          </w:p>
        </w:tc>
        <w:tc>
          <w:tcPr>
            <w:tcW w:w="586" w:type="dxa"/>
            <w:tcBorders>
              <w:top w:val="nil"/>
              <w:left w:val="nil"/>
              <w:bottom w:val="nil"/>
              <w:right w:val="nil"/>
            </w:tcBorders>
            <w:shd w:val="clear" w:color="auto" w:fill="FFFFFF"/>
            <w:vAlign w:val="center"/>
          </w:tcPr>
          <w:p>
            <w:pPr>
              <w:jc w:val="right"/>
              <w:rPr>
                <w:rFonts w:hint="default" w:ascii="宋体"/>
                <w:color w:val="000000"/>
                <w:kern w:val="0"/>
                <w:shd w:val="clear" w:color="auto" w:fill="FFFFFF"/>
              </w:rPr>
            </w:pPr>
          </w:p>
        </w:tc>
        <w:tc>
          <w:tcPr>
            <w:tcW w:w="528" w:type="dxa"/>
            <w:tcBorders>
              <w:top w:val="nil"/>
              <w:left w:val="nil"/>
              <w:bottom w:val="nil"/>
              <w:right w:val="nil"/>
            </w:tcBorders>
            <w:shd w:val="clear" w:color="auto" w:fill="FFFFFF"/>
            <w:vAlign w:val="center"/>
          </w:tcPr>
          <w:p>
            <w:pPr>
              <w:jc w:val="right"/>
              <w:rPr>
                <w:rFonts w:hint="default" w:ascii="宋体"/>
                <w:color w:val="000000"/>
                <w:kern w:val="0"/>
                <w:shd w:val="clear" w:color="auto" w:fill="FFFFFF"/>
              </w:rPr>
            </w:pPr>
          </w:p>
        </w:tc>
        <w:tc>
          <w:tcPr>
            <w:tcW w:w="528" w:type="dxa"/>
            <w:tcBorders>
              <w:top w:val="nil"/>
              <w:left w:val="nil"/>
              <w:bottom w:val="nil"/>
              <w:right w:val="nil"/>
            </w:tcBorders>
            <w:shd w:val="clear" w:color="auto" w:fill="FFFFFF"/>
            <w:vAlign w:val="center"/>
          </w:tcPr>
          <w:p>
            <w:pPr>
              <w:jc w:val="right"/>
              <w:rPr>
                <w:rFonts w:hint="default" w:ascii="宋体"/>
                <w:color w:val="000000"/>
                <w:kern w:val="0"/>
                <w:shd w:val="clear" w:color="auto" w:fill="FFFFFF"/>
              </w:rPr>
            </w:pPr>
          </w:p>
        </w:tc>
        <w:tc>
          <w:tcPr>
            <w:tcW w:w="2394" w:type="dxa"/>
            <w:tcBorders>
              <w:top w:val="nil"/>
              <w:left w:val="nil"/>
              <w:bottom w:val="nil"/>
              <w:right w:val="nil"/>
            </w:tcBorders>
            <w:shd w:val="clear" w:color="auto" w:fill="FFFFFF"/>
            <w:vAlign w:val="center"/>
          </w:tcPr>
          <w:p>
            <w:pPr>
              <w:jc w:val="right"/>
              <w:rPr>
                <w:rFonts w:hint="default" w:ascii="宋体"/>
                <w:color w:val="000000"/>
                <w:kern w:val="0"/>
                <w:shd w:val="clear" w:color="auto" w:fill="FFFFFF"/>
              </w:rPr>
            </w:pPr>
          </w:p>
        </w:tc>
        <w:tc>
          <w:tcPr>
            <w:tcW w:w="7865" w:type="dxa"/>
            <w:gridSpan w:val="5"/>
            <w:tcBorders>
              <w:top w:val="nil"/>
              <w:left w:val="nil"/>
              <w:bottom w:val="nil"/>
              <w:right w:val="nil"/>
            </w:tcBorders>
            <w:shd w:val="clear" w:color="auto" w:fill="FFFFFF"/>
            <w:vAlign w:val="center"/>
          </w:tcPr>
          <w:p>
            <w:pPr>
              <w:widowControl/>
              <w:jc w:val="right"/>
              <w:textAlignment w:val="center"/>
              <w:rPr>
                <w:rFonts w:hint="default"/>
              </w:rPr>
            </w:pPr>
            <w:r>
              <w:rPr>
                <w:rFonts w:ascii="宋体" w:hAnsi="宋体" w:cs="宋体"/>
                <w:color w:val="000000"/>
                <w:kern w:val="0"/>
                <w:szCs w:val="21"/>
              </w:rPr>
              <w:t>单位：万元</w:t>
            </w:r>
          </w:p>
        </w:tc>
      </w:tr>
      <w:tr>
        <w:tblPrEx>
          <w:tblCellMar>
            <w:top w:w="0" w:type="dxa"/>
            <w:left w:w="108" w:type="dxa"/>
            <w:bottom w:w="0" w:type="dxa"/>
            <w:right w:w="108" w:type="dxa"/>
          </w:tblCellMar>
        </w:tblPrEx>
        <w:trPr>
          <w:trHeight w:val="420" w:hRule="exact"/>
        </w:trPr>
        <w:tc>
          <w:tcPr>
            <w:tcW w:w="4301"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宋体"/>
                <w:color w:val="000000"/>
                <w:kern w:val="0"/>
                <w:shd w:val="clear" w:color="auto" w:fill="FFFFFF"/>
              </w:rPr>
            </w:pPr>
            <w:r>
              <w:rPr>
                <w:rFonts w:ascii="宋体" w:hAnsi="宋体" w:cs="宋体"/>
                <w:color w:val="000000"/>
                <w:kern w:val="0"/>
                <w:szCs w:val="21"/>
              </w:rPr>
              <w:t>收  入</w:t>
            </w:r>
          </w:p>
        </w:tc>
        <w:tc>
          <w:tcPr>
            <w:tcW w:w="10259" w:type="dxa"/>
            <w:gridSpan w:val="6"/>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color w:val="000000"/>
                <w:kern w:val="0"/>
                <w:shd w:val="clear" w:color="auto" w:fill="FFFFFF"/>
              </w:rPr>
            </w:pPr>
            <w:r>
              <w:rPr>
                <w:rFonts w:ascii="宋体" w:hAnsi="宋体" w:cs="宋体"/>
                <w:color w:val="000000"/>
                <w:kern w:val="0"/>
                <w:szCs w:val="21"/>
              </w:rPr>
              <w:t>支出</w:t>
            </w:r>
          </w:p>
        </w:tc>
      </w:tr>
      <w:tr>
        <w:tblPrEx>
          <w:tblCellMar>
            <w:top w:w="0" w:type="dxa"/>
            <w:left w:w="108" w:type="dxa"/>
            <w:bottom w:w="0" w:type="dxa"/>
            <w:right w:w="108" w:type="dxa"/>
          </w:tblCellMar>
        </w:tblPrEx>
        <w:trPr>
          <w:trHeight w:val="610" w:hRule="exact"/>
        </w:trPr>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宋体"/>
                <w:color w:val="000000"/>
                <w:kern w:val="0"/>
                <w:shd w:val="clear" w:color="auto" w:fill="FFFFFF"/>
              </w:rPr>
            </w:pPr>
            <w:r>
              <w:rPr>
                <w:rFonts w:ascii="宋体" w:hAnsi="宋体" w:cs="宋体"/>
                <w:color w:val="000000"/>
                <w:kern w:val="0"/>
                <w:szCs w:val="21"/>
              </w:rPr>
              <w:t>项    目</w:t>
            </w: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color w:val="000000"/>
                <w:kern w:val="0"/>
                <w:shd w:val="clear" w:color="auto" w:fill="FFFFFF"/>
              </w:rPr>
            </w:pPr>
            <w:r>
              <w:rPr>
                <w:rFonts w:ascii="宋体" w:hAnsi="宋体" w:cs="宋体"/>
                <w:color w:val="000000"/>
                <w:kern w:val="0"/>
                <w:szCs w:val="21"/>
              </w:rPr>
              <w:t>行次</w:t>
            </w:r>
          </w:p>
        </w:tc>
        <w:tc>
          <w:tcPr>
            <w:tcW w:w="1056" w:type="dxa"/>
            <w:gridSpan w:val="2"/>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color w:val="000000"/>
                <w:kern w:val="0"/>
                <w:shd w:val="clear" w:color="auto" w:fill="FFFFFF"/>
              </w:rPr>
            </w:pPr>
            <w:r>
              <w:rPr>
                <w:rFonts w:ascii="宋体" w:hAnsi="宋体" w:cs="宋体"/>
                <w:color w:val="000000"/>
                <w:kern w:val="0"/>
                <w:szCs w:val="21"/>
              </w:rPr>
              <w:t>金额</w:t>
            </w:r>
          </w:p>
        </w:tc>
        <w:tc>
          <w:tcPr>
            <w:tcW w:w="2394"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color w:val="000000"/>
                <w:kern w:val="0"/>
                <w:shd w:val="clear" w:color="auto" w:fill="FFFFFF"/>
              </w:rPr>
            </w:pPr>
            <w:r>
              <w:rPr>
                <w:rFonts w:ascii="宋体" w:hAnsi="宋体" w:cs="宋体"/>
                <w:color w:val="000000"/>
                <w:kern w:val="0"/>
                <w:szCs w:val="21"/>
              </w:rPr>
              <w:t>项    目</w:t>
            </w: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color w:val="000000"/>
                <w:kern w:val="0"/>
                <w:shd w:val="clear" w:color="auto" w:fill="FFFFFF"/>
              </w:rPr>
            </w:pPr>
            <w:r>
              <w:rPr>
                <w:rFonts w:ascii="宋体" w:hAnsi="宋体" w:cs="宋体"/>
                <w:color w:val="000000"/>
                <w:kern w:val="0"/>
                <w:szCs w:val="21"/>
              </w:rPr>
              <w:t>行次</w:t>
            </w:r>
          </w:p>
        </w:tc>
        <w:tc>
          <w:tcPr>
            <w:tcW w:w="1056"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color w:val="000000"/>
                <w:kern w:val="0"/>
                <w:shd w:val="clear" w:color="auto" w:fill="FFFFFF"/>
              </w:rPr>
            </w:pPr>
            <w:r>
              <w:rPr>
                <w:rFonts w:ascii="宋体" w:hAnsi="宋体" w:cs="宋体"/>
                <w:color w:val="000000"/>
                <w:kern w:val="0"/>
                <w:szCs w:val="21"/>
              </w:rPr>
              <w:t>合计</w:t>
            </w:r>
          </w:p>
        </w:tc>
        <w:tc>
          <w:tcPr>
            <w:tcW w:w="2015"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color w:val="000000"/>
                <w:kern w:val="0"/>
                <w:shd w:val="clear" w:color="auto" w:fill="FFFFFF"/>
              </w:rPr>
            </w:pPr>
            <w:r>
              <w:rPr>
                <w:rFonts w:ascii="宋体" w:hAnsi="宋体" w:cs="宋体"/>
                <w:color w:val="000000"/>
                <w:kern w:val="0"/>
                <w:szCs w:val="21"/>
              </w:rPr>
              <w:t>一般公共预算财政拨款</w:t>
            </w:r>
          </w:p>
        </w:tc>
        <w:tc>
          <w:tcPr>
            <w:tcW w:w="2024"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color w:val="000000"/>
                <w:kern w:val="0"/>
                <w:shd w:val="clear" w:color="auto" w:fill="FFFFFF"/>
              </w:rPr>
            </w:pPr>
            <w:r>
              <w:rPr>
                <w:rFonts w:ascii="宋体" w:hAnsi="宋体" w:cs="宋体"/>
                <w:color w:val="000000"/>
                <w:kern w:val="0"/>
                <w:szCs w:val="21"/>
              </w:rPr>
              <w:t>政府性基金预算财政拨款</w:t>
            </w:r>
          </w:p>
        </w:tc>
        <w:tc>
          <w:tcPr>
            <w:tcW w:w="2184"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rPr>
            </w:pPr>
            <w:r>
              <w:rPr>
                <w:rFonts w:ascii="宋体" w:hAnsi="宋体" w:cs="宋体"/>
                <w:color w:val="000000"/>
                <w:kern w:val="0"/>
                <w:szCs w:val="21"/>
              </w:rPr>
              <w:t>国有资本经营预算财政拨款</w:t>
            </w:r>
          </w:p>
        </w:tc>
      </w:tr>
      <w:tr>
        <w:tblPrEx>
          <w:tblCellMar>
            <w:top w:w="0" w:type="dxa"/>
            <w:left w:w="108" w:type="dxa"/>
            <w:bottom w:w="0" w:type="dxa"/>
            <w:right w:w="108" w:type="dxa"/>
          </w:tblCellMar>
        </w:tblPrEx>
        <w:trPr>
          <w:trHeight w:val="340" w:hRule="exact"/>
        </w:trPr>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宋体"/>
                <w:color w:val="000000"/>
                <w:kern w:val="0"/>
                <w:shd w:val="clear" w:color="auto" w:fill="FFFFFF"/>
              </w:rPr>
            </w:pPr>
            <w:r>
              <w:rPr>
                <w:rFonts w:ascii="宋体" w:hAnsi="宋体" w:cs="宋体"/>
                <w:color w:val="000000"/>
                <w:kern w:val="0"/>
                <w:szCs w:val="21"/>
              </w:rPr>
              <w:t>栏    次</w:t>
            </w:r>
          </w:p>
        </w:tc>
        <w:tc>
          <w:tcPr>
            <w:tcW w:w="586" w:type="dxa"/>
            <w:tcBorders>
              <w:top w:val="single" w:color="000000" w:sz="4" w:space="0"/>
              <w:left w:val="nil"/>
              <w:bottom w:val="single" w:color="000000" w:sz="4" w:space="0"/>
              <w:right w:val="single" w:color="000000" w:sz="4" w:space="0"/>
            </w:tcBorders>
            <w:shd w:val="clear" w:color="auto" w:fill="FFFFFF"/>
            <w:vAlign w:val="center"/>
          </w:tcPr>
          <w:p>
            <w:pPr>
              <w:jc w:val="center"/>
              <w:rPr>
                <w:rFonts w:hint="default" w:ascii="宋体"/>
                <w:color w:val="000000"/>
                <w:kern w:val="0"/>
                <w:shd w:val="clear" w:color="auto" w:fill="FFFFFF"/>
              </w:rPr>
            </w:pPr>
          </w:p>
        </w:tc>
        <w:tc>
          <w:tcPr>
            <w:tcW w:w="1056" w:type="dxa"/>
            <w:gridSpan w:val="2"/>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color w:val="000000"/>
                <w:kern w:val="0"/>
                <w:shd w:val="clear" w:color="auto" w:fill="FFFFFF"/>
              </w:rPr>
            </w:pPr>
            <w:r>
              <w:rPr>
                <w:rFonts w:ascii="宋体" w:hAnsi="宋体" w:cs="宋体"/>
                <w:color w:val="000000"/>
                <w:kern w:val="0"/>
                <w:szCs w:val="21"/>
              </w:rPr>
              <w:t>1</w:t>
            </w:r>
          </w:p>
        </w:tc>
        <w:tc>
          <w:tcPr>
            <w:tcW w:w="2394"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color w:val="000000"/>
                <w:kern w:val="0"/>
                <w:shd w:val="clear" w:color="auto" w:fill="FFFFFF"/>
              </w:rPr>
            </w:pPr>
            <w:r>
              <w:rPr>
                <w:rFonts w:ascii="宋体" w:hAnsi="宋体" w:cs="宋体"/>
                <w:color w:val="000000"/>
                <w:kern w:val="0"/>
                <w:szCs w:val="21"/>
              </w:rPr>
              <w:t>栏    次</w:t>
            </w:r>
          </w:p>
        </w:tc>
        <w:tc>
          <w:tcPr>
            <w:tcW w:w="586" w:type="dxa"/>
            <w:tcBorders>
              <w:top w:val="single" w:color="000000" w:sz="4" w:space="0"/>
              <w:left w:val="nil"/>
              <w:bottom w:val="single" w:color="000000" w:sz="4" w:space="0"/>
              <w:right w:val="single" w:color="000000" w:sz="4" w:space="0"/>
            </w:tcBorders>
            <w:shd w:val="clear" w:color="auto" w:fill="FFFFFF"/>
            <w:vAlign w:val="center"/>
          </w:tcPr>
          <w:p>
            <w:pPr>
              <w:jc w:val="center"/>
              <w:rPr>
                <w:rFonts w:hint="default" w:ascii="宋体"/>
                <w:color w:val="000000"/>
                <w:kern w:val="0"/>
                <w:shd w:val="clear" w:color="auto" w:fill="FFFFFF"/>
              </w:rPr>
            </w:pPr>
          </w:p>
        </w:tc>
        <w:tc>
          <w:tcPr>
            <w:tcW w:w="1056"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color w:val="000000"/>
                <w:kern w:val="0"/>
                <w:shd w:val="clear" w:color="auto" w:fill="FFFFFF"/>
              </w:rPr>
            </w:pPr>
            <w:r>
              <w:rPr>
                <w:rFonts w:ascii="宋体" w:hAnsi="宋体" w:cs="宋体"/>
                <w:color w:val="000000"/>
                <w:kern w:val="0"/>
                <w:szCs w:val="21"/>
              </w:rPr>
              <w:t>2</w:t>
            </w:r>
          </w:p>
        </w:tc>
        <w:tc>
          <w:tcPr>
            <w:tcW w:w="2015"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color w:val="000000"/>
                <w:kern w:val="0"/>
                <w:shd w:val="clear" w:color="auto" w:fill="FFFFFF"/>
              </w:rPr>
            </w:pPr>
            <w:r>
              <w:rPr>
                <w:rFonts w:ascii="宋体" w:hAnsi="宋体" w:cs="宋体"/>
                <w:color w:val="000000"/>
                <w:kern w:val="0"/>
                <w:szCs w:val="21"/>
              </w:rPr>
              <w:t>3</w:t>
            </w:r>
          </w:p>
        </w:tc>
        <w:tc>
          <w:tcPr>
            <w:tcW w:w="2024"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color w:val="000000"/>
                <w:kern w:val="0"/>
                <w:shd w:val="clear" w:color="auto" w:fill="FFFFFF"/>
              </w:rPr>
            </w:pPr>
            <w:r>
              <w:rPr>
                <w:rFonts w:ascii="宋体" w:hAnsi="宋体" w:cs="宋体"/>
                <w:color w:val="000000"/>
                <w:kern w:val="0"/>
                <w:szCs w:val="21"/>
              </w:rPr>
              <w:t>4</w:t>
            </w:r>
          </w:p>
        </w:tc>
        <w:tc>
          <w:tcPr>
            <w:tcW w:w="2184"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rPr>
            </w:pPr>
            <w:r>
              <w:rPr>
                <w:rFonts w:ascii="宋体" w:hAnsi="宋体" w:cs="宋体"/>
                <w:color w:val="000000"/>
                <w:kern w:val="0"/>
                <w:szCs w:val="21"/>
              </w:rPr>
              <w:t>5</w:t>
            </w:r>
          </w:p>
        </w:tc>
      </w:tr>
      <w:tr>
        <w:tblPrEx>
          <w:tblCellMar>
            <w:top w:w="0" w:type="dxa"/>
            <w:left w:w="108" w:type="dxa"/>
            <w:bottom w:w="0" w:type="dxa"/>
            <w:right w:w="108" w:type="dxa"/>
          </w:tblCellMar>
        </w:tblPrEx>
        <w:trPr>
          <w:trHeight w:val="340" w:hRule="exact"/>
        </w:trPr>
        <w:tc>
          <w:tcPr>
            <w:tcW w:w="26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宋体"/>
                <w:color w:val="000000"/>
                <w:kern w:val="0"/>
              </w:rPr>
            </w:pPr>
            <w:r>
              <w:rPr>
                <w:rFonts w:ascii="宋体" w:hAnsi="宋体" w:cs="宋体"/>
                <w:color w:val="000000"/>
                <w:kern w:val="0"/>
                <w:szCs w:val="21"/>
              </w:rPr>
              <w:t>一、一般公共预算财政拨款</w:t>
            </w: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color w:val="000000"/>
                <w:kern w:val="0"/>
                <w:shd w:val="clear" w:color="auto" w:fill="FFFFFF"/>
              </w:rPr>
            </w:pPr>
            <w:r>
              <w:rPr>
                <w:rFonts w:ascii="宋体" w:hAnsi="宋体" w:cs="宋体"/>
                <w:color w:val="000000"/>
                <w:kern w:val="0"/>
                <w:szCs w:val="21"/>
              </w:rPr>
              <w:t>1</w:t>
            </w:r>
          </w:p>
        </w:tc>
        <w:tc>
          <w:tcPr>
            <w:tcW w:w="1056"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color w:val="000000"/>
                <w:kern w:val="0"/>
                <w:sz w:val="21"/>
                <w:szCs w:val="21"/>
              </w:rPr>
            </w:pPr>
            <w:r>
              <w:rPr>
                <w:rFonts w:hint="eastAsia" w:ascii="宋体" w:hAnsi="宋体" w:eastAsia="宋体" w:cs="宋体"/>
                <w:i w:val="0"/>
                <w:color w:val="000000"/>
                <w:kern w:val="0"/>
                <w:sz w:val="21"/>
                <w:szCs w:val="21"/>
                <w:u w:val="none"/>
                <w:lang w:val="en-US" w:eastAsia="zh-CN" w:bidi="ar"/>
              </w:rPr>
              <w:t>59,223.93</w:t>
            </w:r>
          </w:p>
        </w:tc>
        <w:tc>
          <w:tcPr>
            <w:tcW w:w="2394" w:type="dxa"/>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hint="default" w:ascii="宋体"/>
                <w:color w:val="000000"/>
                <w:kern w:val="0"/>
                <w:shd w:val="clear" w:color="auto" w:fill="FFFFFF"/>
              </w:rPr>
            </w:pPr>
            <w:r>
              <w:rPr>
                <w:rFonts w:ascii="宋体" w:hAnsi="宋体" w:cs="宋体"/>
                <w:color w:val="000000"/>
                <w:kern w:val="0"/>
                <w:szCs w:val="21"/>
              </w:rPr>
              <w:t>一、一般公共服务支出</w:t>
            </w: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color w:val="000000"/>
                <w:kern w:val="0"/>
                <w:shd w:val="clear" w:color="auto" w:fill="FFFFFF"/>
              </w:rPr>
            </w:pPr>
            <w:r>
              <w:rPr>
                <w:rFonts w:ascii="宋体" w:hAnsi="宋体" w:cs="宋体"/>
                <w:color w:val="000000"/>
                <w:kern w:val="0"/>
                <w:szCs w:val="21"/>
              </w:rPr>
              <w:t>17</w:t>
            </w:r>
          </w:p>
        </w:tc>
        <w:tc>
          <w:tcPr>
            <w:tcW w:w="1056" w:type="dxa"/>
            <w:tcBorders>
              <w:top w:val="single" w:color="000000" w:sz="4" w:space="0"/>
              <w:left w:val="nil"/>
              <w:bottom w:val="single" w:color="000000" w:sz="4" w:space="0"/>
              <w:right w:val="single" w:color="000000" w:sz="4" w:space="0"/>
            </w:tcBorders>
            <w:shd w:val="clear" w:color="auto" w:fill="FFFFFF"/>
            <w:vAlign w:val="center"/>
          </w:tcPr>
          <w:p>
            <w:pPr>
              <w:jc w:val="center"/>
              <w:rPr>
                <w:rFonts w:hint="default" w:ascii="宋体"/>
                <w:color w:val="000000"/>
                <w:kern w:val="0"/>
                <w:shd w:val="clear" w:color="auto" w:fill="FFFFFF"/>
              </w:rPr>
            </w:pPr>
          </w:p>
        </w:tc>
        <w:tc>
          <w:tcPr>
            <w:tcW w:w="2015" w:type="dxa"/>
            <w:tcBorders>
              <w:top w:val="single" w:color="000000" w:sz="4" w:space="0"/>
              <w:left w:val="nil"/>
              <w:bottom w:val="single" w:color="000000" w:sz="4" w:space="0"/>
              <w:right w:val="single" w:color="000000" w:sz="4" w:space="0"/>
            </w:tcBorders>
            <w:shd w:val="clear" w:color="auto" w:fill="FFFFFF"/>
            <w:vAlign w:val="center"/>
          </w:tcPr>
          <w:p>
            <w:pPr>
              <w:jc w:val="center"/>
              <w:rPr>
                <w:rFonts w:hint="default" w:ascii="宋体"/>
                <w:color w:val="000000"/>
                <w:kern w:val="0"/>
                <w:shd w:val="clear" w:color="auto" w:fill="FFFFFF"/>
              </w:rPr>
            </w:pPr>
          </w:p>
        </w:tc>
        <w:tc>
          <w:tcPr>
            <w:tcW w:w="2024" w:type="dxa"/>
            <w:tcBorders>
              <w:top w:val="single" w:color="000000" w:sz="4" w:space="0"/>
              <w:left w:val="nil"/>
              <w:bottom w:val="single" w:color="000000" w:sz="4" w:space="0"/>
              <w:right w:val="single" w:color="000000" w:sz="4" w:space="0"/>
            </w:tcBorders>
            <w:vAlign w:val="center"/>
          </w:tcPr>
          <w:p>
            <w:pPr>
              <w:jc w:val="right"/>
              <w:rPr>
                <w:rFonts w:hint="default" w:ascii="宋体"/>
                <w:color w:val="000000"/>
                <w:kern w:val="0"/>
              </w:rPr>
            </w:pPr>
          </w:p>
        </w:tc>
        <w:tc>
          <w:tcPr>
            <w:tcW w:w="2184" w:type="dxa"/>
            <w:tcBorders>
              <w:top w:val="single" w:color="000000" w:sz="4" w:space="0"/>
              <w:left w:val="nil"/>
              <w:bottom w:val="single" w:color="000000" w:sz="4" w:space="0"/>
              <w:right w:val="single" w:color="000000" w:sz="4" w:space="0"/>
            </w:tcBorders>
            <w:vAlign w:val="center"/>
          </w:tcPr>
          <w:p>
            <w:pPr>
              <w:jc w:val="right"/>
              <w:rPr>
                <w:rFonts w:hint="default"/>
              </w:rPr>
            </w:pPr>
          </w:p>
        </w:tc>
      </w:tr>
      <w:tr>
        <w:tblPrEx>
          <w:tblCellMar>
            <w:top w:w="0" w:type="dxa"/>
            <w:left w:w="108" w:type="dxa"/>
            <w:bottom w:w="0" w:type="dxa"/>
            <w:right w:w="108" w:type="dxa"/>
          </w:tblCellMar>
        </w:tblPrEx>
        <w:trPr>
          <w:trHeight w:val="340" w:hRule="exact"/>
        </w:trPr>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default" w:ascii="宋体"/>
                <w:color w:val="000000"/>
                <w:kern w:val="0"/>
                <w:shd w:val="clear" w:color="auto" w:fill="FFFFFF"/>
              </w:rPr>
            </w:pPr>
            <w:r>
              <w:rPr>
                <w:rFonts w:ascii="宋体" w:hAnsi="宋体" w:cs="宋体"/>
                <w:color w:val="000000"/>
                <w:kern w:val="0"/>
                <w:szCs w:val="21"/>
              </w:rPr>
              <w:t>二、政府性基金预算财政拨款</w:t>
            </w: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color w:val="000000"/>
                <w:kern w:val="0"/>
                <w:shd w:val="clear" w:color="auto" w:fill="FFFFFF"/>
              </w:rPr>
            </w:pPr>
            <w:r>
              <w:rPr>
                <w:rFonts w:ascii="宋体" w:hAnsi="宋体" w:cs="宋体"/>
                <w:color w:val="000000"/>
                <w:kern w:val="0"/>
                <w:szCs w:val="21"/>
              </w:rPr>
              <w:t>2</w:t>
            </w:r>
          </w:p>
        </w:tc>
        <w:tc>
          <w:tcPr>
            <w:tcW w:w="1056" w:type="dxa"/>
            <w:gridSpan w:val="2"/>
            <w:tcBorders>
              <w:top w:val="single" w:color="000000" w:sz="4" w:space="0"/>
              <w:left w:val="nil"/>
              <w:bottom w:val="single" w:color="000000" w:sz="4" w:space="0"/>
              <w:right w:val="single" w:color="000000" w:sz="4" w:space="0"/>
            </w:tcBorders>
            <w:shd w:val="clear" w:color="auto" w:fill="auto"/>
            <w:vAlign w:val="center"/>
          </w:tcPr>
          <w:p>
            <w:pPr>
              <w:rPr>
                <w:rFonts w:hint="default" w:ascii="宋体"/>
                <w:color w:val="000000"/>
                <w:kern w:val="0"/>
                <w:sz w:val="21"/>
                <w:szCs w:val="21"/>
              </w:rPr>
            </w:pPr>
          </w:p>
        </w:tc>
        <w:tc>
          <w:tcPr>
            <w:tcW w:w="2394" w:type="dxa"/>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hint="default" w:ascii="宋体"/>
                <w:color w:val="000000"/>
                <w:kern w:val="0"/>
                <w:shd w:val="clear" w:color="auto" w:fill="FFFFFF"/>
              </w:rPr>
            </w:pPr>
            <w:r>
              <w:rPr>
                <w:rFonts w:ascii="宋体" w:hAnsi="宋体" w:cs="宋体"/>
                <w:color w:val="000000"/>
                <w:kern w:val="0"/>
                <w:szCs w:val="21"/>
              </w:rPr>
              <w:t>二、外交支出</w:t>
            </w: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color w:val="000000"/>
                <w:kern w:val="0"/>
                <w:shd w:val="clear" w:color="auto" w:fill="FFFFFF"/>
              </w:rPr>
            </w:pPr>
            <w:r>
              <w:rPr>
                <w:rFonts w:ascii="宋体" w:hAnsi="宋体" w:cs="宋体"/>
                <w:color w:val="000000"/>
                <w:kern w:val="0"/>
                <w:szCs w:val="21"/>
              </w:rPr>
              <w:t>18</w:t>
            </w:r>
          </w:p>
        </w:tc>
        <w:tc>
          <w:tcPr>
            <w:tcW w:w="1056" w:type="dxa"/>
            <w:tcBorders>
              <w:top w:val="single" w:color="000000" w:sz="4" w:space="0"/>
              <w:left w:val="nil"/>
              <w:bottom w:val="single" w:color="000000" w:sz="4" w:space="0"/>
              <w:right w:val="single" w:color="000000" w:sz="4" w:space="0"/>
            </w:tcBorders>
            <w:shd w:val="clear" w:color="auto" w:fill="FFFFFF"/>
            <w:vAlign w:val="center"/>
          </w:tcPr>
          <w:p>
            <w:pPr>
              <w:jc w:val="center"/>
              <w:rPr>
                <w:rFonts w:hint="default" w:ascii="宋体"/>
                <w:color w:val="000000"/>
                <w:kern w:val="0"/>
                <w:shd w:val="clear" w:color="auto" w:fill="FFFFFF"/>
              </w:rPr>
            </w:pPr>
          </w:p>
        </w:tc>
        <w:tc>
          <w:tcPr>
            <w:tcW w:w="2015" w:type="dxa"/>
            <w:tcBorders>
              <w:top w:val="single" w:color="000000" w:sz="4" w:space="0"/>
              <w:left w:val="nil"/>
              <w:bottom w:val="single" w:color="000000" w:sz="4" w:space="0"/>
              <w:right w:val="single" w:color="000000" w:sz="4" w:space="0"/>
            </w:tcBorders>
            <w:shd w:val="clear" w:color="auto" w:fill="FFFFFF"/>
            <w:vAlign w:val="center"/>
          </w:tcPr>
          <w:p>
            <w:pPr>
              <w:jc w:val="center"/>
              <w:rPr>
                <w:rFonts w:hint="default" w:ascii="宋体"/>
                <w:color w:val="000000"/>
                <w:kern w:val="0"/>
                <w:shd w:val="clear" w:color="auto" w:fill="FFFFFF"/>
              </w:rPr>
            </w:pPr>
          </w:p>
        </w:tc>
        <w:tc>
          <w:tcPr>
            <w:tcW w:w="2024" w:type="dxa"/>
            <w:tcBorders>
              <w:top w:val="single" w:color="000000" w:sz="4" w:space="0"/>
              <w:left w:val="nil"/>
              <w:bottom w:val="single" w:color="000000" w:sz="4" w:space="0"/>
              <w:right w:val="single" w:color="000000" w:sz="4" w:space="0"/>
            </w:tcBorders>
            <w:vAlign w:val="center"/>
          </w:tcPr>
          <w:p>
            <w:pPr>
              <w:jc w:val="right"/>
              <w:rPr>
                <w:rFonts w:hint="default" w:ascii="宋体"/>
                <w:color w:val="000000"/>
                <w:kern w:val="0"/>
              </w:rPr>
            </w:pPr>
          </w:p>
        </w:tc>
        <w:tc>
          <w:tcPr>
            <w:tcW w:w="2184" w:type="dxa"/>
            <w:tcBorders>
              <w:top w:val="single" w:color="000000" w:sz="4" w:space="0"/>
              <w:left w:val="nil"/>
              <w:bottom w:val="single" w:color="000000" w:sz="4" w:space="0"/>
              <w:right w:val="single" w:color="000000" w:sz="4" w:space="0"/>
            </w:tcBorders>
            <w:vAlign w:val="center"/>
          </w:tcPr>
          <w:p>
            <w:pPr>
              <w:jc w:val="right"/>
              <w:rPr>
                <w:rFonts w:hint="default"/>
              </w:rPr>
            </w:pPr>
          </w:p>
        </w:tc>
      </w:tr>
      <w:tr>
        <w:tblPrEx>
          <w:tblCellMar>
            <w:top w:w="0" w:type="dxa"/>
            <w:left w:w="108" w:type="dxa"/>
            <w:bottom w:w="0" w:type="dxa"/>
            <w:right w:w="108" w:type="dxa"/>
          </w:tblCellMar>
        </w:tblPrEx>
        <w:trPr>
          <w:trHeight w:val="340" w:hRule="exact"/>
        </w:trPr>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default" w:ascii="宋体"/>
                <w:color w:val="000000"/>
                <w:kern w:val="0"/>
                <w:shd w:val="clear" w:color="auto" w:fill="FFFFFF"/>
              </w:rPr>
            </w:pPr>
            <w:r>
              <w:rPr>
                <w:rFonts w:ascii="宋体" w:hAnsi="宋体" w:cs="宋体"/>
                <w:color w:val="000000"/>
                <w:kern w:val="0"/>
                <w:szCs w:val="21"/>
              </w:rPr>
              <w:t>三、国有资本经营预算财政拨款</w:t>
            </w: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color w:val="000000"/>
                <w:kern w:val="0"/>
                <w:shd w:val="clear" w:color="auto" w:fill="FFFFFF"/>
              </w:rPr>
            </w:pPr>
            <w:r>
              <w:rPr>
                <w:rFonts w:ascii="宋体" w:hAnsi="宋体" w:cs="宋体"/>
                <w:color w:val="000000"/>
                <w:kern w:val="0"/>
                <w:szCs w:val="21"/>
              </w:rPr>
              <w:t>3</w:t>
            </w:r>
          </w:p>
        </w:tc>
        <w:tc>
          <w:tcPr>
            <w:tcW w:w="1056" w:type="dxa"/>
            <w:gridSpan w:val="2"/>
            <w:tcBorders>
              <w:top w:val="single" w:color="000000" w:sz="4" w:space="0"/>
              <w:left w:val="nil"/>
              <w:bottom w:val="single" w:color="000000" w:sz="4" w:space="0"/>
              <w:right w:val="single" w:color="000000" w:sz="4" w:space="0"/>
            </w:tcBorders>
            <w:shd w:val="clear" w:color="auto" w:fill="auto"/>
            <w:vAlign w:val="center"/>
          </w:tcPr>
          <w:p>
            <w:pPr>
              <w:rPr>
                <w:rFonts w:hint="default" w:ascii="宋体"/>
                <w:color w:val="000000"/>
                <w:kern w:val="0"/>
                <w:sz w:val="21"/>
                <w:szCs w:val="21"/>
              </w:rPr>
            </w:pPr>
          </w:p>
        </w:tc>
        <w:tc>
          <w:tcPr>
            <w:tcW w:w="2394" w:type="dxa"/>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hint="default" w:ascii="宋体"/>
                <w:color w:val="000000"/>
                <w:kern w:val="0"/>
                <w:shd w:val="clear" w:color="auto" w:fill="FFFFFF"/>
              </w:rPr>
            </w:pPr>
            <w:r>
              <w:rPr>
                <w:rFonts w:ascii="宋体" w:hAnsi="宋体" w:cs="宋体"/>
                <w:color w:val="000000"/>
                <w:kern w:val="0"/>
                <w:szCs w:val="21"/>
              </w:rPr>
              <w:t>三、国防支出</w:t>
            </w: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eastAsia" w:ascii="宋体" w:eastAsia="宋体"/>
                <w:color w:val="000000"/>
                <w:kern w:val="0"/>
                <w:shd w:val="clear" w:color="auto" w:fill="FFFFFF"/>
                <w:lang w:eastAsia="zh-CN"/>
              </w:rPr>
            </w:pPr>
            <w:r>
              <w:rPr>
                <w:rFonts w:ascii="宋体" w:hAnsi="宋体" w:cs="宋体"/>
                <w:color w:val="000000"/>
                <w:kern w:val="0"/>
                <w:szCs w:val="21"/>
              </w:rPr>
              <w:t>1</w:t>
            </w:r>
            <w:r>
              <w:rPr>
                <w:rFonts w:hint="eastAsia" w:ascii="宋体" w:hAnsi="宋体" w:cs="宋体"/>
                <w:color w:val="000000"/>
                <w:kern w:val="0"/>
                <w:szCs w:val="21"/>
                <w:lang w:val="en-US" w:eastAsia="zh-CN"/>
              </w:rPr>
              <w:t>9</w:t>
            </w:r>
          </w:p>
        </w:tc>
        <w:tc>
          <w:tcPr>
            <w:tcW w:w="1056" w:type="dxa"/>
            <w:tcBorders>
              <w:top w:val="single" w:color="000000" w:sz="4" w:space="0"/>
              <w:left w:val="nil"/>
              <w:bottom w:val="single" w:color="000000" w:sz="4" w:space="0"/>
              <w:right w:val="single" w:color="000000" w:sz="4" w:space="0"/>
            </w:tcBorders>
            <w:shd w:val="clear" w:color="auto" w:fill="FFFFFF"/>
            <w:vAlign w:val="center"/>
          </w:tcPr>
          <w:p>
            <w:pPr>
              <w:jc w:val="center"/>
              <w:rPr>
                <w:rFonts w:hint="default" w:ascii="宋体"/>
                <w:color w:val="000000"/>
                <w:kern w:val="0"/>
                <w:shd w:val="clear" w:color="auto" w:fill="FFFFFF"/>
              </w:rPr>
            </w:pPr>
          </w:p>
        </w:tc>
        <w:tc>
          <w:tcPr>
            <w:tcW w:w="2015" w:type="dxa"/>
            <w:tcBorders>
              <w:top w:val="single" w:color="000000" w:sz="4" w:space="0"/>
              <w:left w:val="nil"/>
              <w:bottom w:val="single" w:color="000000" w:sz="4" w:space="0"/>
              <w:right w:val="single" w:color="000000" w:sz="4" w:space="0"/>
            </w:tcBorders>
            <w:shd w:val="clear" w:color="auto" w:fill="FFFFFF"/>
            <w:vAlign w:val="center"/>
          </w:tcPr>
          <w:p>
            <w:pPr>
              <w:jc w:val="center"/>
              <w:rPr>
                <w:rFonts w:hint="default" w:ascii="宋体"/>
                <w:color w:val="000000"/>
                <w:kern w:val="0"/>
                <w:shd w:val="clear" w:color="auto" w:fill="FFFFFF"/>
              </w:rPr>
            </w:pPr>
          </w:p>
        </w:tc>
        <w:tc>
          <w:tcPr>
            <w:tcW w:w="2024" w:type="dxa"/>
            <w:tcBorders>
              <w:top w:val="single" w:color="000000" w:sz="4" w:space="0"/>
              <w:left w:val="nil"/>
              <w:bottom w:val="single" w:color="000000" w:sz="4" w:space="0"/>
              <w:right w:val="single" w:color="000000" w:sz="4" w:space="0"/>
            </w:tcBorders>
            <w:vAlign w:val="center"/>
          </w:tcPr>
          <w:p>
            <w:pPr>
              <w:jc w:val="right"/>
              <w:rPr>
                <w:rFonts w:hint="default" w:ascii="宋体"/>
                <w:color w:val="000000"/>
                <w:kern w:val="0"/>
              </w:rPr>
            </w:pPr>
          </w:p>
        </w:tc>
        <w:tc>
          <w:tcPr>
            <w:tcW w:w="2184" w:type="dxa"/>
            <w:tcBorders>
              <w:top w:val="single" w:color="000000" w:sz="4" w:space="0"/>
              <w:left w:val="nil"/>
              <w:bottom w:val="single" w:color="000000" w:sz="4" w:space="0"/>
              <w:right w:val="single" w:color="000000" w:sz="4" w:space="0"/>
            </w:tcBorders>
            <w:vAlign w:val="center"/>
          </w:tcPr>
          <w:p>
            <w:pPr>
              <w:jc w:val="right"/>
              <w:rPr>
                <w:rFonts w:hint="default"/>
              </w:rPr>
            </w:pPr>
          </w:p>
        </w:tc>
      </w:tr>
      <w:tr>
        <w:tblPrEx>
          <w:tblCellMar>
            <w:top w:w="0" w:type="dxa"/>
            <w:left w:w="108" w:type="dxa"/>
            <w:bottom w:w="0" w:type="dxa"/>
            <w:right w:w="108" w:type="dxa"/>
          </w:tblCellMar>
        </w:tblPrEx>
        <w:trPr>
          <w:trHeight w:val="340" w:hRule="exact"/>
        </w:trPr>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default" w:ascii="宋体"/>
                <w:color w:val="000000"/>
                <w:kern w:val="0"/>
                <w:shd w:val="clear" w:color="auto" w:fill="FFFFFF"/>
              </w:rPr>
            </w:pP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color w:val="000000"/>
                <w:kern w:val="0"/>
                <w:shd w:val="clear" w:color="auto" w:fill="FFFFFF"/>
              </w:rPr>
            </w:pPr>
            <w:r>
              <w:rPr>
                <w:rFonts w:ascii="宋体" w:hAnsi="宋体" w:cs="宋体"/>
                <w:color w:val="000000"/>
                <w:kern w:val="0"/>
                <w:szCs w:val="21"/>
              </w:rPr>
              <w:t>4</w:t>
            </w:r>
          </w:p>
        </w:tc>
        <w:tc>
          <w:tcPr>
            <w:tcW w:w="1056" w:type="dxa"/>
            <w:gridSpan w:val="2"/>
            <w:tcBorders>
              <w:top w:val="single" w:color="000000" w:sz="4" w:space="0"/>
              <w:left w:val="nil"/>
              <w:bottom w:val="single" w:color="000000" w:sz="4" w:space="0"/>
              <w:right w:val="single" w:color="000000" w:sz="4" w:space="0"/>
            </w:tcBorders>
            <w:shd w:val="clear" w:color="auto" w:fill="auto"/>
            <w:vAlign w:val="center"/>
          </w:tcPr>
          <w:p>
            <w:pPr>
              <w:rPr>
                <w:rFonts w:hint="default" w:ascii="宋体"/>
                <w:color w:val="000000"/>
                <w:kern w:val="0"/>
                <w:sz w:val="21"/>
                <w:szCs w:val="21"/>
              </w:rPr>
            </w:pPr>
          </w:p>
        </w:tc>
        <w:tc>
          <w:tcPr>
            <w:tcW w:w="2394" w:type="dxa"/>
            <w:tcBorders>
              <w:top w:val="single" w:color="000000" w:sz="4" w:space="0"/>
              <w:left w:val="nil"/>
              <w:bottom w:val="single" w:color="000000" w:sz="4" w:space="0"/>
              <w:right w:val="single" w:color="000000" w:sz="4" w:space="0"/>
            </w:tcBorders>
            <w:shd w:val="clear" w:color="auto" w:fill="FFFFFF"/>
            <w:vAlign w:val="center"/>
          </w:tcPr>
          <w:p>
            <w:pPr>
              <w:widowControl/>
              <w:jc w:val="left"/>
              <w:textAlignment w:val="center"/>
              <w:rPr>
                <w:rFonts w:hint="default" w:ascii="宋体"/>
                <w:color w:val="000000"/>
                <w:kern w:val="0"/>
                <w:shd w:val="clear" w:color="auto" w:fill="FFFFFF"/>
              </w:rPr>
            </w:pPr>
            <w:r>
              <w:rPr>
                <w:rFonts w:ascii="宋体" w:hAnsi="宋体" w:cs="宋体"/>
                <w:color w:val="000000"/>
                <w:kern w:val="0"/>
                <w:szCs w:val="21"/>
              </w:rPr>
              <w:t>四、公共安全支出</w:t>
            </w: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eastAsia="宋体"/>
                <w:color w:val="000000"/>
                <w:kern w:val="0"/>
                <w:shd w:val="clear" w:color="auto" w:fill="FFFFFF"/>
                <w:lang w:val="en-US" w:eastAsia="zh-CN"/>
              </w:rPr>
            </w:pPr>
            <w:r>
              <w:rPr>
                <w:rFonts w:hint="eastAsia" w:ascii="宋体" w:hAnsi="宋体" w:cs="宋体"/>
                <w:color w:val="000000"/>
                <w:kern w:val="0"/>
                <w:szCs w:val="21"/>
                <w:lang w:val="en-US" w:eastAsia="zh-CN"/>
              </w:rPr>
              <w:t>20</w:t>
            </w:r>
          </w:p>
        </w:tc>
        <w:tc>
          <w:tcPr>
            <w:tcW w:w="1056" w:type="dxa"/>
            <w:tcBorders>
              <w:top w:val="single" w:color="000000" w:sz="4" w:space="0"/>
              <w:left w:val="nil"/>
              <w:bottom w:val="single" w:color="000000" w:sz="4" w:space="0"/>
              <w:right w:val="single" w:color="000000" w:sz="4" w:space="0"/>
            </w:tcBorders>
            <w:shd w:val="clear" w:color="auto" w:fill="FFFFFF"/>
            <w:vAlign w:val="center"/>
          </w:tcPr>
          <w:p>
            <w:pPr>
              <w:jc w:val="center"/>
              <w:rPr>
                <w:rFonts w:hint="default" w:ascii="宋体"/>
                <w:color w:val="000000"/>
                <w:kern w:val="0"/>
                <w:shd w:val="clear" w:color="auto" w:fill="FFFFFF"/>
              </w:rPr>
            </w:pPr>
          </w:p>
        </w:tc>
        <w:tc>
          <w:tcPr>
            <w:tcW w:w="2015" w:type="dxa"/>
            <w:tcBorders>
              <w:top w:val="single" w:color="000000" w:sz="4" w:space="0"/>
              <w:left w:val="nil"/>
              <w:bottom w:val="single" w:color="000000" w:sz="4" w:space="0"/>
              <w:right w:val="single" w:color="000000" w:sz="4" w:space="0"/>
            </w:tcBorders>
            <w:shd w:val="clear" w:color="auto" w:fill="FFFFFF"/>
            <w:vAlign w:val="center"/>
          </w:tcPr>
          <w:p>
            <w:pPr>
              <w:jc w:val="center"/>
              <w:rPr>
                <w:rFonts w:hint="default" w:ascii="宋体"/>
                <w:color w:val="000000"/>
                <w:kern w:val="0"/>
                <w:shd w:val="clear" w:color="auto" w:fill="FFFFFF"/>
              </w:rPr>
            </w:pPr>
          </w:p>
        </w:tc>
        <w:tc>
          <w:tcPr>
            <w:tcW w:w="2024" w:type="dxa"/>
            <w:tcBorders>
              <w:top w:val="single" w:color="000000" w:sz="4" w:space="0"/>
              <w:left w:val="nil"/>
              <w:bottom w:val="single" w:color="000000" w:sz="4" w:space="0"/>
              <w:right w:val="single" w:color="000000" w:sz="4" w:space="0"/>
            </w:tcBorders>
            <w:vAlign w:val="center"/>
          </w:tcPr>
          <w:p>
            <w:pPr>
              <w:jc w:val="right"/>
              <w:rPr>
                <w:rFonts w:hint="default" w:ascii="宋体"/>
                <w:color w:val="000000"/>
                <w:kern w:val="0"/>
              </w:rPr>
            </w:pPr>
          </w:p>
        </w:tc>
        <w:tc>
          <w:tcPr>
            <w:tcW w:w="2184" w:type="dxa"/>
            <w:tcBorders>
              <w:top w:val="single" w:color="000000" w:sz="4" w:space="0"/>
              <w:left w:val="nil"/>
              <w:bottom w:val="single" w:color="000000" w:sz="4" w:space="0"/>
              <w:right w:val="single" w:color="000000" w:sz="4" w:space="0"/>
            </w:tcBorders>
            <w:vAlign w:val="center"/>
          </w:tcPr>
          <w:p>
            <w:pPr>
              <w:jc w:val="right"/>
              <w:rPr>
                <w:rFonts w:hint="default"/>
              </w:rPr>
            </w:pPr>
          </w:p>
        </w:tc>
      </w:tr>
      <w:tr>
        <w:tblPrEx>
          <w:tblCellMar>
            <w:top w:w="0" w:type="dxa"/>
            <w:left w:w="108" w:type="dxa"/>
            <w:bottom w:w="0" w:type="dxa"/>
            <w:right w:w="108" w:type="dxa"/>
          </w:tblCellMar>
        </w:tblPrEx>
        <w:trPr>
          <w:trHeight w:val="340" w:hRule="exact"/>
        </w:trPr>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default" w:ascii="宋体"/>
                <w:color w:val="000000"/>
                <w:kern w:val="0"/>
                <w:shd w:val="clear" w:color="auto" w:fill="FFFFFF"/>
              </w:rPr>
            </w:pP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color w:val="000000"/>
                <w:kern w:val="0"/>
                <w:shd w:val="clear" w:color="auto" w:fill="FFFFFF"/>
              </w:rPr>
            </w:pPr>
            <w:r>
              <w:rPr>
                <w:rFonts w:ascii="宋体" w:hAnsi="宋体" w:cs="宋体"/>
                <w:color w:val="000000"/>
                <w:kern w:val="0"/>
                <w:szCs w:val="21"/>
              </w:rPr>
              <w:t>5</w:t>
            </w:r>
          </w:p>
        </w:tc>
        <w:tc>
          <w:tcPr>
            <w:tcW w:w="1056" w:type="dxa"/>
            <w:gridSpan w:val="2"/>
            <w:tcBorders>
              <w:top w:val="single" w:color="000000" w:sz="4" w:space="0"/>
              <w:left w:val="nil"/>
              <w:bottom w:val="single" w:color="000000" w:sz="4" w:space="0"/>
              <w:right w:val="single" w:color="000000" w:sz="4" w:space="0"/>
            </w:tcBorders>
            <w:shd w:val="clear" w:color="auto" w:fill="auto"/>
            <w:vAlign w:val="center"/>
          </w:tcPr>
          <w:p>
            <w:pPr>
              <w:rPr>
                <w:rFonts w:hint="default" w:ascii="宋体"/>
                <w:color w:val="000000"/>
                <w:kern w:val="0"/>
                <w:sz w:val="21"/>
                <w:szCs w:val="21"/>
              </w:rPr>
            </w:pPr>
          </w:p>
        </w:tc>
        <w:tc>
          <w:tcPr>
            <w:tcW w:w="2394" w:type="dxa"/>
            <w:tcBorders>
              <w:top w:val="single" w:color="000000" w:sz="4" w:space="0"/>
              <w:left w:val="nil"/>
              <w:bottom w:val="single" w:color="000000" w:sz="4" w:space="0"/>
              <w:right w:val="single" w:color="000000" w:sz="4" w:space="0"/>
            </w:tcBorders>
            <w:shd w:val="clear" w:color="auto" w:fill="FFFFFF"/>
            <w:vAlign w:val="center"/>
          </w:tcPr>
          <w:p>
            <w:pPr>
              <w:widowControl/>
              <w:jc w:val="left"/>
              <w:rPr>
                <w:rFonts w:hint="default" w:ascii="宋体" w:hAnsi="Times New Roman" w:eastAsia="宋体" w:cstheme="minorBidi"/>
                <w:color w:val="000000"/>
                <w:kern w:val="0"/>
                <w:sz w:val="21"/>
                <w:szCs w:val="22"/>
                <w:lang w:val="en-US" w:eastAsia="zh-CN" w:bidi="ar-SA"/>
              </w:rPr>
            </w:pPr>
            <w:r>
              <w:rPr>
                <w:rFonts w:ascii="宋体" w:hAnsi="宋体"/>
                <w:color w:val="000000"/>
                <w:kern w:val="0"/>
              </w:rPr>
              <w:t>五、教育支出</w:t>
            </w: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default" w:ascii="宋体" w:hAnsi="Times New Roman" w:eastAsia="宋体" w:cstheme="minorBidi"/>
                <w:color w:val="000000"/>
                <w:kern w:val="0"/>
                <w:sz w:val="21"/>
                <w:szCs w:val="22"/>
                <w:lang w:val="en-US" w:eastAsia="zh-CN" w:bidi="ar-SA"/>
              </w:rPr>
            </w:pPr>
            <w:r>
              <w:rPr>
                <w:rFonts w:hint="eastAsia" w:ascii="宋体" w:hAnsi="宋体"/>
                <w:color w:val="000000"/>
                <w:kern w:val="0"/>
                <w:lang w:val="en-US" w:eastAsia="zh-CN"/>
              </w:rPr>
              <w:t>21</w:t>
            </w:r>
          </w:p>
        </w:tc>
        <w:tc>
          <w:tcPr>
            <w:tcW w:w="1056" w:type="dxa"/>
            <w:tcBorders>
              <w:top w:val="single" w:color="000000" w:sz="4" w:space="0"/>
              <w:left w:val="nil"/>
              <w:bottom w:val="single" w:color="000000" w:sz="4" w:space="0"/>
              <w:right w:val="single" w:color="000000" w:sz="4" w:space="0"/>
            </w:tcBorders>
            <w:shd w:val="clear" w:color="auto" w:fill="FFFFFF"/>
            <w:vAlign w:val="center"/>
          </w:tcPr>
          <w:p>
            <w:pPr>
              <w:widowControl/>
              <w:jc w:val="left"/>
              <w:rPr>
                <w:rFonts w:hint="default" w:ascii="宋体" w:hAnsi="Times New Roman" w:eastAsia="宋体" w:cstheme="minorBidi"/>
                <w:color w:val="000000"/>
                <w:kern w:val="0"/>
                <w:sz w:val="21"/>
                <w:szCs w:val="21"/>
                <w:lang w:val="en-US" w:eastAsia="zh-CN" w:bidi="ar-SA"/>
              </w:rPr>
            </w:pPr>
            <w:r>
              <w:rPr>
                <w:rFonts w:hint="default" w:ascii="宋体"/>
                <w:color w:val="000000"/>
                <w:kern w:val="0"/>
                <w:sz w:val="21"/>
                <w:szCs w:val="21"/>
              </w:rPr>
              <w:t>7469.77</w:t>
            </w:r>
          </w:p>
        </w:tc>
        <w:tc>
          <w:tcPr>
            <w:tcW w:w="2015" w:type="dxa"/>
            <w:tcBorders>
              <w:top w:val="single" w:color="000000" w:sz="4" w:space="0"/>
              <w:left w:val="nil"/>
              <w:bottom w:val="single" w:color="000000" w:sz="4" w:space="0"/>
              <w:right w:val="single" w:color="000000" w:sz="4" w:space="0"/>
            </w:tcBorders>
            <w:shd w:val="clear" w:color="auto" w:fill="FFFFFF"/>
            <w:vAlign w:val="center"/>
          </w:tcPr>
          <w:p>
            <w:pPr>
              <w:widowControl/>
              <w:jc w:val="left"/>
              <w:rPr>
                <w:rFonts w:hint="default" w:ascii="宋体" w:hAnsi="Times New Roman" w:eastAsia="宋体" w:cstheme="minorBidi"/>
                <w:color w:val="000000"/>
                <w:kern w:val="0"/>
                <w:sz w:val="21"/>
                <w:szCs w:val="21"/>
                <w:lang w:val="en-US" w:eastAsia="zh-CN" w:bidi="ar-SA"/>
              </w:rPr>
            </w:pPr>
            <w:r>
              <w:rPr>
                <w:rFonts w:hint="default" w:ascii="宋体"/>
                <w:color w:val="000000"/>
                <w:kern w:val="0"/>
                <w:sz w:val="21"/>
                <w:szCs w:val="21"/>
              </w:rPr>
              <w:t>7469.77</w:t>
            </w:r>
          </w:p>
        </w:tc>
        <w:tc>
          <w:tcPr>
            <w:tcW w:w="2024" w:type="dxa"/>
            <w:tcBorders>
              <w:top w:val="single" w:color="000000" w:sz="4" w:space="0"/>
              <w:left w:val="nil"/>
              <w:bottom w:val="single" w:color="000000" w:sz="4" w:space="0"/>
              <w:right w:val="single" w:color="000000" w:sz="4" w:space="0"/>
            </w:tcBorders>
            <w:vAlign w:val="center"/>
          </w:tcPr>
          <w:p>
            <w:pPr>
              <w:jc w:val="right"/>
              <w:rPr>
                <w:rFonts w:hint="default" w:ascii="宋体"/>
                <w:color w:val="000000"/>
                <w:kern w:val="0"/>
              </w:rPr>
            </w:pPr>
          </w:p>
        </w:tc>
        <w:tc>
          <w:tcPr>
            <w:tcW w:w="2184" w:type="dxa"/>
            <w:tcBorders>
              <w:top w:val="single" w:color="000000" w:sz="4" w:space="0"/>
              <w:left w:val="nil"/>
              <w:bottom w:val="single" w:color="000000" w:sz="4" w:space="0"/>
              <w:right w:val="single" w:color="000000" w:sz="4" w:space="0"/>
            </w:tcBorders>
            <w:vAlign w:val="center"/>
          </w:tcPr>
          <w:p>
            <w:pPr>
              <w:jc w:val="right"/>
              <w:rPr>
                <w:rFonts w:hint="default"/>
              </w:rPr>
            </w:pPr>
          </w:p>
        </w:tc>
      </w:tr>
      <w:tr>
        <w:tblPrEx>
          <w:tblCellMar>
            <w:top w:w="0" w:type="dxa"/>
            <w:left w:w="108" w:type="dxa"/>
            <w:bottom w:w="0" w:type="dxa"/>
            <w:right w:w="108" w:type="dxa"/>
          </w:tblCellMar>
        </w:tblPrEx>
        <w:trPr>
          <w:trHeight w:val="340" w:hRule="exact"/>
        </w:trPr>
        <w:tc>
          <w:tcPr>
            <w:tcW w:w="26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宋体"/>
                <w:color w:val="000000"/>
                <w:kern w:val="0"/>
              </w:rPr>
            </w:pP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eastAsia" w:ascii="宋体" w:eastAsia="宋体"/>
                <w:color w:val="000000"/>
                <w:kern w:val="0"/>
                <w:shd w:val="clear" w:color="auto" w:fill="FFFFFF"/>
                <w:lang w:eastAsia="zh-CN"/>
              </w:rPr>
            </w:pPr>
            <w:r>
              <w:rPr>
                <w:rFonts w:hint="eastAsia" w:ascii="宋体" w:hAnsi="宋体" w:cs="宋体"/>
                <w:color w:val="000000"/>
                <w:kern w:val="0"/>
                <w:szCs w:val="21"/>
                <w:lang w:val="en-US" w:eastAsia="zh-CN"/>
              </w:rPr>
              <w:t>6</w:t>
            </w:r>
          </w:p>
        </w:tc>
        <w:tc>
          <w:tcPr>
            <w:tcW w:w="1056" w:type="dxa"/>
            <w:gridSpan w:val="2"/>
            <w:tcBorders>
              <w:top w:val="single" w:color="000000" w:sz="4" w:space="0"/>
              <w:left w:val="nil"/>
              <w:bottom w:val="single" w:color="000000" w:sz="4" w:space="0"/>
              <w:right w:val="single" w:color="000000" w:sz="4" w:space="0"/>
            </w:tcBorders>
            <w:shd w:val="clear" w:color="auto" w:fill="auto"/>
            <w:vAlign w:val="center"/>
          </w:tcPr>
          <w:p>
            <w:pPr>
              <w:jc w:val="left"/>
              <w:rPr>
                <w:rFonts w:hint="default" w:ascii="宋体"/>
                <w:color w:val="000000"/>
                <w:kern w:val="0"/>
                <w:sz w:val="21"/>
                <w:szCs w:val="21"/>
              </w:rPr>
            </w:pPr>
          </w:p>
        </w:tc>
        <w:tc>
          <w:tcPr>
            <w:tcW w:w="2394" w:type="dxa"/>
            <w:tcBorders>
              <w:top w:val="single" w:color="000000" w:sz="4" w:space="0"/>
              <w:left w:val="nil"/>
              <w:bottom w:val="single" w:color="000000" w:sz="4" w:space="0"/>
              <w:right w:val="single" w:color="000000" w:sz="4" w:space="0"/>
            </w:tcBorders>
            <w:shd w:val="clear" w:color="auto" w:fill="auto"/>
            <w:vAlign w:val="center"/>
          </w:tcPr>
          <w:p>
            <w:pPr>
              <w:widowControl/>
              <w:jc w:val="left"/>
              <w:rPr>
                <w:rFonts w:hint="default" w:ascii="宋体" w:hAnsi="Times New Roman" w:eastAsia="宋体" w:cstheme="minorBidi"/>
                <w:color w:val="000000"/>
                <w:kern w:val="0"/>
                <w:sz w:val="21"/>
                <w:szCs w:val="22"/>
                <w:lang w:val="en-US" w:eastAsia="zh-CN" w:bidi="ar-SA"/>
              </w:rPr>
            </w:pPr>
            <w:r>
              <w:rPr>
                <w:rFonts w:hint="eastAsia" w:ascii="宋体" w:hAnsi="宋体"/>
                <w:color w:val="000000"/>
                <w:kern w:val="0"/>
              </w:rPr>
              <w:t>七、文化旅游体育与传媒支出</w:t>
            </w: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default" w:ascii="宋体" w:hAnsi="Times New Roman" w:eastAsia="宋体" w:cstheme="minorBidi"/>
                <w:color w:val="000000"/>
                <w:kern w:val="0"/>
                <w:sz w:val="21"/>
                <w:szCs w:val="22"/>
                <w:lang w:val="en-US" w:eastAsia="zh-CN" w:bidi="ar-SA"/>
              </w:rPr>
            </w:pPr>
            <w:r>
              <w:rPr>
                <w:rFonts w:hint="eastAsia" w:ascii="宋体" w:hAnsi="宋体"/>
                <w:color w:val="000000"/>
                <w:kern w:val="0"/>
                <w:lang w:val="en-US" w:eastAsia="zh-CN"/>
              </w:rPr>
              <w:t>22</w:t>
            </w:r>
          </w:p>
        </w:tc>
        <w:tc>
          <w:tcPr>
            <w:tcW w:w="1056" w:type="dxa"/>
            <w:tcBorders>
              <w:top w:val="single" w:color="000000" w:sz="4" w:space="0"/>
              <w:left w:val="nil"/>
              <w:bottom w:val="single" w:color="000000" w:sz="4" w:space="0"/>
              <w:right w:val="single" w:color="000000" w:sz="4" w:space="0"/>
            </w:tcBorders>
            <w:shd w:val="clear" w:color="auto" w:fill="FFFFFF"/>
            <w:vAlign w:val="center"/>
          </w:tcPr>
          <w:p>
            <w:pPr>
              <w:widowControl/>
              <w:jc w:val="left"/>
              <w:rPr>
                <w:rFonts w:hint="default" w:ascii="宋体" w:hAnsi="Times New Roman" w:eastAsia="宋体" w:cstheme="minorBidi"/>
                <w:color w:val="000000"/>
                <w:kern w:val="0"/>
                <w:sz w:val="21"/>
                <w:szCs w:val="21"/>
                <w:lang w:val="en-US" w:eastAsia="zh-CN" w:bidi="ar-SA"/>
              </w:rPr>
            </w:pPr>
          </w:p>
        </w:tc>
        <w:tc>
          <w:tcPr>
            <w:tcW w:w="2015" w:type="dxa"/>
            <w:tcBorders>
              <w:top w:val="single" w:color="000000" w:sz="4" w:space="0"/>
              <w:left w:val="nil"/>
              <w:bottom w:val="single" w:color="000000" w:sz="4" w:space="0"/>
              <w:right w:val="single" w:color="000000" w:sz="4" w:space="0"/>
            </w:tcBorders>
            <w:shd w:val="clear" w:color="auto" w:fill="FFFFFF"/>
            <w:vAlign w:val="center"/>
          </w:tcPr>
          <w:p>
            <w:pPr>
              <w:widowControl/>
              <w:jc w:val="left"/>
              <w:rPr>
                <w:rFonts w:hint="default" w:ascii="宋体" w:hAnsi="Times New Roman" w:eastAsia="宋体" w:cstheme="minorBidi"/>
                <w:color w:val="000000"/>
                <w:kern w:val="0"/>
                <w:sz w:val="21"/>
                <w:szCs w:val="21"/>
                <w:lang w:val="en-US" w:eastAsia="zh-CN" w:bidi="ar-SA"/>
              </w:rPr>
            </w:pPr>
          </w:p>
        </w:tc>
        <w:tc>
          <w:tcPr>
            <w:tcW w:w="2024"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2184" w:type="dxa"/>
            <w:tcBorders>
              <w:top w:val="single" w:color="000000" w:sz="4" w:space="0"/>
              <w:left w:val="nil"/>
              <w:bottom w:val="single" w:color="000000" w:sz="4" w:space="0"/>
              <w:right w:val="single" w:color="000000" w:sz="4" w:space="0"/>
            </w:tcBorders>
            <w:vAlign w:val="center"/>
          </w:tcPr>
          <w:p>
            <w:pPr>
              <w:jc w:val="center"/>
              <w:rPr>
                <w:rFonts w:hint="default"/>
              </w:rPr>
            </w:pPr>
          </w:p>
        </w:tc>
      </w:tr>
      <w:tr>
        <w:tblPrEx>
          <w:tblCellMar>
            <w:top w:w="0" w:type="dxa"/>
            <w:left w:w="108" w:type="dxa"/>
            <w:bottom w:w="0" w:type="dxa"/>
            <w:right w:w="108" w:type="dxa"/>
          </w:tblCellMar>
        </w:tblPrEx>
        <w:trPr>
          <w:trHeight w:val="340" w:hRule="exact"/>
        </w:trPr>
        <w:tc>
          <w:tcPr>
            <w:tcW w:w="26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宋体"/>
                <w:color w:val="000000"/>
                <w:kern w:val="0"/>
              </w:rPr>
            </w:pP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eastAsia="宋体" w:cs="宋体"/>
                <w:color w:val="000000"/>
                <w:kern w:val="0"/>
                <w:szCs w:val="21"/>
                <w:lang w:eastAsia="zh-CN"/>
              </w:rPr>
            </w:pPr>
            <w:r>
              <w:rPr>
                <w:rFonts w:hint="eastAsia" w:ascii="宋体" w:hAnsi="宋体" w:cs="宋体"/>
                <w:color w:val="000000"/>
                <w:kern w:val="0"/>
                <w:szCs w:val="21"/>
                <w:lang w:val="en-US" w:eastAsia="zh-CN"/>
              </w:rPr>
              <w:t>7</w:t>
            </w:r>
          </w:p>
        </w:tc>
        <w:tc>
          <w:tcPr>
            <w:tcW w:w="1056" w:type="dxa"/>
            <w:gridSpan w:val="2"/>
            <w:tcBorders>
              <w:top w:val="single" w:color="000000" w:sz="4" w:space="0"/>
              <w:left w:val="nil"/>
              <w:bottom w:val="single" w:color="000000" w:sz="4" w:space="0"/>
              <w:right w:val="single" w:color="000000" w:sz="4" w:space="0"/>
            </w:tcBorders>
            <w:shd w:val="clear" w:color="auto" w:fill="auto"/>
            <w:vAlign w:val="center"/>
          </w:tcPr>
          <w:p>
            <w:pPr>
              <w:jc w:val="left"/>
              <w:rPr>
                <w:rFonts w:hint="default" w:ascii="宋体"/>
                <w:color w:val="000000"/>
                <w:kern w:val="0"/>
                <w:sz w:val="21"/>
                <w:szCs w:val="21"/>
              </w:rPr>
            </w:pPr>
          </w:p>
        </w:tc>
        <w:tc>
          <w:tcPr>
            <w:tcW w:w="2394" w:type="dxa"/>
            <w:tcBorders>
              <w:top w:val="single" w:color="000000" w:sz="4" w:space="0"/>
              <w:left w:val="nil"/>
              <w:bottom w:val="single" w:color="000000" w:sz="4" w:space="0"/>
              <w:right w:val="single" w:color="000000" w:sz="4" w:space="0"/>
            </w:tcBorders>
            <w:shd w:val="clear" w:color="auto" w:fill="auto"/>
            <w:vAlign w:val="center"/>
          </w:tcPr>
          <w:p>
            <w:pPr>
              <w:widowControl/>
              <w:jc w:val="left"/>
              <w:rPr>
                <w:rFonts w:hint="default" w:ascii="宋体" w:hAnsi="Times New Roman" w:eastAsia="宋体" w:cstheme="minorBidi"/>
                <w:color w:val="000000"/>
                <w:kern w:val="0"/>
                <w:sz w:val="21"/>
                <w:szCs w:val="22"/>
                <w:lang w:val="en-US" w:eastAsia="zh-CN" w:bidi="ar-SA"/>
              </w:rPr>
            </w:pPr>
            <w:r>
              <w:rPr>
                <w:rFonts w:hint="default" w:ascii="宋体"/>
                <w:color w:val="000000"/>
                <w:kern w:val="0"/>
              </w:rPr>
              <w:t>八、社会保障和就业支出</w:t>
            </w: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default" w:ascii="宋体" w:hAnsi="Times New Roman" w:eastAsia="宋体" w:cstheme="minorBidi"/>
                <w:color w:val="000000"/>
                <w:kern w:val="0"/>
                <w:sz w:val="21"/>
                <w:szCs w:val="22"/>
                <w:lang w:val="en-US" w:eastAsia="zh-CN" w:bidi="ar-SA"/>
              </w:rPr>
            </w:pPr>
            <w:r>
              <w:rPr>
                <w:rFonts w:ascii="宋体" w:hAnsi="宋体"/>
                <w:color w:val="000000"/>
                <w:kern w:val="0"/>
              </w:rPr>
              <w:t>2</w:t>
            </w:r>
            <w:r>
              <w:rPr>
                <w:rFonts w:hint="eastAsia" w:ascii="宋体" w:hAnsi="宋体"/>
                <w:color w:val="000000"/>
                <w:kern w:val="0"/>
                <w:lang w:val="en-US" w:eastAsia="zh-CN"/>
              </w:rPr>
              <w:t>3</w:t>
            </w:r>
          </w:p>
        </w:tc>
        <w:tc>
          <w:tcPr>
            <w:tcW w:w="1056"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宋体" w:hAnsi="Times New Roman" w:eastAsia="宋体" w:cstheme="minorBidi"/>
                <w:color w:val="000000"/>
                <w:kern w:val="0"/>
                <w:sz w:val="21"/>
                <w:szCs w:val="21"/>
                <w:lang w:val="en-US" w:eastAsia="zh-CN" w:bidi="ar-SA"/>
              </w:rPr>
            </w:pPr>
            <w:r>
              <w:rPr>
                <w:rFonts w:hint="eastAsia" w:ascii="宋体" w:hAnsi="宋体" w:eastAsia="宋体" w:cs="宋体"/>
                <w:i w:val="0"/>
                <w:color w:val="000000"/>
                <w:kern w:val="0"/>
                <w:sz w:val="21"/>
                <w:szCs w:val="21"/>
                <w:u w:val="none"/>
                <w:lang w:val="en-US" w:eastAsia="zh-CN" w:bidi="ar"/>
              </w:rPr>
              <w:t>52,948.82</w:t>
            </w:r>
          </w:p>
        </w:tc>
        <w:tc>
          <w:tcPr>
            <w:tcW w:w="20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宋体" w:hAnsi="Times New Roman" w:eastAsia="宋体" w:cstheme="minorBidi"/>
                <w:color w:val="000000"/>
                <w:kern w:val="0"/>
                <w:sz w:val="21"/>
                <w:szCs w:val="21"/>
                <w:lang w:val="en-US" w:eastAsia="zh-CN" w:bidi="ar-SA"/>
              </w:rPr>
            </w:pPr>
            <w:r>
              <w:rPr>
                <w:rFonts w:hint="eastAsia" w:ascii="宋体" w:hAnsi="宋体" w:eastAsia="宋体" w:cs="宋体"/>
                <w:i w:val="0"/>
                <w:color w:val="000000"/>
                <w:kern w:val="0"/>
                <w:sz w:val="21"/>
                <w:szCs w:val="21"/>
                <w:u w:val="none"/>
                <w:lang w:val="en-US" w:eastAsia="zh-CN" w:bidi="ar"/>
              </w:rPr>
              <w:t>52,948.82</w:t>
            </w:r>
          </w:p>
        </w:tc>
        <w:tc>
          <w:tcPr>
            <w:tcW w:w="2024"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2184" w:type="dxa"/>
            <w:tcBorders>
              <w:top w:val="single" w:color="000000" w:sz="4" w:space="0"/>
              <w:left w:val="nil"/>
              <w:bottom w:val="single" w:color="000000" w:sz="4" w:space="0"/>
              <w:right w:val="single" w:color="000000" w:sz="4" w:space="0"/>
            </w:tcBorders>
            <w:vAlign w:val="center"/>
          </w:tcPr>
          <w:p>
            <w:pPr>
              <w:jc w:val="center"/>
              <w:rPr>
                <w:rFonts w:hint="default"/>
              </w:rPr>
            </w:pPr>
          </w:p>
        </w:tc>
      </w:tr>
      <w:tr>
        <w:tblPrEx>
          <w:tblCellMar>
            <w:top w:w="0" w:type="dxa"/>
            <w:left w:w="108" w:type="dxa"/>
            <w:bottom w:w="0" w:type="dxa"/>
            <w:right w:w="108" w:type="dxa"/>
          </w:tblCellMar>
        </w:tblPrEx>
        <w:trPr>
          <w:trHeight w:val="340" w:hRule="exact"/>
        </w:trPr>
        <w:tc>
          <w:tcPr>
            <w:tcW w:w="26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宋体"/>
                <w:color w:val="000000"/>
                <w:kern w:val="0"/>
              </w:rPr>
            </w:pPr>
          </w:p>
          <w:p>
            <w:pPr>
              <w:jc w:val="left"/>
              <w:rPr>
                <w:rFonts w:hint="default" w:ascii="宋体"/>
                <w:color w:val="000000"/>
                <w:kern w:val="0"/>
              </w:rPr>
            </w:pP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8</w:t>
            </w:r>
          </w:p>
        </w:tc>
        <w:tc>
          <w:tcPr>
            <w:tcW w:w="1056" w:type="dxa"/>
            <w:gridSpan w:val="2"/>
            <w:tcBorders>
              <w:top w:val="single" w:color="000000" w:sz="4" w:space="0"/>
              <w:left w:val="nil"/>
              <w:bottom w:val="single" w:color="000000" w:sz="4" w:space="0"/>
              <w:right w:val="single" w:color="000000" w:sz="4" w:space="0"/>
            </w:tcBorders>
            <w:shd w:val="clear" w:color="auto" w:fill="auto"/>
            <w:vAlign w:val="center"/>
          </w:tcPr>
          <w:p>
            <w:pPr>
              <w:jc w:val="left"/>
              <w:rPr>
                <w:rFonts w:hint="default" w:ascii="宋体"/>
                <w:color w:val="000000"/>
                <w:kern w:val="0"/>
                <w:sz w:val="21"/>
                <w:szCs w:val="21"/>
              </w:rPr>
            </w:pPr>
          </w:p>
        </w:tc>
        <w:tc>
          <w:tcPr>
            <w:tcW w:w="2394" w:type="dxa"/>
            <w:tcBorders>
              <w:top w:val="single" w:color="000000" w:sz="4" w:space="0"/>
              <w:left w:val="nil"/>
              <w:bottom w:val="single" w:color="000000" w:sz="4" w:space="0"/>
              <w:right w:val="single" w:color="000000" w:sz="4" w:space="0"/>
            </w:tcBorders>
            <w:shd w:val="clear" w:color="auto" w:fill="auto"/>
            <w:vAlign w:val="center"/>
          </w:tcPr>
          <w:p>
            <w:pPr>
              <w:widowControl/>
              <w:jc w:val="left"/>
              <w:rPr>
                <w:rFonts w:hint="default" w:ascii="宋体" w:hAnsi="Times New Roman" w:eastAsia="宋体" w:cstheme="minorBidi"/>
                <w:color w:val="000000"/>
                <w:kern w:val="0"/>
                <w:sz w:val="21"/>
                <w:szCs w:val="22"/>
                <w:lang w:val="en-US" w:eastAsia="zh-CN" w:bidi="ar-SA"/>
              </w:rPr>
            </w:pPr>
            <w:r>
              <w:rPr>
                <w:rFonts w:hint="default" w:ascii="宋体"/>
                <w:color w:val="000000"/>
                <w:kern w:val="0"/>
              </w:rPr>
              <w:t>九、卫生健康支出</w:t>
            </w: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ascii="宋体" w:hAnsi="宋体" w:eastAsia="宋体" w:cstheme="minorBidi"/>
                <w:color w:val="000000"/>
                <w:kern w:val="0"/>
                <w:sz w:val="21"/>
                <w:szCs w:val="22"/>
                <w:lang w:val="en-US" w:eastAsia="zh-CN" w:bidi="ar-SA"/>
              </w:rPr>
            </w:pPr>
            <w:r>
              <w:rPr>
                <w:rFonts w:ascii="宋体" w:hAnsi="宋体"/>
                <w:color w:val="000000"/>
                <w:kern w:val="0"/>
              </w:rPr>
              <w:t>2</w:t>
            </w:r>
            <w:r>
              <w:rPr>
                <w:rFonts w:hint="eastAsia" w:ascii="宋体" w:hAnsi="宋体"/>
                <w:color w:val="000000"/>
                <w:kern w:val="0"/>
                <w:lang w:val="en-US" w:eastAsia="zh-CN"/>
              </w:rPr>
              <w:t>4</w:t>
            </w:r>
          </w:p>
        </w:tc>
        <w:tc>
          <w:tcPr>
            <w:tcW w:w="1056"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宋体" w:hAnsi="Times New Roman" w:eastAsia="宋体" w:cstheme="minorBidi"/>
                <w:color w:val="000000"/>
                <w:kern w:val="0"/>
                <w:sz w:val="21"/>
                <w:szCs w:val="21"/>
                <w:lang w:val="en-US" w:eastAsia="zh-CN" w:bidi="ar-SA"/>
              </w:rPr>
            </w:pPr>
            <w:r>
              <w:rPr>
                <w:rFonts w:hint="eastAsia" w:ascii="宋体" w:hAnsi="宋体" w:eastAsia="宋体" w:cs="宋体"/>
                <w:i w:val="0"/>
                <w:color w:val="000000"/>
                <w:kern w:val="0"/>
                <w:sz w:val="21"/>
                <w:szCs w:val="21"/>
                <w:u w:val="none"/>
                <w:lang w:val="en-US" w:eastAsia="zh-CN" w:bidi="ar"/>
              </w:rPr>
              <w:t>546.31</w:t>
            </w:r>
          </w:p>
        </w:tc>
        <w:tc>
          <w:tcPr>
            <w:tcW w:w="20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宋体" w:hAnsi="Times New Roman" w:eastAsia="宋体" w:cstheme="minorBidi"/>
                <w:color w:val="000000"/>
                <w:kern w:val="0"/>
                <w:sz w:val="21"/>
                <w:szCs w:val="21"/>
                <w:lang w:val="en-US" w:eastAsia="zh-CN" w:bidi="ar-SA"/>
              </w:rPr>
            </w:pPr>
            <w:r>
              <w:rPr>
                <w:rFonts w:hint="eastAsia" w:ascii="宋体" w:hAnsi="宋体" w:eastAsia="宋体" w:cs="宋体"/>
                <w:i w:val="0"/>
                <w:color w:val="000000"/>
                <w:kern w:val="0"/>
                <w:sz w:val="21"/>
                <w:szCs w:val="21"/>
                <w:u w:val="none"/>
                <w:lang w:val="en-US" w:eastAsia="zh-CN" w:bidi="ar"/>
              </w:rPr>
              <w:t>546.31</w:t>
            </w:r>
          </w:p>
        </w:tc>
        <w:tc>
          <w:tcPr>
            <w:tcW w:w="2024"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2184" w:type="dxa"/>
            <w:tcBorders>
              <w:top w:val="single" w:color="000000" w:sz="4" w:space="0"/>
              <w:left w:val="nil"/>
              <w:bottom w:val="single" w:color="000000" w:sz="4" w:space="0"/>
              <w:right w:val="single" w:color="000000" w:sz="4" w:space="0"/>
            </w:tcBorders>
            <w:vAlign w:val="center"/>
          </w:tcPr>
          <w:p>
            <w:pPr>
              <w:jc w:val="center"/>
              <w:rPr>
                <w:rFonts w:hint="default"/>
              </w:rPr>
            </w:pPr>
          </w:p>
        </w:tc>
      </w:tr>
      <w:tr>
        <w:tblPrEx>
          <w:tblCellMar>
            <w:top w:w="0" w:type="dxa"/>
            <w:left w:w="108" w:type="dxa"/>
            <w:bottom w:w="0" w:type="dxa"/>
            <w:right w:w="108" w:type="dxa"/>
          </w:tblCellMar>
        </w:tblPrEx>
        <w:trPr>
          <w:trHeight w:val="340" w:hRule="exact"/>
        </w:trPr>
        <w:tc>
          <w:tcPr>
            <w:tcW w:w="26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宋体"/>
                <w:color w:val="000000"/>
                <w:kern w:val="0"/>
              </w:rPr>
            </w:pP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9</w:t>
            </w:r>
          </w:p>
        </w:tc>
        <w:tc>
          <w:tcPr>
            <w:tcW w:w="1056" w:type="dxa"/>
            <w:gridSpan w:val="2"/>
            <w:tcBorders>
              <w:top w:val="single" w:color="000000" w:sz="4" w:space="0"/>
              <w:left w:val="nil"/>
              <w:bottom w:val="single" w:color="000000" w:sz="4" w:space="0"/>
              <w:right w:val="single" w:color="000000" w:sz="4" w:space="0"/>
            </w:tcBorders>
            <w:shd w:val="clear" w:color="auto" w:fill="auto"/>
            <w:vAlign w:val="center"/>
          </w:tcPr>
          <w:p>
            <w:pPr>
              <w:jc w:val="left"/>
              <w:rPr>
                <w:rFonts w:hint="default" w:ascii="宋体"/>
                <w:color w:val="000000"/>
                <w:kern w:val="0"/>
                <w:sz w:val="21"/>
                <w:szCs w:val="21"/>
              </w:rPr>
            </w:pPr>
          </w:p>
        </w:tc>
        <w:tc>
          <w:tcPr>
            <w:tcW w:w="2394" w:type="dxa"/>
            <w:tcBorders>
              <w:top w:val="single" w:color="000000" w:sz="4" w:space="0"/>
              <w:left w:val="nil"/>
              <w:bottom w:val="single" w:color="000000" w:sz="4" w:space="0"/>
              <w:right w:val="single" w:color="000000" w:sz="4" w:space="0"/>
            </w:tcBorders>
            <w:shd w:val="clear" w:color="auto" w:fill="auto"/>
            <w:vAlign w:val="center"/>
          </w:tcPr>
          <w:p>
            <w:pPr>
              <w:widowControl/>
              <w:jc w:val="left"/>
              <w:rPr>
                <w:rFonts w:hint="default" w:ascii="宋体" w:hAnsi="Times New Roman" w:eastAsia="宋体" w:cstheme="minorBidi"/>
                <w:color w:val="000000"/>
                <w:kern w:val="0"/>
                <w:sz w:val="21"/>
                <w:szCs w:val="22"/>
                <w:lang w:val="en-US" w:eastAsia="zh-CN" w:bidi="ar-SA"/>
              </w:rPr>
            </w:pPr>
            <w:r>
              <w:rPr>
                <w:rFonts w:hint="default" w:ascii="宋体"/>
                <w:color w:val="000000"/>
                <w:kern w:val="0"/>
              </w:rPr>
              <w:t>十、节能环保支出</w:t>
            </w: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default" w:ascii="宋体" w:hAnsi="宋体" w:eastAsia="宋体" w:cstheme="minorBidi"/>
                <w:color w:val="000000"/>
                <w:kern w:val="0"/>
                <w:sz w:val="21"/>
                <w:szCs w:val="22"/>
                <w:lang w:val="en-US" w:eastAsia="zh-CN" w:bidi="ar-SA"/>
              </w:rPr>
            </w:pPr>
            <w:r>
              <w:rPr>
                <w:rFonts w:hint="eastAsia" w:ascii="宋体" w:hAnsi="宋体"/>
                <w:color w:val="000000"/>
                <w:kern w:val="0"/>
                <w:lang w:val="en-US" w:eastAsia="zh-CN"/>
              </w:rPr>
              <w:t>25</w:t>
            </w:r>
          </w:p>
        </w:tc>
        <w:tc>
          <w:tcPr>
            <w:tcW w:w="1056"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宋体" w:hAnsi="Times New Roman" w:eastAsia="宋体" w:cstheme="minorBidi"/>
                <w:color w:val="000000"/>
                <w:kern w:val="0"/>
                <w:sz w:val="21"/>
                <w:szCs w:val="21"/>
                <w:lang w:val="en-US" w:eastAsia="zh-CN" w:bidi="ar-SA"/>
              </w:rPr>
            </w:pPr>
            <w:r>
              <w:rPr>
                <w:rFonts w:hint="eastAsia" w:ascii="宋体" w:hAnsi="宋体" w:eastAsia="宋体" w:cs="宋体"/>
                <w:i w:val="0"/>
                <w:color w:val="000000"/>
                <w:kern w:val="0"/>
                <w:sz w:val="21"/>
                <w:szCs w:val="21"/>
                <w:u w:val="none"/>
                <w:lang w:val="en-US" w:eastAsia="zh-CN" w:bidi="ar"/>
              </w:rPr>
              <w:t>4,504.15</w:t>
            </w:r>
          </w:p>
        </w:tc>
        <w:tc>
          <w:tcPr>
            <w:tcW w:w="20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宋体" w:hAnsi="Times New Roman" w:eastAsia="宋体" w:cstheme="minorBidi"/>
                <w:color w:val="000000"/>
                <w:kern w:val="0"/>
                <w:sz w:val="21"/>
                <w:szCs w:val="21"/>
                <w:lang w:val="en-US" w:eastAsia="zh-CN" w:bidi="ar-SA"/>
              </w:rPr>
            </w:pPr>
            <w:r>
              <w:rPr>
                <w:rFonts w:hint="eastAsia" w:ascii="宋体" w:hAnsi="宋体" w:eastAsia="宋体" w:cs="宋体"/>
                <w:i w:val="0"/>
                <w:color w:val="000000"/>
                <w:kern w:val="0"/>
                <w:sz w:val="21"/>
                <w:szCs w:val="21"/>
                <w:u w:val="none"/>
                <w:lang w:val="en-US" w:eastAsia="zh-CN" w:bidi="ar"/>
              </w:rPr>
              <w:t>4,504.15</w:t>
            </w:r>
          </w:p>
        </w:tc>
        <w:tc>
          <w:tcPr>
            <w:tcW w:w="2024"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2184" w:type="dxa"/>
            <w:tcBorders>
              <w:top w:val="single" w:color="000000" w:sz="4" w:space="0"/>
              <w:left w:val="nil"/>
              <w:bottom w:val="single" w:color="000000" w:sz="4" w:space="0"/>
              <w:right w:val="single" w:color="000000" w:sz="4" w:space="0"/>
            </w:tcBorders>
            <w:vAlign w:val="center"/>
          </w:tcPr>
          <w:p>
            <w:pPr>
              <w:jc w:val="center"/>
              <w:rPr>
                <w:rFonts w:hint="default"/>
              </w:rPr>
            </w:pPr>
          </w:p>
        </w:tc>
      </w:tr>
      <w:tr>
        <w:tblPrEx>
          <w:tblCellMar>
            <w:top w:w="0" w:type="dxa"/>
            <w:left w:w="108" w:type="dxa"/>
            <w:bottom w:w="0" w:type="dxa"/>
            <w:right w:w="108" w:type="dxa"/>
          </w:tblCellMar>
        </w:tblPrEx>
        <w:trPr>
          <w:trHeight w:val="340" w:hRule="exact"/>
        </w:trPr>
        <w:tc>
          <w:tcPr>
            <w:tcW w:w="26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宋体"/>
                <w:color w:val="000000"/>
                <w:kern w:val="0"/>
              </w:rPr>
            </w:pP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10</w:t>
            </w:r>
          </w:p>
        </w:tc>
        <w:tc>
          <w:tcPr>
            <w:tcW w:w="1056" w:type="dxa"/>
            <w:gridSpan w:val="2"/>
            <w:tcBorders>
              <w:top w:val="single" w:color="000000" w:sz="4" w:space="0"/>
              <w:left w:val="nil"/>
              <w:bottom w:val="single" w:color="000000" w:sz="4" w:space="0"/>
              <w:right w:val="single" w:color="000000" w:sz="4" w:space="0"/>
            </w:tcBorders>
            <w:shd w:val="clear" w:color="auto" w:fill="auto"/>
            <w:vAlign w:val="center"/>
          </w:tcPr>
          <w:p>
            <w:pPr>
              <w:jc w:val="left"/>
              <w:rPr>
                <w:rFonts w:hint="default" w:ascii="宋体"/>
                <w:color w:val="000000"/>
                <w:kern w:val="0"/>
                <w:sz w:val="21"/>
                <w:szCs w:val="21"/>
              </w:rPr>
            </w:pPr>
          </w:p>
        </w:tc>
        <w:tc>
          <w:tcPr>
            <w:tcW w:w="2394" w:type="dxa"/>
            <w:tcBorders>
              <w:top w:val="single" w:color="000000" w:sz="4" w:space="0"/>
              <w:left w:val="nil"/>
              <w:bottom w:val="single" w:color="000000" w:sz="4" w:space="0"/>
              <w:right w:val="single" w:color="000000" w:sz="4" w:space="0"/>
            </w:tcBorders>
            <w:shd w:val="clear" w:color="auto" w:fill="auto"/>
            <w:vAlign w:val="center"/>
          </w:tcPr>
          <w:p>
            <w:pPr>
              <w:widowControl/>
              <w:jc w:val="left"/>
              <w:rPr>
                <w:rFonts w:hint="default" w:ascii="宋体" w:hAnsi="Times New Roman" w:eastAsia="宋体" w:cstheme="minorBidi"/>
                <w:color w:val="000000"/>
                <w:kern w:val="0"/>
                <w:sz w:val="21"/>
                <w:szCs w:val="22"/>
                <w:lang w:val="en-US" w:eastAsia="zh-CN" w:bidi="ar-SA"/>
              </w:rPr>
            </w:pPr>
            <w:r>
              <w:rPr>
                <w:rFonts w:hint="default" w:ascii="宋体"/>
                <w:color w:val="000000"/>
                <w:kern w:val="0"/>
              </w:rPr>
              <w:t>十九、住房保障支出</w:t>
            </w: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default" w:ascii="宋体" w:hAnsi="宋体" w:eastAsia="宋体" w:cstheme="minorBidi"/>
                <w:color w:val="000000"/>
                <w:kern w:val="0"/>
                <w:sz w:val="21"/>
                <w:szCs w:val="22"/>
                <w:lang w:val="en-US" w:eastAsia="zh-CN" w:bidi="ar-SA"/>
              </w:rPr>
            </w:pPr>
            <w:r>
              <w:rPr>
                <w:rFonts w:hint="eastAsia" w:ascii="宋体" w:hAnsi="宋体"/>
                <w:color w:val="000000"/>
                <w:kern w:val="0"/>
                <w:lang w:val="en-US" w:eastAsia="zh-CN"/>
              </w:rPr>
              <w:t>26</w:t>
            </w:r>
          </w:p>
        </w:tc>
        <w:tc>
          <w:tcPr>
            <w:tcW w:w="1056"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宋体" w:hAnsi="Times New Roman" w:eastAsia="宋体" w:cstheme="minorBidi"/>
                <w:color w:val="000000"/>
                <w:kern w:val="0"/>
                <w:sz w:val="21"/>
                <w:szCs w:val="21"/>
                <w:lang w:val="en-US" w:eastAsia="zh-CN" w:bidi="ar-SA"/>
              </w:rPr>
            </w:pPr>
            <w:r>
              <w:rPr>
                <w:rFonts w:hint="eastAsia" w:ascii="宋体" w:hAnsi="宋体" w:eastAsia="宋体" w:cs="宋体"/>
                <w:i w:val="0"/>
                <w:color w:val="000000"/>
                <w:kern w:val="0"/>
                <w:sz w:val="21"/>
                <w:szCs w:val="21"/>
                <w:u w:val="none"/>
                <w:lang w:val="en-US" w:eastAsia="zh-CN" w:bidi="ar"/>
              </w:rPr>
              <w:t>1,898.68</w:t>
            </w:r>
          </w:p>
        </w:tc>
        <w:tc>
          <w:tcPr>
            <w:tcW w:w="20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宋体" w:hAnsi="Times New Roman" w:eastAsia="宋体" w:cstheme="minorBidi"/>
                <w:color w:val="000000"/>
                <w:kern w:val="0"/>
                <w:sz w:val="21"/>
                <w:szCs w:val="21"/>
                <w:lang w:val="en-US" w:eastAsia="zh-CN" w:bidi="ar-SA"/>
              </w:rPr>
            </w:pPr>
            <w:r>
              <w:rPr>
                <w:rFonts w:hint="eastAsia" w:ascii="宋体" w:hAnsi="宋体" w:eastAsia="宋体" w:cs="宋体"/>
                <w:i w:val="0"/>
                <w:color w:val="000000"/>
                <w:kern w:val="0"/>
                <w:sz w:val="21"/>
                <w:szCs w:val="21"/>
                <w:u w:val="none"/>
                <w:lang w:val="en-US" w:eastAsia="zh-CN" w:bidi="ar"/>
              </w:rPr>
              <w:t>1,898.68</w:t>
            </w:r>
          </w:p>
        </w:tc>
        <w:tc>
          <w:tcPr>
            <w:tcW w:w="2024"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2184" w:type="dxa"/>
            <w:tcBorders>
              <w:top w:val="single" w:color="000000" w:sz="4" w:space="0"/>
              <w:left w:val="nil"/>
              <w:bottom w:val="single" w:color="000000" w:sz="4" w:space="0"/>
              <w:right w:val="single" w:color="000000" w:sz="4" w:space="0"/>
            </w:tcBorders>
            <w:vAlign w:val="center"/>
          </w:tcPr>
          <w:p>
            <w:pPr>
              <w:jc w:val="center"/>
              <w:rPr>
                <w:rFonts w:hint="default"/>
              </w:rPr>
            </w:pPr>
          </w:p>
        </w:tc>
      </w:tr>
      <w:tr>
        <w:tblPrEx>
          <w:tblCellMar>
            <w:top w:w="0" w:type="dxa"/>
            <w:left w:w="108" w:type="dxa"/>
            <w:bottom w:w="0" w:type="dxa"/>
            <w:right w:w="108" w:type="dxa"/>
          </w:tblCellMar>
        </w:tblPrEx>
        <w:trPr>
          <w:trHeight w:val="340" w:hRule="exact"/>
        </w:trPr>
        <w:tc>
          <w:tcPr>
            <w:tcW w:w="26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b/>
                <w:color w:val="000000"/>
                <w:kern w:val="0"/>
              </w:rPr>
            </w:pPr>
            <w:r>
              <w:rPr>
                <w:rFonts w:ascii="宋体" w:hAnsi="宋体" w:cs="宋体"/>
                <w:b/>
                <w:color w:val="000000"/>
                <w:kern w:val="0"/>
                <w:szCs w:val="21"/>
              </w:rPr>
              <w:t>本年收入合计</w:t>
            </w: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eastAsia="宋体"/>
                <w:color w:val="000000"/>
                <w:kern w:val="0"/>
                <w:shd w:val="clear" w:color="auto" w:fill="FFFFFF"/>
                <w:lang w:val="en-US" w:eastAsia="zh-CN"/>
              </w:rPr>
            </w:pPr>
            <w:r>
              <w:rPr>
                <w:rFonts w:hint="eastAsia" w:ascii="宋体" w:hAnsi="宋体" w:cs="宋体"/>
                <w:color w:val="000000"/>
                <w:kern w:val="0"/>
                <w:szCs w:val="21"/>
                <w:lang w:val="en-US" w:eastAsia="zh-CN"/>
              </w:rPr>
              <w:t>11</w:t>
            </w:r>
          </w:p>
        </w:tc>
        <w:tc>
          <w:tcPr>
            <w:tcW w:w="1056"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color w:val="000000"/>
                <w:kern w:val="0"/>
                <w:sz w:val="21"/>
                <w:szCs w:val="21"/>
              </w:rPr>
            </w:pPr>
            <w:r>
              <w:rPr>
                <w:rFonts w:hint="eastAsia" w:ascii="宋体" w:hAnsi="宋体" w:eastAsia="宋体" w:cs="宋体"/>
                <w:i w:val="0"/>
                <w:color w:val="000000"/>
                <w:kern w:val="0"/>
                <w:sz w:val="21"/>
                <w:szCs w:val="21"/>
                <w:u w:val="none"/>
                <w:lang w:val="en-US" w:eastAsia="zh-CN" w:bidi="ar"/>
              </w:rPr>
              <w:t>59,223.93</w:t>
            </w:r>
          </w:p>
        </w:tc>
        <w:tc>
          <w:tcPr>
            <w:tcW w:w="2394"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hint="default" w:ascii="宋体"/>
                <w:b/>
                <w:color w:val="000000"/>
                <w:kern w:val="0"/>
              </w:rPr>
            </w:pPr>
            <w:r>
              <w:rPr>
                <w:rFonts w:ascii="宋体" w:hAnsi="宋体" w:cs="宋体"/>
                <w:b/>
                <w:color w:val="000000"/>
                <w:kern w:val="0"/>
                <w:szCs w:val="21"/>
              </w:rPr>
              <w:t>本年支出合计</w:t>
            </w: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eastAsia" w:ascii="宋体" w:eastAsia="宋体"/>
                <w:color w:val="000000"/>
                <w:kern w:val="0"/>
                <w:shd w:val="clear" w:color="auto" w:fill="FFFFFF"/>
                <w:lang w:eastAsia="zh-CN"/>
              </w:rPr>
            </w:pPr>
            <w:r>
              <w:rPr>
                <w:rFonts w:ascii="宋体" w:hAnsi="宋体" w:cs="宋体"/>
                <w:color w:val="000000"/>
                <w:kern w:val="0"/>
                <w:szCs w:val="21"/>
              </w:rPr>
              <w:t>2</w:t>
            </w:r>
            <w:r>
              <w:rPr>
                <w:rFonts w:hint="eastAsia" w:ascii="宋体" w:hAnsi="宋体" w:cs="宋体"/>
                <w:color w:val="000000"/>
                <w:kern w:val="0"/>
                <w:szCs w:val="21"/>
                <w:lang w:val="en-US" w:eastAsia="zh-CN"/>
              </w:rPr>
              <w:t>7</w:t>
            </w:r>
          </w:p>
        </w:tc>
        <w:tc>
          <w:tcPr>
            <w:tcW w:w="1056"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宋体"/>
                <w:color w:val="000000"/>
                <w:kern w:val="0"/>
                <w:sz w:val="21"/>
                <w:szCs w:val="21"/>
                <w:shd w:val="clear" w:color="auto" w:fill="FFFFFF"/>
              </w:rPr>
            </w:pPr>
            <w:r>
              <w:rPr>
                <w:rFonts w:hint="eastAsia" w:ascii="宋体" w:hAnsi="宋体" w:eastAsia="宋体" w:cs="宋体"/>
                <w:i w:val="0"/>
                <w:color w:val="000000"/>
                <w:kern w:val="0"/>
                <w:sz w:val="21"/>
                <w:szCs w:val="21"/>
                <w:u w:val="none"/>
                <w:lang w:val="en-US" w:eastAsia="zh-CN" w:bidi="ar"/>
              </w:rPr>
              <w:t>67,367.74</w:t>
            </w:r>
          </w:p>
        </w:tc>
        <w:tc>
          <w:tcPr>
            <w:tcW w:w="20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宋体"/>
                <w:color w:val="000000"/>
                <w:kern w:val="0"/>
                <w:sz w:val="21"/>
                <w:szCs w:val="21"/>
                <w:shd w:val="clear" w:color="auto" w:fill="FFFFFF"/>
              </w:rPr>
            </w:pPr>
            <w:r>
              <w:rPr>
                <w:rFonts w:hint="eastAsia" w:ascii="宋体" w:hAnsi="宋体" w:eastAsia="宋体" w:cs="宋体"/>
                <w:i w:val="0"/>
                <w:color w:val="000000"/>
                <w:kern w:val="0"/>
                <w:sz w:val="21"/>
                <w:szCs w:val="21"/>
                <w:u w:val="none"/>
                <w:lang w:val="en-US" w:eastAsia="zh-CN" w:bidi="ar"/>
              </w:rPr>
              <w:t>67,367.74</w:t>
            </w:r>
          </w:p>
        </w:tc>
        <w:tc>
          <w:tcPr>
            <w:tcW w:w="2024" w:type="dxa"/>
            <w:tcBorders>
              <w:top w:val="single" w:color="000000" w:sz="4" w:space="0"/>
              <w:left w:val="nil"/>
              <w:bottom w:val="single" w:color="000000" w:sz="4" w:space="0"/>
              <w:right w:val="single" w:color="000000" w:sz="4" w:space="0"/>
            </w:tcBorders>
            <w:vAlign w:val="center"/>
          </w:tcPr>
          <w:p>
            <w:pPr>
              <w:jc w:val="left"/>
              <w:rPr>
                <w:rFonts w:hint="default" w:ascii="宋体"/>
                <w:b/>
                <w:color w:val="000000"/>
                <w:kern w:val="0"/>
              </w:rPr>
            </w:pPr>
          </w:p>
        </w:tc>
        <w:tc>
          <w:tcPr>
            <w:tcW w:w="2184" w:type="dxa"/>
            <w:tcBorders>
              <w:top w:val="single" w:color="000000" w:sz="4" w:space="0"/>
              <w:left w:val="nil"/>
              <w:bottom w:val="single" w:color="000000" w:sz="4" w:space="0"/>
              <w:right w:val="single" w:color="000000" w:sz="4" w:space="0"/>
            </w:tcBorders>
            <w:vAlign w:val="center"/>
          </w:tcPr>
          <w:p>
            <w:pPr>
              <w:jc w:val="left"/>
              <w:rPr>
                <w:rFonts w:hint="default"/>
              </w:rPr>
            </w:pPr>
          </w:p>
        </w:tc>
      </w:tr>
      <w:tr>
        <w:tblPrEx>
          <w:tblCellMar>
            <w:top w:w="0" w:type="dxa"/>
            <w:left w:w="108" w:type="dxa"/>
            <w:bottom w:w="0" w:type="dxa"/>
            <w:right w:w="108" w:type="dxa"/>
          </w:tblCellMar>
        </w:tblPrEx>
        <w:trPr>
          <w:trHeight w:val="340" w:hRule="exact"/>
        </w:trPr>
        <w:tc>
          <w:tcPr>
            <w:tcW w:w="26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宋体"/>
                <w:color w:val="000000"/>
                <w:kern w:val="0"/>
              </w:rPr>
            </w:pPr>
            <w:r>
              <w:rPr>
                <w:rFonts w:ascii="宋体" w:hAnsi="宋体" w:cs="宋体"/>
                <w:color w:val="000000"/>
                <w:kern w:val="0"/>
                <w:szCs w:val="21"/>
              </w:rPr>
              <w:t>年初财政拨款结转和结余</w:t>
            </w: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eastAsia="宋体"/>
                <w:color w:val="000000"/>
                <w:kern w:val="0"/>
                <w:shd w:val="clear" w:color="auto" w:fill="FFFFFF"/>
                <w:lang w:val="en-US" w:eastAsia="zh-CN"/>
              </w:rPr>
            </w:pPr>
            <w:r>
              <w:rPr>
                <w:rFonts w:hint="eastAsia" w:ascii="宋体" w:hAnsi="宋体" w:cs="宋体"/>
                <w:color w:val="000000"/>
                <w:kern w:val="0"/>
                <w:szCs w:val="21"/>
                <w:lang w:val="en-US" w:eastAsia="zh-CN"/>
              </w:rPr>
              <w:t>12</w:t>
            </w:r>
          </w:p>
        </w:tc>
        <w:tc>
          <w:tcPr>
            <w:tcW w:w="1056"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color w:val="000000"/>
                <w:kern w:val="0"/>
                <w:sz w:val="21"/>
                <w:szCs w:val="21"/>
              </w:rPr>
            </w:pPr>
            <w:r>
              <w:rPr>
                <w:rFonts w:hint="eastAsia" w:ascii="宋体" w:hAnsi="宋体" w:eastAsia="宋体" w:cs="宋体"/>
                <w:i w:val="0"/>
                <w:color w:val="000000"/>
                <w:kern w:val="0"/>
                <w:sz w:val="21"/>
                <w:szCs w:val="21"/>
                <w:u w:val="none"/>
                <w:lang w:val="en-US" w:eastAsia="zh-CN" w:bidi="ar"/>
              </w:rPr>
              <w:t>9,515.72</w:t>
            </w:r>
          </w:p>
        </w:tc>
        <w:tc>
          <w:tcPr>
            <w:tcW w:w="2394" w:type="dxa"/>
            <w:tcBorders>
              <w:top w:val="single" w:color="000000" w:sz="4" w:space="0"/>
              <w:left w:val="nil"/>
              <w:bottom w:val="single" w:color="000000" w:sz="4" w:space="0"/>
              <w:right w:val="single" w:color="000000" w:sz="4" w:space="0"/>
            </w:tcBorders>
            <w:shd w:val="clear" w:color="auto" w:fill="auto"/>
            <w:vAlign w:val="center"/>
          </w:tcPr>
          <w:p>
            <w:pPr>
              <w:widowControl/>
              <w:jc w:val="left"/>
              <w:textAlignment w:val="center"/>
              <w:rPr>
                <w:rFonts w:hint="default" w:ascii="宋体"/>
                <w:color w:val="000000"/>
                <w:kern w:val="0"/>
              </w:rPr>
            </w:pPr>
            <w:r>
              <w:rPr>
                <w:rFonts w:ascii="宋体" w:hAnsi="宋体" w:cs="宋体"/>
                <w:color w:val="000000"/>
                <w:kern w:val="0"/>
                <w:szCs w:val="21"/>
              </w:rPr>
              <w:t>年末财政拨款结转和结余</w:t>
            </w: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eastAsia" w:ascii="宋体" w:eastAsia="宋体"/>
                <w:color w:val="000000"/>
                <w:kern w:val="0"/>
                <w:shd w:val="clear" w:color="auto" w:fill="FFFFFF"/>
                <w:lang w:eastAsia="zh-CN"/>
              </w:rPr>
            </w:pPr>
            <w:r>
              <w:rPr>
                <w:rFonts w:ascii="宋体" w:hAnsi="宋体" w:cs="宋体"/>
                <w:color w:val="000000"/>
                <w:kern w:val="0"/>
                <w:szCs w:val="21"/>
              </w:rPr>
              <w:t>2</w:t>
            </w:r>
            <w:r>
              <w:rPr>
                <w:rFonts w:hint="eastAsia" w:ascii="宋体" w:hAnsi="宋体" w:cs="宋体"/>
                <w:color w:val="000000"/>
                <w:kern w:val="0"/>
                <w:szCs w:val="21"/>
                <w:lang w:val="en-US" w:eastAsia="zh-CN"/>
              </w:rPr>
              <w:t>8</w:t>
            </w:r>
          </w:p>
        </w:tc>
        <w:tc>
          <w:tcPr>
            <w:tcW w:w="1056"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宋体"/>
                <w:color w:val="000000"/>
                <w:kern w:val="0"/>
                <w:sz w:val="21"/>
                <w:szCs w:val="21"/>
                <w:shd w:val="clear" w:color="auto" w:fill="FFFFFF"/>
              </w:rPr>
            </w:pPr>
            <w:r>
              <w:rPr>
                <w:rFonts w:hint="eastAsia" w:ascii="宋体" w:hAnsi="宋体" w:eastAsia="宋体" w:cs="宋体"/>
                <w:i w:val="0"/>
                <w:color w:val="000000"/>
                <w:kern w:val="0"/>
                <w:sz w:val="21"/>
                <w:szCs w:val="21"/>
                <w:u w:val="none"/>
                <w:lang w:val="en-US" w:eastAsia="zh-CN" w:bidi="ar"/>
              </w:rPr>
              <w:t>1,371.91</w:t>
            </w:r>
          </w:p>
        </w:tc>
        <w:tc>
          <w:tcPr>
            <w:tcW w:w="20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宋体"/>
                <w:color w:val="000000"/>
                <w:kern w:val="0"/>
                <w:sz w:val="21"/>
                <w:szCs w:val="21"/>
                <w:shd w:val="clear" w:color="auto" w:fill="FFFFFF"/>
              </w:rPr>
            </w:pPr>
            <w:r>
              <w:rPr>
                <w:rFonts w:hint="eastAsia" w:ascii="宋体" w:hAnsi="宋体" w:eastAsia="宋体" w:cs="宋体"/>
                <w:i w:val="0"/>
                <w:color w:val="000000"/>
                <w:kern w:val="0"/>
                <w:sz w:val="21"/>
                <w:szCs w:val="21"/>
                <w:u w:val="none"/>
                <w:lang w:val="en-US" w:eastAsia="zh-CN" w:bidi="ar"/>
              </w:rPr>
              <w:t>1,371.91</w:t>
            </w:r>
          </w:p>
        </w:tc>
        <w:tc>
          <w:tcPr>
            <w:tcW w:w="2024" w:type="dxa"/>
            <w:tcBorders>
              <w:top w:val="single" w:color="000000" w:sz="4" w:space="0"/>
              <w:left w:val="nil"/>
              <w:bottom w:val="single" w:color="000000" w:sz="4" w:space="0"/>
              <w:right w:val="single" w:color="000000" w:sz="4" w:space="0"/>
            </w:tcBorders>
            <w:vAlign w:val="center"/>
          </w:tcPr>
          <w:p>
            <w:pPr>
              <w:jc w:val="left"/>
              <w:rPr>
                <w:rFonts w:hint="default" w:ascii="宋体"/>
                <w:color w:val="000000"/>
                <w:kern w:val="0"/>
              </w:rPr>
            </w:pPr>
          </w:p>
        </w:tc>
        <w:tc>
          <w:tcPr>
            <w:tcW w:w="2184" w:type="dxa"/>
            <w:tcBorders>
              <w:top w:val="single" w:color="000000" w:sz="4" w:space="0"/>
              <w:left w:val="nil"/>
              <w:bottom w:val="single" w:color="000000" w:sz="4" w:space="0"/>
              <w:right w:val="single" w:color="000000" w:sz="4" w:space="0"/>
            </w:tcBorders>
            <w:vAlign w:val="center"/>
          </w:tcPr>
          <w:p>
            <w:pPr>
              <w:jc w:val="left"/>
              <w:rPr>
                <w:rFonts w:hint="default"/>
              </w:rPr>
            </w:pPr>
          </w:p>
        </w:tc>
      </w:tr>
      <w:tr>
        <w:tblPrEx>
          <w:tblCellMar>
            <w:top w:w="0" w:type="dxa"/>
            <w:left w:w="108" w:type="dxa"/>
            <w:bottom w:w="0" w:type="dxa"/>
            <w:right w:w="108" w:type="dxa"/>
          </w:tblCellMar>
        </w:tblPrEx>
        <w:trPr>
          <w:trHeight w:val="340" w:hRule="exact"/>
        </w:trPr>
        <w:tc>
          <w:tcPr>
            <w:tcW w:w="26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宋体"/>
                <w:color w:val="000000"/>
                <w:kern w:val="0"/>
              </w:rPr>
            </w:pPr>
            <w:r>
              <w:rPr>
                <w:rFonts w:ascii="宋体" w:hAnsi="宋体" w:cs="宋体"/>
                <w:color w:val="000000"/>
                <w:kern w:val="0"/>
                <w:szCs w:val="21"/>
              </w:rPr>
              <w:t xml:space="preserve">  一般公共预算财政拨款</w:t>
            </w: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eastAsia="宋体"/>
                <w:color w:val="000000"/>
                <w:kern w:val="0"/>
                <w:shd w:val="clear" w:color="auto" w:fill="FFFFFF"/>
                <w:lang w:val="en-US" w:eastAsia="zh-CN"/>
              </w:rPr>
            </w:pPr>
            <w:r>
              <w:rPr>
                <w:rFonts w:hint="eastAsia" w:ascii="宋体" w:hAnsi="宋体" w:cs="宋体"/>
                <w:color w:val="000000"/>
                <w:kern w:val="0"/>
                <w:szCs w:val="21"/>
                <w:lang w:val="en-US" w:eastAsia="zh-CN"/>
              </w:rPr>
              <w:t>13</w:t>
            </w:r>
          </w:p>
        </w:tc>
        <w:tc>
          <w:tcPr>
            <w:tcW w:w="1056"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color w:val="000000"/>
                <w:kern w:val="0"/>
                <w:sz w:val="21"/>
                <w:szCs w:val="21"/>
              </w:rPr>
            </w:pPr>
            <w:r>
              <w:rPr>
                <w:rFonts w:hint="eastAsia" w:ascii="宋体" w:hAnsi="宋体" w:eastAsia="宋体" w:cs="宋体"/>
                <w:i w:val="0"/>
                <w:color w:val="000000"/>
                <w:kern w:val="0"/>
                <w:sz w:val="21"/>
                <w:szCs w:val="21"/>
                <w:u w:val="none"/>
                <w:lang w:val="en-US" w:eastAsia="zh-CN" w:bidi="ar"/>
              </w:rPr>
              <w:t>9,515.72</w:t>
            </w:r>
          </w:p>
        </w:tc>
        <w:tc>
          <w:tcPr>
            <w:tcW w:w="2394" w:type="dxa"/>
            <w:tcBorders>
              <w:top w:val="single" w:color="000000" w:sz="4" w:space="0"/>
              <w:left w:val="nil"/>
              <w:bottom w:val="single" w:color="000000" w:sz="4" w:space="0"/>
              <w:right w:val="single" w:color="000000" w:sz="4" w:space="0"/>
            </w:tcBorders>
            <w:shd w:val="clear" w:color="auto" w:fill="auto"/>
            <w:vAlign w:val="center"/>
          </w:tcPr>
          <w:p>
            <w:pPr>
              <w:jc w:val="left"/>
              <w:rPr>
                <w:rFonts w:hint="default" w:ascii="宋体"/>
                <w:color w:val="000000"/>
                <w:kern w:val="0"/>
              </w:rPr>
            </w:pP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eastAsia" w:ascii="宋体" w:eastAsia="宋体"/>
                <w:color w:val="000000"/>
                <w:kern w:val="0"/>
                <w:shd w:val="clear" w:color="auto" w:fill="FFFFFF"/>
                <w:lang w:eastAsia="zh-CN"/>
              </w:rPr>
            </w:pPr>
            <w:r>
              <w:rPr>
                <w:rFonts w:ascii="宋体" w:hAnsi="宋体" w:cs="宋体"/>
                <w:color w:val="000000"/>
                <w:kern w:val="0"/>
                <w:szCs w:val="21"/>
              </w:rPr>
              <w:t>2</w:t>
            </w:r>
            <w:r>
              <w:rPr>
                <w:rFonts w:hint="eastAsia" w:ascii="宋体" w:hAnsi="宋体" w:cs="宋体"/>
                <w:color w:val="000000"/>
                <w:kern w:val="0"/>
                <w:szCs w:val="21"/>
                <w:lang w:val="en-US" w:eastAsia="zh-CN"/>
              </w:rPr>
              <w:t>9</w:t>
            </w:r>
          </w:p>
        </w:tc>
        <w:tc>
          <w:tcPr>
            <w:tcW w:w="1056" w:type="dxa"/>
            <w:tcBorders>
              <w:top w:val="single" w:color="000000" w:sz="4" w:space="0"/>
              <w:left w:val="nil"/>
              <w:bottom w:val="single" w:color="000000" w:sz="4" w:space="0"/>
              <w:right w:val="single" w:color="000000" w:sz="4" w:space="0"/>
            </w:tcBorders>
            <w:shd w:val="clear" w:color="auto" w:fill="FFFFFF"/>
            <w:vAlign w:val="center"/>
          </w:tcPr>
          <w:p>
            <w:pPr>
              <w:jc w:val="center"/>
              <w:rPr>
                <w:rFonts w:hint="default" w:ascii="宋体"/>
                <w:color w:val="000000"/>
                <w:kern w:val="0"/>
                <w:sz w:val="21"/>
                <w:szCs w:val="21"/>
                <w:shd w:val="clear" w:color="auto" w:fill="FFFFFF"/>
              </w:rPr>
            </w:pPr>
          </w:p>
        </w:tc>
        <w:tc>
          <w:tcPr>
            <w:tcW w:w="2015" w:type="dxa"/>
            <w:tcBorders>
              <w:top w:val="single" w:color="000000" w:sz="4" w:space="0"/>
              <w:left w:val="nil"/>
              <w:bottom w:val="single" w:color="000000" w:sz="4" w:space="0"/>
              <w:right w:val="single" w:color="000000" w:sz="4" w:space="0"/>
            </w:tcBorders>
            <w:shd w:val="clear" w:color="auto" w:fill="FFFFFF"/>
            <w:vAlign w:val="center"/>
          </w:tcPr>
          <w:p>
            <w:pPr>
              <w:jc w:val="center"/>
              <w:rPr>
                <w:rFonts w:hint="default" w:ascii="宋体"/>
                <w:color w:val="000000"/>
                <w:kern w:val="0"/>
                <w:sz w:val="21"/>
                <w:szCs w:val="21"/>
                <w:shd w:val="clear" w:color="auto" w:fill="FFFFFF"/>
              </w:rPr>
            </w:pPr>
          </w:p>
        </w:tc>
        <w:tc>
          <w:tcPr>
            <w:tcW w:w="2024" w:type="dxa"/>
            <w:tcBorders>
              <w:top w:val="single" w:color="000000" w:sz="4" w:space="0"/>
              <w:left w:val="nil"/>
              <w:bottom w:val="single" w:color="000000" w:sz="4" w:space="0"/>
              <w:right w:val="single" w:color="000000" w:sz="4" w:space="0"/>
            </w:tcBorders>
            <w:vAlign w:val="center"/>
          </w:tcPr>
          <w:p>
            <w:pPr>
              <w:jc w:val="left"/>
              <w:rPr>
                <w:rFonts w:hint="default" w:ascii="宋体"/>
                <w:color w:val="000000"/>
                <w:kern w:val="0"/>
              </w:rPr>
            </w:pPr>
          </w:p>
        </w:tc>
        <w:tc>
          <w:tcPr>
            <w:tcW w:w="2184" w:type="dxa"/>
            <w:tcBorders>
              <w:top w:val="single" w:color="000000" w:sz="4" w:space="0"/>
              <w:left w:val="nil"/>
              <w:bottom w:val="single" w:color="000000" w:sz="4" w:space="0"/>
              <w:right w:val="single" w:color="000000" w:sz="4" w:space="0"/>
            </w:tcBorders>
            <w:vAlign w:val="center"/>
          </w:tcPr>
          <w:p>
            <w:pPr>
              <w:jc w:val="left"/>
              <w:rPr>
                <w:rFonts w:hint="default"/>
              </w:rPr>
            </w:pPr>
          </w:p>
        </w:tc>
      </w:tr>
      <w:tr>
        <w:tblPrEx>
          <w:tblCellMar>
            <w:top w:w="0" w:type="dxa"/>
            <w:left w:w="108" w:type="dxa"/>
            <w:bottom w:w="0" w:type="dxa"/>
            <w:right w:w="108" w:type="dxa"/>
          </w:tblCellMar>
        </w:tblPrEx>
        <w:trPr>
          <w:trHeight w:val="340" w:hRule="exact"/>
        </w:trPr>
        <w:tc>
          <w:tcPr>
            <w:tcW w:w="26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宋体"/>
                <w:color w:val="000000"/>
                <w:kern w:val="0"/>
              </w:rPr>
            </w:pPr>
            <w:r>
              <w:rPr>
                <w:rFonts w:ascii="宋体" w:hAnsi="宋体" w:cs="宋体"/>
                <w:color w:val="000000"/>
                <w:kern w:val="0"/>
                <w:szCs w:val="21"/>
              </w:rPr>
              <w:t xml:space="preserve">  政府性基金预算财政拨款</w:t>
            </w: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eastAsia="宋体"/>
                <w:color w:val="000000"/>
                <w:kern w:val="0"/>
                <w:shd w:val="clear" w:color="auto" w:fill="FFFFFF"/>
                <w:lang w:val="en-US" w:eastAsia="zh-CN"/>
              </w:rPr>
            </w:pPr>
            <w:r>
              <w:rPr>
                <w:rFonts w:hint="eastAsia" w:ascii="宋体" w:hAnsi="宋体" w:cs="宋体"/>
                <w:color w:val="000000"/>
                <w:kern w:val="0"/>
                <w:szCs w:val="21"/>
                <w:lang w:val="en-US" w:eastAsia="zh-CN"/>
              </w:rPr>
              <w:t>14</w:t>
            </w:r>
          </w:p>
        </w:tc>
        <w:tc>
          <w:tcPr>
            <w:tcW w:w="1056" w:type="dxa"/>
            <w:gridSpan w:val="2"/>
            <w:tcBorders>
              <w:top w:val="single" w:color="000000" w:sz="4" w:space="0"/>
              <w:left w:val="nil"/>
              <w:bottom w:val="single" w:color="000000" w:sz="4" w:space="0"/>
              <w:right w:val="single" w:color="000000" w:sz="4" w:space="0"/>
            </w:tcBorders>
            <w:shd w:val="clear" w:color="auto" w:fill="auto"/>
            <w:vAlign w:val="center"/>
          </w:tcPr>
          <w:p>
            <w:pPr>
              <w:rPr>
                <w:rFonts w:hint="default" w:ascii="宋体"/>
                <w:color w:val="000000"/>
                <w:kern w:val="0"/>
                <w:sz w:val="21"/>
                <w:szCs w:val="21"/>
              </w:rPr>
            </w:pPr>
          </w:p>
        </w:tc>
        <w:tc>
          <w:tcPr>
            <w:tcW w:w="2394" w:type="dxa"/>
            <w:tcBorders>
              <w:top w:val="single" w:color="000000" w:sz="4" w:space="0"/>
              <w:left w:val="nil"/>
              <w:bottom w:val="single" w:color="000000" w:sz="4" w:space="0"/>
              <w:right w:val="single" w:color="000000" w:sz="4" w:space="0"/>
            </w:tcBorders>
            <w:shd w:val="clear" w:color="auto" w:fill="auto"/>
            <w:vAlign w:val="center"/>
          </w:tcPr>
          <w:p>
            <w:pPr>
              <w:jc w:val="left"/>
              <w:rPr>
                <w:rFonts w:hint="default" w:ascii="宋体"/>
                <w:color w:val="000000"/>
                <w:kern w:val="0"/>
              </w:rPr>
            </w:pP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eastAsia="宋体"/>
                <w:color w:val="000000"/>
                <w:kern w:val="0"/>
                <w:shd w:val="clear" w:color="auto" w:fill="FFFFFF"/>
                <w:lang w:val="en-US" w:eastAsia="zh-CN"/>
              </w:rPr>
            </w:pPr>
            <w:r>
              <w:rPr>
                <w:rFonts w:hint="eastAsia" w:ascii="宋体" w:hAnsi="宋体" w:cs="宋体"/>
                <w:color w:val="000000"/>
                <w:kern w:val="0"/>
                <w:szCs w:val="21"/>
                <w:lang w:val="en-US" w:eastAsia="zh-CN"/>
              </w:rPr>
              <w:t>30</w:t>
            </w:r>
          </w:p>
        </w:tc>
        <w:tc>
          <w:tcPr>
            <w:tcW w:w="1056" w:type="dxa"/>
            <w:tcBorders>
              <w:top w:val="single" w:color="000000" w:sz="4" w:space="0"/>
              <w:left w:val="nil"/>
              <w:bottom w:val="single" w:color="000000" w:sz="4" w:space="0"/>
              <w:right w:val="single" w:color="000000" w:sz="4" w:space="0"/>
            </w:tcBorders>
            <w:shd w:val="clear" w:color="auto" w:fill="FFFFFF"/>
            <w:vAlign w:val="center"/>
          </w:tcPr>
          <w:p>
            <w:pPr>
              <w:jc w:val="center"/>
              <w:rPr>
                <w:rFonts w:hint="default" w:ascii="宋体"/>
                <w:color w:val="000000"/>
                <w:kern w:val="0"/>
                <w:sz w:val="21"/>
                <w:szCs w:val="21"/>
                <w:shd w:val="clear" w:color="auto" w:fill="FFFFFF"/>
              </w:rPr>
            </w:pPr>
          </w:p>
        </w:tc>
        <w:tc>
          <w:tcPr>
            <w:tcW w:w="2015" w:type="dxa"/>
            <w:tcBorders>
              <w:top w:val="single" w:color="000000" w:sz="4" w:space="0"/>
              <w:left w:val="nil"/>
              <w:bottom w:val="single" w:color="000000" w:sz="4" w:space="0"/>
              <w:right w:val="single" w:color="000000" w:sz="4" w:space="0"/>
            </w:tcBorders>
            <w:shd w:val="clear" w:color="auto" w:fill="FFFFFF"/>
            <w:vAlign w:val="center"/>
          </w:tcPr>
          <w:p>
            <w:pPr>
              <w:jc w:val="center"/>
              <w:rPr>
                <w:rFonts w:hint="default" w:ascii="宋体"/>
                <w:color w:val="000000"/>
                <w:kern w:val="0"/>
                <w:sz w:val="21"/>
                <w:szCs w:val="21"/>
                <w:shd w:val="clear" w:color="auto" w:fill="FFFFFF"/>
              </w:rPr>
            </w:pPr>
          </w:p>
        </w:tc>
        <w:tc>
          <w:tcPr>
            <w:tcW w:w="2024" w:type="dxa"/>
            <w:tcBorders>
              <w:top w:val="single" w:color="000000" w:sz="4" w:space="0"/>
              <w:left w:val="nil"/>
              <w:bottom w:val="single" w:color="000000" w:sz="4" w:space="0"/>
              <w:right w:val="single" w:color="000000" w:sz="4" w:space="0"/>
            </w:tcBorders>
            <w:vAlign w:val="center"/>
          </w:tcPr>
          <w:p>
            <w:pPr>
              <w:jc w:val="left"/>
              <w:rPr>
                <w:rFonts w:hint="default" w:ascii="宋体"/>
                <w:color w:val="000000"/>
                <w:kern w:val="0"/>
              </w:rPr>
            </w:pPr>
          </w:p>
        </w:tc>
        <w:tc>
          <w:tcPr>
            <w:tcW w:w="2184" w:type="dxa"/>
            <w:tcBorders>
              <w:top w:val="single" w:color="000000" w:sz="4" w:space="0"/>
              <w:left w:val="nil"/>
              <w:bottom w:val="single" w:color="000000" w:sz="4" w:space="0"/>
              <w:right w:val="single" w:color="000000" w:sz="4" w:space="0"/>
            </w:tcBorders>
            <w:vAlign w:val="center"/>
          </w:tcPr>
          <w:p>
            <w:pPr>
              <w:jc w:val="left"/>
              <w:rPr>
                <w:rFonts w:hint="default"/>
              </w:rPr>
            </w:pPr>
          </w:p>
        </w:tc>
      </w:tr>
      <w:tr>
        <w:tblPrEx>
          <w:tblCellMar>
            <w:top w:w="0" w:type="dxa"/>
            <w:left w:w="108" w:type="dxa"/>
            <w:bottom w:w="0" w:type="dxa"/>
            <w:right w:w="108" w:type="dxa"/>
          </w:tblCellMar>
        </w:tblPrEx>
        <w:trPr>
          <w:trHeight w:val="340" w:hRule="exact"/>
        </w:trPr>
        <w:tc>
          <w:tcPr>
            <w:tcW w:w="26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宋体"/>
                <w:color w:val="000000"/>
                <w:kern w:val="0"/>
              </w:rPr>
            </w:pPr>
            <w:r>
              <w:rPr>
                <w:rFonts w:ascii="宋体" w:hAnsi="宋体" w:cs="宋体"/>
                <w:color w:val="000000"/>
                <w:kern w:val="0"/>
                <w:szCs w:val="21"/>
              </w:rPr>
              <w:t xml:space="preserve">  国有资本经营预算财政拨款</w:t>
            </w: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eastAsia="宋体"/>
                <w:color w:val="000000"/>
                <w:kern w:val="0"/>
                <w:shd w:val="clear" w:color="auto" w:fill="FFFFFF"/>
                <w:lang w:val="en-US" w:eastAsia="zh-CN"/>
              </w:rPr>
            </w:pPr>
            <w:r>
              <w:rPr>
                <w:rFonts w:hint="eastAsia" w:ascii="宋体" w:hAnsi="宋体" w:cs="宋体"/>
                <w:color w:val="000000"/>
                <w:kern w:val="0"/>
                <w:szCs w:val="21"/>
                <w:lang w:val="en-US" w:eastAsia="zh-CN"/>
              </w:rPr>
              <w:t>15</w:t>
            </w:r>
          </w:p>
        </w:tc>
        <w:tc>
          <w:tcPr>
            <w:tcW w:w="1056" w:type="dxa"/>
            <w:gridSpan w:val="2"/>
            <w:tcBorders>
              <w:top w:val="single" w:color="000000" w:sz="4" w:space="0"/>
              <w:left w:val="nil"/>
              <w:bottom w:val="single" w:color="000000" w:sz="4" w:space="0"/>
              <w:right w:val="single" w:color="000000" w:sz="4" w:space="0"/>
            </w:tcBorders>
            <w:shd w:val="clear" w:color="auto" w:fill="auto"/>
            <w:vAlign w:val="center"/>
          </w:tcPr>
          <w:p>
            <w:pPr>
              <w:rPr>
                <w:rFonts w:hint="default" w:ascii="宋体"/>
                <w:color w:val="000000"/>
                <w:kern w:val="0"/>
                <w:sz w:val="21"/>
                <w:szCs w:val="21"/>
              </w:rPr>
            </w:pPr>
          </w:p>
        </w:tc>
        <w:tc>
          <w:tcPr>
            <w:tcW w:w="2394" w:type="dxa"/>
            <w:tcBorders>
              <w:top w:val="single" w:color="000000" w:sz="4" w:space="0"/>
              <w:left w:val="nil"/>
              <w:bottom w:val="single" w:color="000000" w:sz="4" w:space="0"/>
              <w:right w:val="single" w:color="000000" w:sz="4" w:space="0"/>
            </w:tcBorders>
            <w:shd w:val="clear" w:color="auto" w:fill="auto"/>
            <w:vAlign w:val="center"/>
          </w:tcPr>
          <w:p>
            <w:pPr>
              <w:jc w:val="left"/>
              <w:rPr>
                <w:rFonts w:hint="default" w:ascii="宋体"/>
                <w:color w:val="000000"/>
                <w:kern w:val="0"/>
              </w:rPr>
            </w:pP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eastAsia="宋体"/>
                <w:color w:val="000000"/>
                <w:kern w:val="0"/>
                <w:shd w:val="clear" w:color="auto" w:fill="FFFFFF"/>
                <w:lang w:val="en-US" w:eastAsia="zh-CN"/>
              </w:rPr>
            </w:pPr>
            <w:r>
              <w:rPr>
                <w:rFonts w:hint="eastAsia" w:ascii="宋体" w:hAnsi="宋体" w:cs="宋体"/>
                <w:color w:val="000000"/>
                <w:kern w:val="0"/>
                <w:szCs w:val="21"/>
                <w:lang w:val="en-US" w:eastAsia="zh-CN"/>
              </w:rPr>
              <w:t>31</w:t>
            </w:r>
          </w:p>
        </w:tc>
        <w:tc>
          <w:tcPr>
            <w:tcW w:w="1056" w:type="dxa"/>
            <w:tcBorders>
              <w:top w:val="single" w:color="000000" w:sz="4" w:space="0"/>
              <w:left w:val="nil"/>
              <w:bottom w:val="single" w:color="000000" w:sz="4" w:space="0"/>
              <w:right w:val="single" w:color="000000" w:sz="4" w:space="0"/>
            </w:tcBorders>
            <w:shd w:val="clear" w:color="auto" w:fill="FFFFFF"/>
            <w:vAlign w:val="center"/>
          </w:tcPr>
          <w:p>
            <w:pPr>
              <w:jc w:val="center"/>
              <w:rPr>
                <w:rFonts w:hint="default" w:ascii="宋体"/>
                <w:color w:val="000000"/>
                <w:kern w:val="0"/>
                <w:sz w:val="21"/>
                <w:szCs w:val="21"/>
                <w:shd w:val="clear" w:color="auto" w:fill="FFFFFF"/>
              </w:rPr>
            </w:pPr>
          </w:p>
        </w:tc>
        <w:tc>
          <w:tcPr>
            <w:tcW w:w="2015" w:type="dxa"/>
            <w:tcBorders>
              <w:top w:val="single" w:color="000000" w:sz="4" w:space="0"/>
              <w:left w:val="nil"/>
              <w:bottom w:val="single" w:color="000000" w:sz="4" w:space="0"/>
              <w:right w:val="single" w:color="000000" w:sz="4" w:space="0"/>
            </w:tcBorders>
            <w:shd w:val="clear" w:color="auto" w:fill="FFFFFF"/>
            <w:vAlign w:val="center"/>
          </w:tcPr>
          <w:p>
            <w:pPr>
              <w:jc w:val="center"/>
              <w:rPr>
                <w:rFonts w:hint="default" w:ascii="宋体"/>
                <w:color w:val="000000"/>
                <w:kern w:val="0"/>
                <w:sz w:val="21"/>
                <w:szCs w:val="21"/>
                <w:shd w:val="clear" w:color="auto" w:fill="FFFFFF"/>
              </w:rPr>
            </w:pPr>
          </w:p>
        </w:tc>
        <w:tc>
          <w:tcPr>
            <w:tcW w:w="2024" w:type="dxa"/>
            <w:tcBorders>
              <w:top w:val="single" w:color="000000" w:sz="4" w:space="0"/>
              <w:left w:val="nil"/>
              <w:bottom w:val="single" w:color="000000" w:sz="4" w:space="0"/>
              <w:right w:val="single" w:color="000000" w:sz="4" w:space="0"/>
            </w:tcBorders>
            <w:vAlign w:val="center"/>
          </w:tcPr>
          <w:p>
            <w:pPr>
              <w:jc w:val="left"/>
              <w:rPr>
                <w:rFonts w:hint="default" w:ascii="宋体"/>
                <w:color w:val="000000"/>
                <w:kern w:val="0"/>
              </w:rPr>
            </w:pPr>
          </w:p>
        </w:tc>
        <w:tc>
          <w:tcPr>
            <w:tcW w:w="2184" w:type="dxa"/>
            <w:tcBorders>
              <w:top w:val="single" w:color="000000" w:sz="4" w:space="0"/>
              <w:left w:val="nil"/>
              <w:bottom w:val="single" w:color="000000" w:sz="4" w:space="0"/>
              <w:right w:val="single" w:color="000000" w:sz="4" w:space="0"/>
            </w:tcBorders>
            <w:vAlign w:val="center"/>
          </w:tcPr>
          <w:p>
            <w:pPr>
              <w:jc w:val="left"/>
              <w:rPr>
                <w:rFonts w:hint="default"/>
              </w:rPr>
            </w:pPr>
          </w:p>
        </w:tc>
      </w:tr>
      <w:tr>
        <w:tblPrEx>
          <w:tblCellMar>
            <w:top w:w="0" w:type="dxa"/>
            <w:left w:w="108" w:type="dxa"/>
            <w:bottom w:w="0" w:type="dxa"/>
            <w:right w:w="108" w:type="dxa"/>
          </w:tblCellMar>
        </w:tblPrEx>
        <w:trPr>
          <w:trHeight w:val="340" w:hRule="exact"/>
        </w:trPr>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宋体"/>
                <w:b/>
                <w:color w:val="000000"/>
                <w:kern w:val="0"/>
                <w:shd w:val="clear" w:color="auto" w:fill="FFFFFF"/>
              </w:rPr>
            </w:pPr>
            <w:r>
              <w:rPr>
                <w:rFonts w:ascii="宋体" w:hAnsi="宋体" w:cs="宋体"/>
                <w:b/>
                <w:color w:val="000000"/>
                <w:kern w:val="0"/>
                <w:szCs w:val="21"/>
              </w:rPr>
              <w:t>总计</w:t>
            </w: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eastAsia="宋体"/>
                <w:color w:val="000000"/>
                <w:kern w:val="0"/>
                <w:shd w:val="clear" w:color="auto" w:fill="FFFFFF"/>
                <w:lang w:val="en-US" w:eastAsia="zh-CN"/>
              </w:rPr>
            </w:pPr>
            <w:r>
              <w:rPr>
                <w:rFonts w:hint="eastAsia" w:ascii="宋体" w:hAnsi="宋体" w:cs="宋体"/>
                <w:color w:val="000000"/>
                <w:kern w:val="0"/>
                <w:szCs w:val="21"/>
                <w:lang w:val="en-US" w:eastAsia="zh-CN"/>
              </w:rPr>
              <w:t>16</w:t>
            </w:r>
          </w:p>
        </w:tc>
        <w:tc>
          <w:tcPr>
            <w:tcW w:w="1056"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color w:val="000000"/>
                <w:kern w:val="0"/>
                <w:sz w:val="21"/>
                <w:szCs w:val="21"/>
              </w:rPr>
            </w:pPr>
            <w:r>
              <w:rPr>
                <w:rFonts w:hint="eastAsia" w:ascii="宋体" w:hAnsi="宋体" w:eastAsia="宋体" w:cs="宋体"/>
                <w:i w:val="0"/>
                <w:color w:val="000000"/>
                <w:kern w:val="0"/>
                <w:sz w:val="21"/>
                <w:szCs w:val="21"/>
                <w:u w:val="none"/>
                <w:lang w:val="en-US" w:eastAsia="zh-CN" w:bidi="ar"/>
              </w:rPr>
              <w:t>68,739.65</w:t>
            </w:r>
          </w:p>
        </w:tc>
        <w:tc>
          <w:tcPr>
            <w:tcW w:w="2394"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b/>
                <w:color w:val="000000"/>
                <w:kern w:val="0"/>
                <w:shd w:val="clear" w:color="auto" w:fill="FFFFFF"/>
              </w:rPr>
            </w:pPr>
            <w:r>
              <w:rPr>
                <w:rFonts w:ascii="宋体" w:hAnsi="宋体" w:cs="宋体"/>
                <w:b/>
                <w:color w:val="000000"/>
                <w:kern w:val="0"/>
                <w:szCs w:val="21"/>
              </w:rPr>
              <w:t>总计</w:t>
            </w:r>
          </w:p>
        </w:tc>
        <w:tc>
          <w:tcPr>
            <w:tcW w:w="586" w:type="dxa"/>
            <w:tcBorders>
              <w:top w:val="single" w:color="000000" w:sz="4" w:space="0"/>
              <w:left w:val="nil"/>
              <w:bottom w:val="single" w:color="000000" w:sz="4" w:space="0"/>
              <w:right w:val="single" w:color="000000" w:sz="4" w:space="0"/>
            </w:tcBorders>
            <w:shd w:val="clear" w:color="auto" w:fill="FFFFFF"/>
            <w:vAlign w:val="center"/>
          </w:tcPr>
          <w:p>
            <w:pPr>
              <w:widowControl/>
              <w:jc w:val="center"/>
              <w:textAlignment w:val="center"/>
              <w:rPr>
                <w:rFonts w:hint="default" w:ascii="宋体" w:eastAsia="宋体"/>
                <w:color w:val="000000"/>
                <w:kern w:val="0"/>
                <w:shd w:val="clear" w:color="auto" w:fill="FFFFFF"/>
                <w:lang w:val="en-US" w:eastAsia="zh-CN"/>
              </w:rPr>
            </w:pPr>
            <w:r>
              <w:rPr>
                <w:rFonts w:hint="eastAsia" w:ascii="宋体" w:hAnsi="宋体" w:cs="宋体"/>
                <w:color w:val="000000"/>
                <w:kern w:val="0"/>
                <w:szCs w:val="21"/>
                <w:lang w:val="en-US" w:eastAsia="zh-CN"/>
              </w:rPr>
              <w:t>32</w:t>
            </w:r>
          </w:p>
        </w:tc>
        <w:tc>
          <w:tcPr>
            <w:tcW w:w="1056"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宋体"/>
                <w:color w:val="000000"/>
                <w:kern w:val="0"/>
                <w:sz w:val="21"/>
                <w:szCs w:val="21"/>
                <w:shd w:val="clear" w:color="auto" w:fill="FFFFFF"/>
              </w:rPr>
            </w:pPr>
            <w:r>
              <w:rPr>
                <w:rFonts w:hint="eastAsia" w:ascii="宋体" w:hAnsi="宋体" w:eastAsia="宋体" w:cs="宋体"/>
                <w:i w:val="0"/>
                <w:color w:val="000000"/>
                <w:kern w:val="0"/>
                <w:sz w:val="21"/>
                <w:szCs w:val="21"/>
                <w:u w:val="none"/>
                <w:lang w:val="en-US" w:eastAsia="zh-CN" w:bidi="ar"/>
              </w:rPr>
              <w:t>68,739.65</w:t>
            </w:r>
          </w:p>
        </w:tc>
        <w:tc>
          <w:tcPr>
            <w:tcW w:w="20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宋体"/>
                <w:color w:val="000000"/>
                <w:kern w:val="0"/>
                <w:sz w:val="21"/>
                <w:szCs w:val="21"/>
                <w:shd w:val="clear" w:color="auto" w:fill="FFFFFF"/>
              </w:rPr>
            </w:pPr>
            <w:r>
              <w:rPr>
                <w:rFonts w:hint="eastAsia" w:ascii="宋体" w:hAnsi="宋体" w:eastAsia="宋体" w:cs="宋体"/>
                <w:i w:val="0"/>
                <w:color w:val="000000"/>
                <w:kern w:val="0"/>
                <w:sz w:val="21"/>
                <w:szCs w:val="21"/>
                <w:u w:val="none"/>
                <w:lang w:val="en-US" w:eastAsia="zh-CN" w:bidi="ar"/>
              </w:rPr>
              <w:t>68,739.65</w:t>
            </w:r>
          </w:p>
        </w:tc>
        <w:tc>
          <w:tcPr>
            <w:tcW w:w="2024" w:type="dxa"/>
            <w:tcBorders>
              <w:top w:val="single" w:color="000000" w:sz="4" w:space="0"/>
              <w:left w:val="nil"/>
              <w:bottom w:val="single" w:color="000000" w:sz="4" w:space="0"/>
              <w:right w:val="single" w:color="000000" w:sz="4" w:space="0"/>
            </w:tcBorders>
            <w:vAlign w:val="center"/>
          </w:tcPr>
          <w:p>
            <w:pPr>
              <w:rPr>
                <w:rFonts w:hint="default" w:ascii="宋体"/>
                <w:b/>
                <w:color w:val="000000"/>
                <w:kern w:val="0"/>
              </w:rPr>
            </w:pPr>
          </w:p>
        </w:tc>
        <w:tc>
          <w:tcPr>
            <w:tcW w:w="2184" w:type="dxa"/>
            <w:tcBorders>
              <w:top w:val="single" w:color="000000" w:sz="4" w:space="0"/>
              <w:left w:val="nil"/>
              <w:bottom w:val="single" w:color="000000" w:sz="4" w:space="0"/>
              <w:right w:val="single" w:color="000000" w:sz="4" w:space="0"/>
            </w:tcBorders>
            <w:vAlign w:val="center"/>
          </w:tcPr>
          <w:p>
            <w:pPr>
              <w:rPr>
                <w:rFonts w:hint="default"/>
              </w:rPr>
            </w:pPr>
          </w:p>
        </w:tc>
      </w:tr>
    </w:tbl>
    <w:p>
      <w:pPr>
        <w:widowControl/>
        <w:spacing w:line="560" w:lineRule="atLeast"/>
        <w:jc w:val="left"/>
        <w:rPr>
          <w:rFonts w:hint="default" w:ascii="宋体" w:hAnsi="宋体" w:cs="宋体"/>
          <w:kern w:val="0"/>
          <w:szCs w:val="21"/>
        </w:rPr>
      </w:pPr>
      <w:r>
        <w:rPr>
          <w:rFonts w:ascii="宋体" w:hAnsi="宋体" w:cs="宋体"/>
          <w:kern w:val="0"/>
          <w:szCs w:val="21"/>
        </w:rPr>
        <w:t>注：1.本表反映部门本年度一般公共预算财政拨款、政府性基金预算财政拨款和国有资本经营预算财政拨款的总收支和年末结转结余情况。</w:t>
      </w:r>
    </w:p>
    <w:p>
      <w:pPr>
        <w:widowControl/>
        <w:spacing w:line="560" w:lineRule="atLeast"/>
        <w:jc w:val="left"/>
        <w:rPr>
          <w:rFonts w:hint="default" w:ascii="仿宋_GB2312" w:hAnsi="宋体" w:eastAsia="仿宋_GB2312"/>
          <w:kern w:val="0"/>
          <w:sz w:val="24"/>
        </w:rPr>
      </w:pPr>
      <w:r>
        <w:rPr>
          <w:rFonts w:ascii="宋体" w:hAnsi="宋体" w:cs="宋体"/>
          <w:kern w:val="0"/>
          <w:szCs w:val="21"/>
        </w:rPr>
        <w:t>2.本套报表金额单位转换时可能存在尾数误差。3.如本表为空，则我部门本年度无此类资金收支余。</w:t>
      </w:r>
    </w:p>
    <w:p>
      <w:pPr>
        <w:widowControl/>
        <w:spacing w:line="560" w:lineRule="atLeast"/>
        <w:rPr>
          <w:rFonts w:hint="default" w:ascii="仿宋_GB2312" w:hAnsi="宋体" w:eastAsia="仿宋_GB2312"/>
          <w:kern w:val="0"/>
          <w:sz w:val="21"/>
          <w:szCs w:val="21"/>
        </w:rPr>
      </w:pPr>
      <w:r>
        <w:rPr>
          <w:rFonts w:ascii="仿宋_GB2312" w:hAnsi="宋体" w:eastAsia="仿宋_GB2312"/>
          <w:kern w:val="0"/>
          <w:sz w:val="24"/>
        </w:rPr>
        <w:t>附件1-5</w:t>
      </w:r>
      <w:r>
        <w:rPr>
          <w:rFonts w:hint="eastAsia" w:ascii="仿宋_GB2312" w:hAnsi="宋体" w:eastAsia="仿宋_GB2312"/>
          <w:kern w:val="0"/>
          <w:sz w:val="24"/>
          <w:lang w:val="en-US" w:eastAsia="zh-CN"/>
        </w:rPr>
        <w:t xml:space="preserve">                                   </w:t>
      </w:r>
      <w:r>
        <w:rPr>
          <w:rFonts w:ascii="宋体" w:hAnsi="宋体" w:cs="宋体"/>
          <w:b/>
          <w:color w:val="000000"/>
          <w:kern w:val="0"/>
          <w:sz w:val="21"/>
          <w:szCs w:val="21"/>
        </w:rPr>
        <w:t>一般公共预算财政拨款支出决算表</w:t>
      </w:r>
    </w:p>
    <w:tbl>
      <w:tblPr>
        <w:tblStyle w:val="5"/>
        <w:tblW w:w="14174" w:type="dxa"/>
        <w:jc w:val="center"/>
        <w:tblLayout w:type="fixed"/>
        <w:tblCellMar>
          <w:top w:w="0" w:type="dxa"/>
          <w:left w:w="108" w:type="dxa"/>
          <w:bottom w:w="0" w:type="dxa"/>
          <w:right w:w="108" w:type="dxa"/>
        </w:tblCellMar>
      </w:tblPr>
      <w:tblGrid>
        <w:gridCol w:w="2205"/>
        <w:gridCol w:w="327"/>
        <w:gridCol w:w="1266"/>
        <w:gridCol w:w="1266"/>
        <w:gridCol w:w="1266"/>
        <w:gridCol w:w="517"/>
        <w:gridCol w:w="2015"/>
        <w:gridCol w:w="1266"/>
        <w:gridCol w:w="2044"/>
        <w:gridCol w:w="2002"/>
      </w:tblGrid>
      <w:tr>
        <w:tblPrEx>
          <w:tblCellMar>
            <w:top w:w="0" w:type="dxa"/>
            <w:left w:w="108" w:type="dxa"/>
            <w:bottom w:w="0" w:type="dxa"/>
            <w:right w:w="108" w:type="dxa"/>
          </w:tblCellMar>
        </w:tblPrEx>
        <w:trPr>
          <w:trHeight w:val="227" w:hRule="exact"/>
          <w:jc w:val="center"/>
        </w:trPr>
        <w:tc>
          <w:tcPr>
            <w:tcW w:w="2532" w:type="dxa"/>
            <w:gridSpan w:val="2"/>
            <w:tcBorders>
              <w:top w:val="nil"/>
              <w:left w:val="nil"/>
              <w:bottom w:val="nil"/>
              <w:right w:val="nil"/>
            </w:tcBorders>
            <w:shd w:val="clear" w:color="auto" w:fill="FFFFFF"/>
            <w:vAlign w:val="bottom"/>
          </w:tcPr>
          <w:p>
            <w:pPr>
              <w:jc w:val="left"/>
              <w:rPr>
                <w:rFonts w:hint="default" w:ascii="宋体"/>
                <w:color w:val="000000"/>
                <w:kern w:val="0"/>
                <w:sz w:val="15"/>
                <w:szCs w:val="15"/>
                <w:shd w:val="clear" w:color="auto" w:fill="FFFFFF"/>
              </w:rPr>
            </w:pPr>
          </w:p>
        </w:tc>
        <w:tc>
          <w:tcPr>
            <w:tcW w:w="1266" w:type="dxa"/>
            <w:tcBorders>
              <w:top w:val="nil"/>
              <w:left w:val="nil"/>
              <w:bottom w:val="nil"/>
              <w:right w:val="nil"/>
            </w:tcBorders>
            <w:shd w:val="clear" w:color="auto" w:fill="FFFFFF"/>
            <w:vAlign w:val="bottom"/>
          </w:tcPr>
          <w:p>
            <w:pPr>
              <w:jc w:val="left"/>
              <w:rPr>
                <w:rFonts w:hint="default" w:ascii="宋体"/>
                <w:color w:val="000000"/>
                <w:kern w:val="0"/>
                <w:sz w:val="15"/>
                <w:szCs w:val="15"/>
                <w:shd w:val="clear" w:color="auto" w:fill="FFFFFF"/>
              </w:rPr>
            </w:pPr>
          </w:p>
        </w:tc>
        <w:tc>
          <w:tcPr>
            <w:tcW w:w="1266" w:type="dxa"/>
            <w:tcBorders>
              <w:top w:val="nil"/>
              <w:left w:val="nil"/>
              <w:bottom w:val="nil"/>
              <w:right w:val="nil"/>
            </w:tcBorders>
            <w:shd w:val="clear" w:color="auto" w:fill="FFFFFF"/>
            <w:vAlign w:val="bottom"/>
          </w:tcPr>
          <w:p>
            <w:pPr>
              <w:jc w:val="left"/>
              <w:rPr>
                <w:rFonts w:hint="default" w:ascii="宋体"/>
                <w:color w:val="000000"/>
                <w:kern w:val="0"/>
                <w:sz w:val="15"/>
                <w:szCs w:val="15"/>
                <w:shd w:val="clear" w:color="auto" w:fill="FFFFFF"/>
              </w:rPr>
            </w:pPr>
          </w:p>
        </w:tc>
        <w:tc>
          <w:tcPr>
            <w:tcW w:w="1266" w:type="dxa"/>
            <w:tcBorders>
              <w:top w:val="nil"/>
              <w:left w:val="nil"/>
              <w:bottom w:val="nil"/>
              <w:right w:val="nil"/>
            </w:tcBorders>
            <w:shd w:val="clear" w:color="auto" w:fill="FFFFFF"/>
            <w:vAlign w:val="bottom"/>
          </w:tcPr>
          <w:p>
            <w:pPr>
              <w:jc w:val="left"/>
              <w:rPr>
                <w:rFonts w:hint="default" w:ascii="宋体"/>
                <w:color w:val="000000"/>
                <w:kern w:val="0"/>
                <w:sz w:val="15"/>
                <w:szCs w:val="15"/>
                <w:shd w:val="clear" w:color="auto" w:fill="FFFFFF"/>
              </w:rPr>
            </w:pPr>
          </w:p>
        </w:tc>
        <w:tc>
          <w:tcPr>
            <w:tcW w:w="517" w:type="dxa"/>
            <w:tcBorders>
              <w:top w:val="nil"/>
              <w:left w:val="nil"/>
              <w:bottom w:val="nil"/>
              <w:right w:val="nil"/>
            </w:tcBorders>
            <w:shd w:val="clear" w:color="auto" w:fill="FFFFFF"/>
            <w:vAlign w:val="bottom"/>
          </w:tcPr>
          <w:p>
            <w:pPr>
              <w:jc w:val="left"/>
              <w:rPr>
                <w:rFonts w:hint="default" w:ascii="宋体"/>
                <w:color w:val="000000"/>
                <w:kern w:val="0"/>
                <w:sz w:val="15"/>
                <w:szCs w:val="15"/>
                <w:shd w:val="clear" w:color="auto" w:fill="FFFFFF"/>
              </w:rPr>
            </w:pPr>
          </w:p>
        </w:tc>
        <w:tc>
          <w:tcPr>
            <w:tcW w:w="2015" w:type="dxa"/>
            <w:tcBorders>
              <w:top w:val="nil"/>
              <w:left w:val="nil"/>
              <w:bottom w:val="nil"/>
              <w:right w:val="nil"/>
            </w:tcBorders>
            <w:shd w:val="clear" w:color="auto" w:fill="FFFFFF"/>
            <w:vAlign w:val="bottom"/>
          </w:tcPr>
          <w:p>
            <w:pPr>
              <w:jc w:val="left"/>
              <w:rPr>
                <w:rFonts w:hint="default" w:ascii="宋体"/>
                <w:color w:val="000000"/>
                <w:kern w:val="0"/>
                <w:sz w:val="15"/>
                <w:szCs w:val="15"/>
                <w:shd w:val="clear" w:color="auto" w:fill="FFFFFF"/>
              </w:rPr>
            </w:pPr>
          </w:p>
        </w:tc>
        <w:tc>
          <w:tcPr>
            <w:tcW w:w="1266" w:type="dxa"/>
            <w:tcBorders>
              <w:top w:val="nil"/>
              <w:left w:val="nil"/>
              <w:bottom w:val="nil"/>
              <w:right w:val="nil"/>
            </w:tcBorders>
            <w:shd w:val="clear" w:color="auto" w:fill="FFFFFF"/>
            <w:vAlign w:val="bottom"/>
          </w:tcPr>
          <w:p>
            <w:pPr>
              <w:jc w:val="left"/>
              <w:rPr>
                <w:rFonts w:hint="default" w:ascii="宋体"/>
                <w:color w:val="000000"/>
                <w:kern w:val="0"/>
                <w:sz w:val="15"/>
                <w:szCs w:val="15"/>
                <w:shd w:val="clear" w:color="auto" w:fill="FFFFFF"/>
              </w:rPr>
            </w:pPr>
          </w:p>
        </w:tc>
        <w:tc>
          <w:tcPr>
            <w:tcW w:w="2044" w:type="dxa"/>
            <w:tcBorders>
              <w:top w:val="nil"/>
              <w:left w:val="nil"/>
              <w:bottom w:val="nil"/>
              <w:right w:val="nil"/>
            </w:tcBorders>
            <w:shd w:val="clear" w:color="auto" w:fill="FFFFFF"/>
            <w:vAlign w:val="bottom"/>
          </w:tcPr>
          <w:p>
            <w:pPr>
              <w:rPr>
                <w:rFonts w:hint="default" w:ascii="宋体"/>
                <w:color w:val="000000"/>
                <w:kern w:val="0"/>
                <w:sz w:val="15"/>
                <w:szCs w:val="15"/>
                <w:shd w:val="clear" w:color="auto" w:fill="FFFFFF"/>
              </w:rPr>
            </w:pPr>
          </w:p>
        </w:tc>
        <w:tc>
          <w:tcPr>
            <w:tcW w:w="2002" w:type="dxa"/>
            <w:tcBorders>
              <w:top w:val="nil"/>
              <w:left w:val="nil"/>
              <w:bottom w:val="nil"/>
              <w:right w:val="nil"/>
            </w:tcBorders>
            <w:shd w:val="clear" w:color="auto" w:fill="FFFFFF"/>
            <w:vAlign w:val="bottom"/>
          </w:tcPr>
          <w:p>
            <w:pPr>
              <w:widowControl/>
              <w:jc w:val="right"/>
              <w:textAlignment w:val="bottom"/>
              <w:rPr>
                <w:rFonts w:hint="default"/>
                <w:sz w:val="15"/>
                <w:szCs w:val="15"/>
              </w:rPr>
            </w:pPr>
            <w:r>
              <w:rPr>
                <w:rFonts w:ascii="宋体" w:hAnsi="宋体" w:cs="宋体"/>
                <w:color w:val="000000"/>
                <w:kern w:val="0"/>
                <w:sz w:val="15"/>
                <w:szCs w:val="15"/>
              </w:rPr>
              <w:t>公开05表</w:t>
            </w:r>
          </w:p>
        </w:tc>
      </w:tr>
      <w:tr>
        <w:tblPrEx>
          <w:tblCellMar>
            <w:top w:w="0" w:type="dxa"/>
            <w:left w:w="108" w:type="dxa"/>
            <w:bottom w:w="0" w:type="dxa"/>
            <w:right w:w="108" w:type="dxa"/>
          </w:tblCellMar>
        </w:tblPrEx>
        <w:trPr>
          <w:trHeight w:val="227" w:hRule="exact"/>
          <w:jc w:val="center"/>
        </w:trPr>
        <w:tc>
          <w:tcPr>
            <w:tcW w:w="2532" w:type="dxa"/>
            <w:gridSpan w:val="2"/>
            <w:tcBorders>
              <w:top w:val="nil"/>
              <w:left w:val="nil"/>
              <w:bottom w:val="nil"/>
              <w:right w:val="nil"/>
            </w:tcBorders>
            <w:shd w:val="clear" w:color="auto" w:fill="FFFFFF"/>
            <w:vAlign w:val="bottom"/>
          </w:tcPr>
          <w:p>
            <w:pPr>
              <w:widowControl/>
              <w:jc w:val="left"/>
              <w:textAlignment w:val="bottom"/>
              <w:rPr>
                <w:rFonts w:hint="default" w:ascii="宋体"/>
                <w:color w:val="000000"/>
                <w:kern w:val="0"/>
                <w:sz w:val="15"/>
                <w:szCs w:val="15"/>
                <w:shd w:val="clear" w:color="auto" w:fill="FFFFFF"/>
              </w:rPr>
            </w:pPr>
            <w:r>
              <w:rPr>
                <w:rFonts w:ascii="宋体" w:hAnsi="宋体" w:cs="宋体"/>
                <w:color w:val="000000"/>
                <w:kern w:val="0"/>
                <w:sz w:val="15"/>
                <w:szCs w:val="15"/>
              </w:rPr>
              <w:t>部门：</w:t>
            </w:r>
          </w:p>
        </w:tc>
        <w:tc>
          <w:tcPr>
            <w:tcW w:w="1266" w:type="dxa"/>
            <w:tcBorders>
              <w:top w:val="nil"/>
              <w:left w:val="nil"/>
              <w:bottom w:val="nil"/>
              <w:right w:val="nil"/>
            </w:tcBorders>
            <w:shd w:val="clear" w:color="auto" w:fill="FFFFFF"/>
            <w:vAlign w:val="bottom"/>
          </w:tcPr>
          <w:p>
            <w:pPr>
              <w:jc w:val="left"/>
              <w:rPr>
                <w:rFonts w:hint="default" w:ascii="宋体"/>
                <w:color w:val="000000"/>
                <w:kern w:val="0"/>
                <w:sz w:val="15"/>
                <w:szCs w:val="15"/>
                <w:shd w:val="clear" w:color="auto" w:fill="FFFFFF"/>
              </w:rPr>
            </w:pPr>
          </w:p>
        </w:tc>
        <w:tc>
          <w:tcPr>
            <w:tcW w:w="2532" w:type="dxa"/>
            <w:gridSpan w:val="2"/>
            <w:tcBorders>
              <w:top w:val="nil"/>
              <w:left w:val="nil"/>
              <w:bottom w:val="nil"/>
              <w:right w:val="nil"/>
            </w:tcBorders>
            <w:shd w:val="clear" w:color="auto" w:fill="FFFFFF"/>
            <w:vAlign w:val="bottom"/>
          </w:tcPr>
          <w:p>
            <w:pPr>
              <w:jc w:val="left"/>
              <w:rPr>
                <w:rFonts w:hint="default" w:ascii="宋体"/>
                <w:color w:val="000000"/>
                <w:kern w:val="0"/>
                <w:sz w:val="15"/>
                <w:szCs w:val="15"/>
                <w:shd w:val="clear" w:color="auto" w:fill="FFFFFF"/>
              </w:rPr>
            </w:pPr>
          </w:p>
        </w:tc>
        <w:tc>
          <w:tcPr>
            <w:tcW w:w="517" w:type="dxa"/>
            <w:tcBorders>
              <w:top w:val="nil"/>
              <w:left w:val="nil"/>
              <w:bottom w:val="nil"/>
              <w:right w:val="nil"/>
            </w:tcBorders>
            <w:shd w:val="clear" w:color="auto" w:fill="FFFFFF"/>
            <w:vAlign w:val="bottom"/>
          </w:tcPr>
          <w:p>
            <w:pPr>
              <w:jc w:val="left"/>
              <w:rPr>
                <w:rFonts w:hint="default" w:ascii="宋体"/>
                <w:color w:val="000000"/>
                <w:kern w:val="0"/>
                <w:sz w:val="15"/>
                <w:szCs w:val="15"/>
                <w:shd w:val="clear" w:color="auto" w:fill="FFFFFF"/>
              </w:rPr>
            </w:pPr>
          </w:p>
        </w:tc>
        <w:tc>
          <w:tcPr>
            <w:tcW w:w="2015" w:type="dxa"/>
            <w:tcBorders>
              <w:top w:val="nil"/>
              <w:left w:val="nil"/>
              <w:bottom w:val="nil"/>
              <w:right w:val="nil"/>
            </w:tcBorders>
            <w:shd w:val="clear" w:color="auto" w:fill="FFFFFF"/>
            <w:vAlign w:val="bottom"/>
          </w:tcPr>
          <w:p>
            <w:pPr>
              <w:jc w:val="left"/>
              <w:rPr>
                <w:rFonts w:hint="default" w:ascii="宋体"/>
                <w:color w:val="000000"/>
                <w:kern w:val="0"/>
                <w:sz w:val="15"/>
                <w:szCs w:val="15"/>
                <w:shd w:val="clear" w:color="auto" w:fill="FFFFFF"/>
              </w:rPr>
            </w:pPr>
          </w:p>
        </w:tc>
        <w:tc>
          <w:tcPr>
            <w:tcW w:w="1266" w:type="dxa"/>
            <w:tcBorders>
              <w:top w:val="nil"/>
              <w:left w:val="nil"/>
              <w:bottom w:val="nil"/>
              <w:right w:val="nil"/>
            </w:tcBorders>
            <w:shd w:val="clear" w:color="auto" w:fill="FFFFFF"/>
            <w:vAlign w:val="bottom"/>
          </w:tcPr>
          <w:p>
            <w:pPr>
              <w:jc w:val="left"/>
              <w:rPr>
                <w:rFonts w:hint="default" w:ascii="宋体"/>
                <w:color w:val="000000"/>
                <w:kern w:val="0"/>
                <w:sz w:val="15"/>
                <w:szCs w:val="15"/>
                <w:shd w:val="clear" w:color="auto" w:fill="FFFFFF"/>
              </w:rPr>
            </w:pPr>
          </w:p>
        </w:tc>
        <w:tc>
          <w:tcPr>
            <w:tcW w:w="2044" w:type="dxa"/>
            <w:tcBorders>
              <w:top w:val="nil"/>
              <w:left w:val="nil"/>
              <w:bottom w:val="nil"/>
              <w:right w:val="nil"/>
            </w:tcBorders>
            <w:shd w:val="clear" w:color="auto" w:fill="FFFFFF"/>
            <w:vAlign w:val="bottom"/>
          </w:tcPr>
          <w:p>
            <w:pPr>
              <w:rPr>
                <w:rFonts w:hint="default" w:ascii="宋体"/>
                <w:color w:val="000000"/>
                <w:kern w:val="0"/>
                <w:sz w:val="15"/>
                <w:szCs w:val="15"/>
                <w:shd w:val="clear" w:color="auto" w:fill="FFFFFF"/>
              </w:rPr>
            </w:pPr>
          </w:p>
        </w:tc>
        <w:tc>
          <w:tcPr>
            <w:tcW w:w="2002" w:type="dxa"/>
            <w:tcBorders>
              <w:top w:val="nil"/>
              <w:left w:val="nil"/>
              <w:bottom w:val="nil"/>
              <w:right w:val="nil"/>
            </w:tcBorders>
            <w:shd w:val="clear" w:color="auto" w:fill="FFFFFF"/>
            <w:vAlign w:val="bottom"/>
          </w:tcPr>
          <w:p>
            <w:pPr>
              <w:widowControl/>
              <w:jc w:val="right"/>
              <w:textAlignment w:val="bottom"/>
              <w:rPr>
                <w:rFonts w:hint="default"/>
                <w:sz w:val="15"/>
                <w:szCs w:val="15"/>
              </w:rPr>
            </w:pPr>
            <w:r>
              <w:rPr>
                <w:rFonts w:ascii="宋体" w:hAnsi="宋体" w:cs="宋体"/>
                <w:color w:val="000000"/>
                <w:kern w:val="0"/>
                <w:sz w:val="15"/>
                <w:szCs w:val="15"/>
              </w:rPr>
              <w:t>单位：万元</w:t>
            </w:r>
          </w:p>
        </w:tc>
      </w:tr>
      <w:tr>
        <w:tblPrEx>
          <w:tblCellMar>
            <w:top w:w="0" w:type="dxa"/>
            <w:left w:w="108" w:type="dxa"/>
            <w:bottom w:w="0" w:type="dxa"/>
            <w:right w:w="108" w:type="dxa"/>
          </w:tblCellMar>
        </w:tblPrEx>
        <w:trPr>
          <w:trHeight w:val="227" w:hRule="exact"/>
          <w:jc w:val="center"/>
        </w:trPr>
        <w:tc>
          <w:tcPr>
            <w:tcW w:w="6847" w:type="dxa"/>
            <w:gridSpan w:val="6"/>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default" w:ascii="宋体"/>
                <w:color w:val="000000"/>
                <w:kern w:val="0"/>
                <w:sz w:val="15"/>
                <w:szCs w:val="15"/>
              </w:rPr>
            </w:pPr>
            <w:r>
              <w:rPr>
                <w:rFonts w:ascii="宋体" w:hAnsi="宋体" w:cs="宋体"/>
                <w:color w:val="000000"/>
                <w:kern w:val="0"/>
                <w:sz w:val="15"/>
                <w:szCs w:val="15"/>
              </w:rPr>
              <w:t>项目</w:t>
            </w:r>
          </w:p>
        </w:tc>
        <w:tc>
          <w:tcPr>
            <w:tcW w:w="7327" w:type="dxa"/>
            <w:gridSpan w:val="4"/>
            <w:tcBorders>
              <w:top w:val="single" w:color="000000" w:sz="4" w:space="0"/>
              <w:left w:val="nil"/>
              <w:bottom w:val="single" w:color="000000" w:sz="4" w:space="0"/>
              <w:right w:val="single" w:color="000000" w:sz="4" w:space="0"/>
            </w:tcBorders>
            <w:vAlign w:val="center"/>
          </w:tcPr>
          <w:p>
            <w:pPr>
              <w:widowControl/>
              <w:jc w:val="center"/>
              <w:textAlignment w:val="center"/>
              <w:rPr>
                <w:rFonts w:hint="default" w:ascii="宋体"/>
                <w:color w:val="000000"/>
                <w:kern w:val="0"/>
                <w:sz w:val="15"/>
                <w:szCs w:val="15"/>
              </w:rPr>
            </w:pPr>
            <w:r>
              <w:rPr>
                <w:rFonts w:ascii="宋体" w:hAnsi="宋体" w:cs="宋体"/>
                <w:color w:val="000000"/>
                <w:kern w:val="0"/>
                <w:sz w:val="15"/>
                <w:szCs w:val="15"/>
              </w:rPr>
              <w:t>本年支出</w:t>
            </w:r>
          </w:p>
        </w:tc>
      </w:tr>
      <w:tr>
        <w:tblPrEx>
          <w:tblCellMar>
            <w:top w:w="0" w:type="dxa"/>
            <w:left w:w="108" w:type="dxa"/>
            <w:bottom w:w="0" w:type="dxa"/>
            <w:right w:w="108" w:type="dxa"/>
          </w:tblCellMar>
        </w:tblPrEx>
        <w:trPr>
          <w:trHeight w:val="227" w:hRule="exact"/>
          <w:jc w:val="center"/>
        </w:trPr>
        <w:tc>
          <w:tcPr>
            <w:tcW w:w="2205"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color w:val="000000"/>
                <w:kern w:val="0"/>
                <w:sz w:val="15"/>
                <w:szCs w:val="15"/>
              </w:rPr>
            </w:pPr>
            <w:r>
              <w:rPr>
                <w:rFonts w:ascii="宋体"/>
                <w:color w:val="000000"/>
                <w:kern w:val="0"/>
                <w:sz w:val="15"/>
                <w:szCs w:val="15"/>
              </w:rPr>
              <w:t>功能分类科目编码</w:t>
            </w:r>
          </w:p>
        </w:tc>
        <w:tc>
          <w:tcPr>
            <w:tcW w:w="4642" w:type="dxa"/>
            <w:gridSpan w:val="5"/>
            <w:tcBorders>
              <w:top w:val="single" w:color="auto" w:sz="4" w:space="0"/>
              <w:left w:val="single" w:color="auto" w:sz="4" w:space="0"/>
              <w:bottom w:val="single" w:color="auto" w:sz="4" w:space="0"/>
              <w:right w:val="single" w:color="auto" w:sz="4" w:space="0"/>
            </w:tcBorders>
            <w:vAlign w:val="center"/>
          </w:tcPr>
          <w:p>
            <w:pPr>
              <w:jc w:val="center"/>
              <w:rPr>
                <w:rFonts w:hint="default" w:ascii="宋体"/>
                <w:color w:val="000000"/>
                <w:kern w:val="0"/>
                <w:sz w:val="15"/>
                <w:szCs w:val="15"/>
              </w:rPr>
            </w:pPr>
            <w:r>
              <w:rPr>
                <w:rFonts w:ascii="宋体"/>
                <w:color w:val="000000"/>
                <w:kern w:val="0"/>
                <w:sz w:val="15"/>
                <w:szCs w:val="15"/>
              </w:rPr>
              <w:t>科目名称</w:t>
            </w:r>
          </w:p>
        </w:tc>
        <w:tc>
          <w:tcPr>
            <w:tcW w:w="3281" w:type="dxa"/>
            <w:gridSpan w:val="2"/>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hint="default" w:ascii="宋体"/>
                <w:color w:val="000000"/>
                <w:kern w:val="0"/>
                <w:sz w:val="15"/>
                <w:szCs w:val="15"/>
              </w:rPr>
            </w:pPr>
            <w:r>
              <w:rPr>
                <w:rFonts w:ascii="宋体" w:hAnsi="宋体" w:cs="宋体"/>
                <w:color w:val="000000"/>
                <w:kern w:val="0"/>
                <w:sz w:val="15"/>
                <w:szCs w:val="15"/>
              </w:rPr>
              <w:t>合计</w:t>
            </w:r>
          </w:p>
        </w:tc>
        <w:tc>
          <w:tcPr>
            <w:tcW w:w="204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default" w:ascii="宋体"/>
                <w:color w:val="000000"/>
                <w:kern w:val="0"/>
                <w:sz w:val="15"/>
                <w:szCs w:val="15"/>
              </w:rPr>
            </w:pPr>
            <w:r>
              <w:rPr>
                <w:rFonts w:ascii="宋体" w:hAnsi="宋体" w:cs="宋体"/>
                <w:color w:val="000000"/>
                <w:kern w:val="0"/>
                <w:sz w:val="15"/>
                <w:szCs w:val="15"/>
              </w:rPr>
              <w:t>基本支出</w:t>
            </w:r>
          </w:p>
        </w:tc>
        <w:tc>
          <w:tcPr>
            <w:tcW w:w="2002"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default" w:ascii="宋体"/>
                <w:color w:val="000000"/>
                <w:kern w:val="0"/>
                <w:sz w:val="15"/>
                <w:szCs w:val="15"/>
              </w:rPr>
            </w:pPr>
            <w:r>
              <w:rPr>
                <w:rFonts w:ascii="宋体" w:hAnsi="宋体" w:cs="宋体"/>
                <w:color w:val="000000"/>
                <w:kern w:val="0"/>
                <w:sz w:val="15"/>
                <w:szCs w:val="15"/>
              </w:rPr>
              <w:t>项目支出</w:t>
            </w:r>
          </w:p>
        </w:tc>
      </w:tr>
      <w:tr>
        <w:tblPrEx>
          <w:tblCellMar>
            <w:top w:w="0" w:type="dxa"/>
            <w:left w:w="108" w:type="dxa"/>
            <w:bottom w:w="0" w:type="dxa"/>
            <w:right w:w="108" w:type="dxa"/>
          </w:tblCellMar>
        </w:tblPrEx>
        <w:trPr>
          <w:trHeight w:val="227" w:hRule="exact"/>
          <w:jc w:val="center"/>
        </w:trPr>
        <w:tc>
          <w:tcPr>
            <w:tcW w:w="6847" w:type="dxa"/>
            <w:gridSpan w:val="6"/>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default" w:ascii="宋体" w:hAnsi="宋体" w:cs="宋体"/>
                <w:color w:val="000000"/>
                <w:kern w:val="0"/>
                <w:sz w:val="15"/>
                <w:szCs w:val="15"/>
              </w:rPr>
            </w:pPr>
            <w:r>
              <w:rPr>
                <w:rFonts w:ascii="宋体" w:hAnsi="宋体" w:cs="宋体"/>
                <w:color w:val="000000"/>
                <w:kern w:val="0"/>
                <w:sz w:val="15"/>
                <w:szCs w:val="15"/>
              </w:rPr>
              <w:t>栏次</w:t>
            </w:r>
          </w:p>
        </w:tc>
        <w:tc>
          <w:tcPr>
            <w:tcW w:w="3281" w:type="dxa"/>
            <w:gridSpan w:val="2"/>
            <w:tcBorders>
              <w:top w:val="single" w:color="000000" w:sz="4" w:space="0"/>
              <w:left w:val="nil"/>
              <w:bottom w:val="single" w:color="000000" w:sz="4" w:space="0"/>
              <w:right w:val="single" w:color="000000" w:sz="4" w:space="0"/>
            </w:tcBorders>
            <w:vAlign w:val="center"/>
          </w:tcPr>
          <w:p>
            <w:pPr>
              <w:widowControl/>
              <w:jc w:val="center"/>
              <w:textAlignment w:val="center"/>
              <w:rPr>
                <w:rFonts w:hint="default" w:ascii="宋体" w:hAnsi="宋体" w:cs="宋体"/>
                <w:color w:val="000000"/>
                <w:kern w:val="0"/>
                <w:sz w:val="15"/>
                <w:szCs w:val="15"/>
              </w:rPr>
            </w:pPr>
            <w:r>
              <w:rPr>
                <w:rFonts w:ascii="宋体" w:hAnsi="宋体" w:cs="宋体"/>
                <w:color w:val="000000"/>
                <w:kern w:val="0"/>
                <w:sz w:val="15"/>
                <w:szCs w:val="15"/>
              </w:rPr>
              <w:t>1</w:t>
            </w:r>
          </w:p>
        </w:tc>
        <w:tc>
          <w:tcPr>
            <w:tcW w:w="204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default" w:ascii="宋体" w:hAnsi="宋体" w:cs="宋体"/>
                <w:color w:val="000000"/>
                <w:kern w:val="0"/>
                <w:sz w:val="15"/>
                <w:szCs w:val="15"/>
              </w:rPr>
            </w:pPr>
            <w:r>
              <w:rPr>
                <w:rFonts w:ascii="宋体" w:hAnsi="宋体" w:cs="宋体"/>
                <w:color w:val="000000"/>
                <w:kern w:val="0"/>
                <w:sz w:val="15"/>
                <w:szCs w:val="15"/>
              </w:rPr>
              <w:t>2</w:t>
            </w:r>
          </w:p>
        </w:tc>
        <w:tc>
          <w:tcPr>
            <w:tcW w:w="2002"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default" w:ascii="宋体" w:hAnsi="宋体" w:cs="宋体"/>
                <w:color w:val="000000"/>
                <w:kern w:val="0"/>
                <w:sz w:val="15"/>
                <w:szCs w:val="15"/>
              </w:rPr>
            </w:pPr>
            <w:r>
              <w:rPr>
                <w:rFonts w:ascii="宋体" w:hAnsi="宋体" w:cs="宋体"/>
                <w:color w:val="000000"/>
                <w:kern w:val="0"/>
                <w:sz w:val="15"/>
                <w:szCs w:val="15"/>
              </w:rPr>
              <w:t>3</w:t>
            </w:r>
          </w:p>
        </w:tc>
      </w:tr>
      <w:tr>
        <w:tblPrEx>
          <w:tblCellMar>
            <w:top w:w="0" w:type="dxa"/>
            <w:left w:w="108" w:type="dxa"/>
            <w:bottom w:w="0" w:type="dxa"/>
            <w:right w:w="108" w:type="dxa"/>
          </w:tblCellMar>
        </w:tblPrEx>
        <w:trPr>
          <w:trHeight w:val="227" w:hRule="exact"/>
          <w:jc w:val="center"/>
        </w:trPr>
        <w:tc>
          <w:tcPr>
            <w:tcW w:w="6847" w:type="dxa"/>
            <w:gridSpan w:val="6"/>
            <w:tcBorders>
              <w:top w:val="nil"/>
              <w:left w:val="single" w:color="000000" w:sz="4" w:space="0"/>
              <w:right w:val="single" w:color="000000" w:sz="4" w:space="0"/>
            </w:tcBorders>
            <w:vAlign w:val="center"/>
          </w:tcPr>
          <w:p>
            <w:pPr>
              <w:widowControl/>
              <w:jc w:val="center"/>
              <w:textAlignment w:val="center"/>
              <w:rPr>
                <w:rFonts w:hint="default" w:ascii="宋体"/>
                <w:color w:val="000000"/>
                <w:kern w:val="0"/>
                <w:sz w:val="15"/>
                <w:szCs w:val="15"/>
              </w:rPr>
            </w:pPr>
            <w:r>
              <w:rPr>
                <w:rFonts w:ascii="宋体" w:hAnsi="宋体" w:cs="宋体"/>
                <w:color w:val="000000"/>
                <w:kern w:val="0"/>
                <w:sz w:val="15"/>
                <w:szCs w:val="15"/>
              </w:rPr>
              <w:t>合计</w:t>
            </w:r>
          </w:p>
        </w:tc>
        <w:tc>
          <w:tcPr>
            <w:tcW w:w="3281" w:type="dxa"/>
            <w:gridSpan w:val="2"/>
            <w:tcBorders>
              <w:top w:val="single" w:color="000000" w:sz="4" w:space="0"/>
              <w:left w:val="nil"/>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b/>
                <w:bCs/>
                <w:i w:val="0"/>
                <w:iCs w:val="0"/>
                <w:color w:val="000000"/>
                <w:kern w:val="2"/>
                <w:sz w:val="15"/>
                <w:szCs w:val="15"/>
                <w:u w:val="none"/>
                <w:lang w:val="en-US" w:eastAsia="zh-CN" w:bidi="ar-SA"/>
              </w:rPr>
            </w:pPr>
            <w:r>
              <w:rPr>
                <w:rFonts w:hint="eastAsia" w:ascii="宋体" w:hAnsi="宋体" w:eastAsia="宋体" w:cs="宋体"/>
                <w:b/>
                <w:i w:val="0"/>
                <w:color w:val="000000"/>
                <w:kern w:val="0"/>
                <w:sz w:val="15"/>
                <w:szCs w:val="15"/>
                <w:u w:val="none"/>
                <w:lang w:val="en-US" w:eastAsia="zh-CN" w:bidi="ar"/>
              </w:rPr>
              <w:t>67,367.74</w:t>
            </w:r>
          </w:p>
        </w:tc>
        <w:tc>
          <w:tcPr>
            <w:tcW w:w="2044" w:type="dxa"/>
            <w:tcBorders>
              <w:top w:val="single" w:color="000000" w:sz="4" w:space="0"/>
              <w:left w:val="nil"/>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b/>
                <w:bCs/>
                <w:i w:val="0"/>
                <w:iCs w:val="0"/>
                <w:color w:val="000000"/>
                <w:kern w:val="2"/>
                <w:sz w:val="15"/>
                <w:szCs w:val="15"/>
                <w:u w:val="none"/>
                <w:lang w:val="en-US" w:eastAsia="zh-CN" w:bidi="ar-SA"/>
              </w:rPr>
            </w:pPr>
            <w:r>
              <w:rPr>
                <w:rFonts w:hint="eastAsia" w:ascii="宋体" w:hAnsi="宋体" w:eastAsia="宋体" w:cs="宋体"/>
                <w:b/>
                <w:i w:val="0"/>
                <w:color w:val="000000"/>
                <w:kern w:val="0"/>
                <w:sz w:val="15"/>
                <w:szCs w:val="15"/>
                <w:u w:val="none"/>
                <w:lang w:val="en-US" w:eastAsia="zh-CN" w:bidi="ar"/>
              </w:rPr>
              <w:t>19,616.16</w:t>
            </w:r>
          </w:p>
        </w:tc>
        <w:tc>
          <w:tcPr>
            <w:tcW w:w="2002"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b/>
                <w:bCs/>
                <w:i w:val="0"/>
                <w:iCs w:val="0"/>
                <w:color w:val="000000"/>
                <w:kern w:val="2"/>
                <w:sz w:val="15"/>
                <w:szCs w:val="15"/>
                <w:u w:val="none"/>
                <w:lang w:val="en-US" w:eastAsia="zh-CN" w:bidi="ar-SA"/>
              </w:rPr>
            </w:pPr>
            <w:r>
              <w:rPr>
                <w:rFonts w:hint="eastAsia" w:ascii="宋体" w:hAnsi="宋体" w:eastAsia="宋体" w:cs="宋体"/>
                <w:b/>
                <w:i w:val="0"/>
                <w:color w:val="000000"/>
                <w:kern w:val="0"/>
                <w:sz w:val="15"/>
                <w:szCs w:val="15"/>
                <w:u w:val="none"/>
                <w:lang w:val="en-US" w:eastAsia="zh-CN" w:bidi="ar"/>
              </w:rPr>
              <w:t>47,751.58</w:t>
            </w:r>
          </w:p>
        </w:tc>
      </w:tr>
      <w:tr>
        <w:tblPrEx>
          <w:tblCellMar>
            <w:top w:w="0" w:type="dxa"/>
            <w:left w:w="108" w:type="dxa"/>
            <w:bottom w:w="0" w:type="dxa"/>
            <w:right w:w="108" w:type="dxa"/>
          </w:tblCellMar>
        </w:tblPrEx>
        <w:trPr>
          <w:trHeight w:val="227" w:hRule="exac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2050303</w:t>
            </w:r>
          </w:p>
        </w:tc>
        <w:tc>
          <w:tcPr>
            <w:tcW w:w="4642"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 xml:space="preserve">  技校教育</w:t>
            </w:r>
          </w:p>
        </w:tc>
        <w:tc>
          <w:tcPr>
            <w:tcW w:w="3281"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1,152.50</w:t>
            </w:r>
          </w:p>
        </w:tc>
        <w:tc>
          <w:tcPr>
            <w:tcW w:w="2044"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kern w:val="2"/>
                <w:sz w:val="15"/>
                <w:szCs w:val="15"/>
                <w:u w:val="none"/>
                <w:lang w:val="en-US" w:eastAsia="zh-CN" w:bidi="ar-SA"/>
              </w:rPr>
            </w:pPr>
          </w:p>
        </w:tc>
        <w:tc>
          <w:tcPr>
            <w:tcW w:w="2002"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1,152.50</w:t>
            </w:r>
          </w:p>
        </w:tc>
      </w:tr>
      <w:tr>
        <w:tblPrEx>
          <w:tblCellMar>
            <w:top w:w="0" w:type="dxa"/>
            <w:left w:w="108" w:type="dxa"/>
            <w:bottom w:w="0" w:type="dxa"/>
            <w:right w:w="108" w:type="dxa"/>
          </w:tblCellMar>
        </w:tblPrEx>
        <w:trPr>
          <w:trHeight w:val="227" w:hRule="exac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2050999</w:t>
            </w:r>
          </w:p>
        </w:tc>
        <w:tc>
          <w:tcPr>
            <w:tcW w:w="4642"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 xml:space="preserve">  其他教育费附加安排的支出</w:t>
            </w:r>
          </w:p>
        </w:tc>
        <w:tc>
          <w:tcPr>
            <w:tcW w:w="3281"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6,317.27</w:t>
            </w:r>
          </w:p>
        </w:tc>
        <w:tc>
          <w:tcPr>
            <w:tcW w:w="2044"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kern w:val="2"/>
                <w:sz w:val="15"/>
                <w:szCs w:val="15"/>
                <w:u w:val="none"/>
                <w:lang w:val="en-US" w:eastAsia="zh-CN" w:bidi="ar-SA"/>
              </w:rPr>
            </w:pPr>
          </w:p>
        </w:tc>
        <w:tc>
          <w:tcPr>
            <w:tcW w:w="2002"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6,317.27</w:t>
            </w:r>
          </w:p>
        </w:tc>
      </w:tr>
      <w:tr>
        <w:tblPrEx>
          <w:tblCellMar>
            <w:top w:w="0" w:type="dxa"/>
            <w:left w:w="108" w:type="dxa"/>
            <w:bottom w:w="0" w:type="dxa"/>
            <w:right w:w="108" w:type="dxa"/>
          </w:tblCellMar>
        </w:tblPrEx>
        <w:trPr>
          <w:trHeight w:val="227" w:hRule="exac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2080101</w:t>
            </w:r>
          </w:p>
        </w:tc>
        <w:tc>
          <w:tcPr>
            <w:tcW w:w="4642"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行政运行</w:t>
            </w:r>
          </w:p>
        </w:tc>
        <w:tc>
          <w:tcPr>
            <w:tcW w:w="3281"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3,823.00</w:t>
            </w:r>
          </w:p>
        </w:tc>
        <w:tc>
          <w:tcPr>
            <w:tcW w:w="204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3,823.00</w:t>
            </w:r>
          </w:p>
        </w:tc>
        <w:tc>
          <w:tcPr>
            <w:tcW w:w="2002"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kern w:val="2"/>
                <w:sz w:val="15"/>
                <w:szCs w:val="15"/>
                <w:u w:val="none"/>
                <w:lang w:val="en-US" w:eastAsia="zh-CN" w:bidi="ar-SA"/>
              </w:rPr>
            </w:pPr>
          </w:p>
        </w:tc>
      </w:tr>
      <w:tr>
        <w:tblPrEx>
          <w:tblCellMar>
            <w:top w:w="0" w:type="dxa"/>
            <w:left w:w="108" w:type="dxa"/>
            <w:bottom w:w="0" w:type="dxa"/>
            <w:right w:w="108" w:type="dxa"/>
          </w:tblCellMar>
        </w:tblPrEx>
        <w:trPr>
          <w:trHeight w:val="227" w:hRule="exac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2080102</w:t>
            </w:r>
          </w:p>
        </w:tc>
        <w:tc>
          <w:tcPr>
            <w:tcW w:w="4642"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一般行政管理事务</w:t>
            </w:r>
          </w:p>
        </w:tc>
        <w:tc>
          <w:tcPr>
            <w:tcW w:w="3281"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337.12</w:t>
            </w:r>
          </w:p>
        </w:tc>
        <w:tc>
          <w:tcPr>
            <w:tcW w:w="2044"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kern w:val="2"/>
                <w:sz w:val="15"/>
                <w:szCs w:val="15"/>
                <w:u w:val="none"/>
                <w:lang w:val="en-US" w:eastAsia="zh-CN" w:bidi="ar-SA"/>
              </w:rPr>
            </w:pPr>
          </w:p>
        </w:tc>
        <w:tc>
          <w:tcPr>
            <w:tcW w:w="2002"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337.12</w:t>
            </w:r>
          </w:p>
        </w:tc>
      </w:tr>
      <w:tr>
        <w:tblPrEx>
          <w:tblCellMar>
            <w:top w:w="0" w:type="dxa"/>
            <w:left w:w="108" w:type="dxa"/>
            <w:bottom w:w="0" w:type="dxa"/>
            <w:right w:w="108" w:type="dxa"/>
          </w:tblCellMar>
        </w:tblPrEx>
        <w:trPr>
          <w:trHeight w:val="227" w:hRule="exac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2080103</w:t>
            </w:r>
          </w:p>
        </w:tc>
        <w:tc>
          <w:tcPr>
            <w:tcW w:w="4642"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机关服务</w:t>
            </w:r>
          </w:p>
        </w:tc>
        <w:tc>
          <w:tcPr>
            <w:tcW w:w="3281"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59.16</w:t>
            </w:r>
          </w:p>
        </w:tc>
        <w:tc>
          <w:tcPr>
            <w:tcW w:w="2044"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kern w:val="2"/>
                <w:sz w:val="15"/>
                <w:szCs w:val="15"/>
                <w:u w:val="none"/>
                <w:lang w:val="en-US" w:eastAsia="zh-CN" w:bidi="ar-SA"/>
              </w:rPr>
            </w:pPr>
          </w:p>
        </w:tc>
        <w:tc>
          <w:tcPr>
            <w:tcW w:w="2002"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59.16</w:t>
            </w:r>
          </w:p>
        </w:tc>
      </w:tr>
      <w:tr>
        <w:tblPrEx>
          <w:tblCellMar>
            <w:top w:w="0" w:type="dxa"/>
            <w:left w:w="108" w:type="dxa"/>
            <w:bottom w:w="0" w:type="dxa"/>
            <w:right w:w="108" w:type="dxa"/>
          </w:tblCellMar>
        </w:tblPrEx>
        <w:trPr>
          <w:trHeight w:val="227" w:hRule="exac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2080105</w:t>
            </w:r>
          </w:p>
        </w:tc>
        <w:tc>
          <w:tcPr>
            <w:tcW w:w="4642"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劳动保障监察</w:t>
            </w:r>
          </w:p>
        </w:tc>
        <w:tc>
          <w:tcPr>
            <w:tcW w:w="3281"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20.19</w:t>
            </w:r>
          </w:p>
        </w:tc>
        <w:tc>
          <w:tcPr>
            <w:tcW w:w="2044"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kern w:val="2"/>
                <w:sz w:val="15"/>
                <w:szCs w:val="15"/>
                <w:u w:val="none"/>
                <w:lang w:val="en-US" w:eastAsia="zh-CN" w:bidi="ar-SA"/>
              </w:rPr>
            </w:pPr>
          </w:p>
        </w:tc>
        <w:tc>
          <w:tcPr>
            <w:tcW w:w="2002"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20.19</w:t>
            </w:r>
          </w:p>
        </w:tc>
      </w:tr>
      <w:tr>
        <w:tblPrEx>
          <w:tblCellMar>
            <w:top w:w="0" w:type="dxa"/>
            <w:left w:w="108" w:type="dxa"/>
            <w:bottom w:w="0" w:type="dxa"/>
            <w:right w:w="108" w:type="dxa"/>
          </w:tblCellMar>
        </w:tblPrEx>
        <w:trPr>
          <w:trHeight w:val="227" w:hRule="exac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2080107</w:t>
            </w:r>
          </w:p>
        </w:tc>
        <w:tc>
          <w:tcPr>
            <w:tcW w:w="4642"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社会保险业务管理事务</w:t>
            </w:r>
          </w:p>
        </w:tc>
        <w:tc>
          <w:tcPr>
            <w:tcW w:w="3281"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7,243.45</w:t>
            </w:r>
          </w:p>
        </w:tc>
        <w:tc>
          <w:tcPr>
            <w:tcW w:w="204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7,243.45</w:t>
            </w:r>
          </w:p>
        </w:tc>
        <w:tc>
          <w:tcPr>
            <w:tcW w:w="2002"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kern w:val="2"/>
                <w:sz w:val="15"/>
                <w:szCs w:val="15"/>
                <w:u w:val="none"/>
                <w:lang w:val="en-US" w:eastAsia="zh-CN" w:bidi="ar-SA"/>
              </w:rPr>
            </w:pPr>
          </w:p>
        </w:tc>
      </w:tr>
      <w:tr>
        <w:tblPrEx>
          <w:tblCellMar>
            <w:top w:w="0" w:type="dxa"/>
            <w:left w:w="108" w:type="dxa"/>
            <w:bottom w:w="0" w:type="dxa"/>
            <w:right w:w="108" w:type="dxa"/>
          </w:tblCellMar>
        </w:tblPrEx>
        <w:trPr>
          <w:trHeight w:val="227" w:hRule="exac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2080109</w:t>
            </w:r>
          </w:p>
        </w:tc>
        <w:tc>
          <w:tcPr>
            <w:tcW w:w="4642"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社会保险经办机构</w:t>
            </w:r>
          </w:p>
        </w:tc>
        <w:tc>
          <w:tcPr>
            <w:tcW w:w="3281"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2,578.62</w:t>
            </w:r>
          </w:p>
        </w:tc>
        <w:tc>
          <w:tcPr>
            <w:tcW w:w="2044"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kern w:val="2"/>
                <w:sz w:val="15"/>
                <w:szCs w:val="15"/>
                <w:u w:val="none"/>
                <w:lang w:val="en-US" w:eastAsia="zh-CN" w:bidi="ar-SA"/>
              </w:rPr>
            </w:pPr>
          </w:p>
        </w:tc>
        <w:tc>
          <w:tcPr>
            <w:tcW w:w="2002"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Times New Roman" w:eastAsia="宋体" w:cstheme="minorBidi"/>
                <w:color w:val="000000"/>
                <w:kern w:val="0"/>
                <w:sz w:val="15"/>
                <w:szCs w:val="15"/>
                <w:lang w:val="en-US" w:eastAsia="zh-CN" w:bidi="ar-SA"/>
              </w:rPr>
            </w:pPr>
            <w:r>
              <w:rPr>
                <w:rFonts w:hint="eastAsia" w:ascii="宋体" w:hAnsi="宋体" w:eastAsia="宋体" w:cs="宋体"/>
                <w:i w:val="0"/>
                <w:color w:val="000000"/>
                <w:kern w:val="0"/>
                <w:sz w:val="15"/>
                <w:szCs w:val="15"/>
                <w:u w:val="none"/>
                <w:lang w:val="en-US" w:eastAsia="zh-CN" w:bidi="ar"/>
              </w:rPr>
              <w:t>2,578.62</w:t>
            </w:r>
          </w:p>
        </w:tc>
      </w:tr>
      <w:tr>
        <w:tblPrEx>
          <w:tblCellMar>
            <w:top w:w="0" w:type="dxa"/>
            <w:left w:w="108" w:type="dxa"/>
            <w:bottom w:w="0" w:type="dxa"/>
            <w:right w:w="108" w:type="dxa"/>
          </w:tblCellMar>
        </w:tblPrEx>
        <w:trPr>
          <w:trHeight w:val="227" w:hRule="exac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2080111</w:t>
            </w:r>
          </w:p>
        </w:tc>
        <w:tc>
          <w:tcPr>
            <w:tcW w:w="4642"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公共就业服务和职业技能鉴定机构</w:t>
            </w:r>
          </w:p>
        </w:tc>
        <w:tc>
          <w:tcPr>
            <w:tcW w:w="3281"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5,872.68</w:t>
            </w:r>
          </w:p>
        </w:tc>
        <w:tc>
          <w:tcPr>
            <w:tcW w:w="204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4,661.12</w:t>
            </w:r>
          </w:p>
        </w:tc>
        <w:tc>
          <w:tcPr>
            <w:tcW w:w="2002"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Times New Roman" w:eastAsia="宋体" w:cstheme="minorBidi"/>
                <w:color w:val="000000"/>
                <w:kern w:val="0"/>
                <w:sz w:val="15"/>
                <w:szCs w:val="15"/>
                <w:lang w:val="en-US" w:eastAsia="zh-CN" w:bidi="ar-SA"/>
              </w:rPr>
            </w:pPr>
            <w:r>
              <w:rPr>
                <w:rFonts w:hint="eastAsia" w:ascii="宋体" w:hAnsi="宋体" w:eastAsia="宋体" w:cs="宋体"/>
                <w:i w:val="0"/>
                <w:color w:val="000000"/>
                <w:kern w:val="0"/>
                <w:sz w:val="15"/>
                <w:szCs w:val="15"/>
                <w:u w:val="none"/>
                <w:lang w:val="en-US" w:eastAsia="zh-CN" w:bidi="ar"/>
              </w:rPr>
              <w:t>1,211.56</w:t>
            </w:r>
          </w:p>
        </w:tc>
      </w:tr>
      <w:tr>
        <w:tblPrEx>
          <w:tblCellMar>
            <w:top w:w="0" w:type="dxa"/>
            <w:left w:w="108" w:type="dxa"/>
            <w:bottom w:w="0" w:type="dxa"/>
            <w:right w:w="108" w:type="dxa"/>
          </w:tblCellMar>
        </w:tblPrEx>
        <w:trPr>
          <w:trHeight w:val="227" w:hRule="exac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2080116</w:t>
            </w:r>
          </w:p>
        </w:tc>
        <w:tc>
          <w:tcPr>
            <w:tcW w:w="4642"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引进人才费用</w:t>
            </w:r>
          </w:p>
        </w:tc>
        <w:tc>
          <w:tcPr>
            <w:tcW w:w="3281"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3,375.23</w:t>
            </w:r>
          </w:p>
        </w:tc>
        <w:tc>
          <w:tcPr>
            <w:tcW w:w="2044"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kern w:val="2"/>
                <w:sz w:val="15"/>
                <w:szCs w:val="15"/>
                <w:u w:val="none"/>
                <w:lang w:val="en-US" w:eastAsia="zh-CN" w:bidi="ar-SA"/>
              </w:rPr>
            </w:pPr>
          </w:p>
        </w:tc>
        <w:tc>
          <w:tcPr>
            <w:tcW w:w="2002"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Times New Roman" w:eastAsia="宋体" w:cstheme="minorBidi"/>
                <w:color w:val="000000"/>
                <w:kern w:val="0"/>
                <w:sz w:val="15"/>
                <w:szCs w:val="15"/>
                <w:lang w:val="en-US" w:eastAsia="zh-CN" w:bidi="ar-SA"/>
              </w:rPr>
            </w:pPr>
            <w:r>
              <w:rPr>
                <w:rFonts w:hint="eastAsia" w:ascii="宋体" w:hAnsi="宋体" w:eastAsia="宋体" w:cs="宋体"/>
                <w:i w:val="0"/>
                <w:color w:val="000000"/>
                <w:kern w:val="0"/>
                <w:sz w:val="15"/>
                <w:szCs w:val="15"/>
                <w:u w:val="none"/>
                <w:lang w:val="en-US" w:eastAsia="zh-CN" w:bidi="ar"/>
              </w:rPr>
              <w:t>3,375.23</w:t>
            </w:r>
          </w:p>
        </w:tc>
      </w:tr>
      <w:tr>
        <w:tblPrEx>
          <w:tblCellMar>
            <w:top w:w="0" w:type="dxa"/>
            <w:left w:w="108" w:type="dxa"/>
            <w:bottom w:w="0" w:type="dxa"/>
            <w:right w:w="108" w:type="dxa"/>
          </w:tblCellMar>
        </w:tblPrEx>
        <w:trPr>
          <w:trHeight w:val="227" w:hRule="exac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2080199</w:t>
            </w:r>
          </w:p>
        </w:tc>
        <w:tc>
          <w:tcPr>
            <w:tcW w:w="4642"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其他人力资源和社会保障管理事务支出</w:t>
            </w:r>
          </w:p>
        </w:tc>
        <w:tc>
          <w:tcPr>
            <w:tcW w:w="3281"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13,124.13</w:t>
            </w:r>
          </w:p>
        </w:tc>
        <w:tc>
          <w:tcPr>
            <w:tcW w:w="2044"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kern w:val="2"/>
                <w:sz w:val="15"/>
                <w:szCs w:val="15"/>
                <w:u w:val="none"/>
                <w:lang w:val="en-US" w:eastAsia="zh-CN" w:bidi="ar-SA"/>
              </w:rPr>
            </w:pPr>
          </w:p>
        </w:tc>
        <w:tc>
          <w:tcPr>
            <w:tcW w:w="2002"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Times New Roman" w:eastAsia="宋体" w:cstheme="minorBidi"/>
                <w:color w:val="000000"/>
                <w:kern w:val="0"/>
                <w:sz w:val="15"/>
                <w:szCs w:val="15"/>
                <w:lang w:val="en-US" w:eastAsia="zh-CN" w:bidi="ar-SA"/>
              </w:rPr>
            </w:pPr>
            <w:r>
              <w:rPr>
                <w:rFonts w:hint="eastAsia" w:ascii="宋体" w:hAnsi="宋体" w:eastAsia="宋体" w:cs="宋体"/>
                <w:i w:val="0"/>
                <w:color w:val="000000"/>
                <w:kern w:val="0"/>
                <w:sz w:val="15"/>
                <w:szCs w:val="15"/>
                <w:u w:val="none"/>
                <w:lang w:val="en-US" w:eastAsia="zh-CN" w:bidi="ar"/>
              </w:rPr>
              <w:t>13,124.13</w:t>
            </w:r>
          </w:p>
        </w:tc>
      </w:tr>
      <w:tr>
        <w:tblPrEx>
          <w:tblCellMar>
            <w:top w:w="0" w:type="dxa"/>
            <w:left w:w="108" w:type="dxa"/>
            <w:bottom w:w="0" w:type="dxa"/>
            <w:right w:w="108" w:type="dxa"/>
          </w:tblCellMar>
        </w:tblPrEx>
        <w:trPr>
          <w:trHeight w:val="227" w:hRule="exac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2080501</w:t>
            </w:r>
          </w:p>
        </w:tc>
        <w:tc>
          <w:tcPr>
            <w:tcW w:w="4642"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行政单位离退休</w:t>
            </w:r>
          </w:p>
        </w:tc>
        <w:tc>
          <w:tcPr>
            <w:tcW w:w="3281"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100.01</w:t>
            </w:r>
          </w:p>
        </w:tc>
        <w:tc>
          <w:tcPr>
            <w:tcW w:w="204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100.01</w:t>
            </w:r>
          </w:p>
        </w:tc>
        <w:tc>
          <w:tcPr>
            <w:tcW w:w="2002"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kern w:val="2"/>
                <w:sz w:val="15"/>
                <w:szCs w:val="15"/>
                <w:u w:val="none"/>
                <w:lang w:val="en-US" w:eastAsia="zh-CN" w:bidi="ar-SA"/>
              </w:rPr>
            </w:pPr>
          </w:p>
        </w:tc>
      </w:tr>
      <w:tr>
        <w:tblPrEx>
          <w:tblCellMar>
            <w:top w:w="0" w:type="dxa"/>
            <w:left w:w="108" w:type="dxa"/>
            <w:bottom w:w="0" w:type="dxa"/>
            <w:right w:w="108" w:type="dxa"/>
          </w:tblCellMar>
        </w:tblPrEx>
        <w:trPr>
          <w:trHeight w:val="227" w:hRule="exac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2080502</w:t>
            </w:r>
          </w:p>
        </w:tc>
        <w:tc>
          <w:tcPr>
            <w:tcW w:w="4642"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事业单位离退休</w:t>
            </w:r>
          </w:p>
        </w:tc>
        <w:tc>
          <w:tcPr>
            <w:tcW w:w="3281"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161.92</w:t>
            </w:r>
          </w:p>
        </w:tc>
        <w:tc>
          <w:tcPr>
            <w:tcW w:w="204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161.92</w:t>
            </w:r>
          </w:p>
        </w:tc>
        <w:tc>
          <w:tcPr>
            <w:tcW w:w="2002"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kern w:val="2"/>
                <w:sz w:val="15"/>
                <w:szCs w:val="15"/>
                <w:u w:val="none"/>
                <w:lang w:val="en-US" w:eastAsia="zh-CN" w:bidi="ar-SA"/>
              </w:rPr>
            </w:pPr>
          </w:p>
        </w:tc>
      </w:tr>
      <w:tr>
        <w:tblPrEx>
          <w:tblCellMar>
            <w:top w:w="0" w:type="dxa"/>
            <w:left w:w="108" w:type="dxa"/>
            <w:bottom w:w="0" w:type="dxa"/>
            <w:right w:w="108" w:type="dxa"/>
          </w:tblCellMar>
        </w:tblPrEx>
        <w:trPr>
          <w:trHeight w:val="227" w:hRule="exac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2080505</w:t>
            </w:r>
          </w:p>
        </w:tc>
        <w:tc>
          <w:tcPr>
            <w:tcW w:w="4642"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机关事业单位基本养老保险缴费支出</w:t>
            </w:r>
          </w:p>
        </w:tc>
        <w:tc>
          <w:tcPr>
            <w:tcW w:w="3281"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1,033.58</w:t>
            </w:r>
          </w:p>
        </w:tc>
        <w:tc>
          <w:tcPr>
            <w:tcW w:w="204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1,033.58</w:t>
            </w:r>
          </w:p>
        </w:tc>
        <w:tc>
          <w:tcPr>
            <w:tcW w:w="2002" w:type="dxa"/>
            <w:tcBorders>
              <w:top w:val="single" w:color="000000" w:sz="4" w:space="0"/>
              <w:left w:val="nil"/>
              <w:bottom w:val="single" w:color="000000" w:sz="4" w:space="0"/>
              <w:right w:val="single" w:color="000000" w:sz="4" w:space="0"/>
            </w:tcBorders>
            <w:vAlign w:val="center"/>
          </w:tcPr>
          <w:p>
            <w:pPr>
              <w:jc w:val="right"/>
              <w:rPr>
                <w:rFonts w:hint="default" w:ascii="宋体" w:hAnsi="Times New Roman" w:eastAsia="宋体" w:cstheme="minorBidi"/>
                <w:color w:val="000000"/>
                <w:kern w:val="0"/>
                <w:sz w:val="15"/>
                <w:szCs w:val="15"/>
                <w:lang w:val="en-US" w:eastAsia="zh-CN" w:bidi="ar-SA"/>
              </w:rPr>
            </w:pPr>
          </w:p>
        </w:tc>
      </w:tr>
      <w:tr>
        <w:tblPrEx>
          <w:tblCellMar>
            <w:top w:w="0" w:type="dxa"/>
            <w:left w:w="108" w:type="dxa"/>
            <w:bottom w:w="0" w:type="dxa"/>
            <w:right w:w="108" w:type="dxa"/>
          </w:tblCellMar>
        </w:tblPrEx>
        <w:trPr>
          <w:trHeight w:val="227" w:hRule="exac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2080506</w:t>
            </w:r>
          </w:p>
        </w:tc>
        <w:tc>
          <w:tcPr>
            <w:tcW w:w="4642"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机关事业单位职业年金缴费支出</w:t>
            </w:r>
          </w:p>
        </w:tc>
        <w:tc>
          <w:tcPr>
            <w:tcW w:w="3281"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57.44</w:t>
            </w:r>
          </w:p>
        </w:tc>
        <w:tc>
          <w:tcPr>
            <w:tcW w:w="204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57.44</w:t>
            </w:r>
          </w:p>
        </w:tc>
        <w:tc>
          <w:tcPr>
            <w:tcW w:w="2002"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kern w:val="2"/>
                <w:sz w:val="15"/>
                <w:szCs w:val="15"/>
                <w:u w:val="none"/>
                <w:lang w:val="en-US" w:eastAsia="zh-CN" w:bidi="ar-SA"/>
              </w:rPr>
            </w:pPr>
          </w:p>
        </w:tc>
      </w:tr>
      <w:tr>
        <w:tblPrEx>
          <w:tblCellMar>
            <w:top w:w="0" w:type="dxa"/>
            <w:left w:w="108" w:type="dxa"/>
            <w:bottom w:w="0" w:type="dxa"/>
            <w:right w:w="108" w:type="dxa"/>
          </w:tblCellMar>
        </w:tblPrEx>
        <w:trPr>
          <w:trHeight w:val="227" w:hRule="exac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2080508</w:t>
            </w:r>
          </w:p>
        </w:tc>
        <w:tc>
          <w:tcPr>
            <w:tcW w:w="4642"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 xml:space="preserve">  对机关事业单位职业年金的补助</w:t>
            </w:r>
          </w:p>
        </w:tc>
        <w:tc>
          <w:tcPr>
            <w:tcW w:w="3281"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17.15</w:t>
            </w:r>
          </w:p>
        </w:tc>
        <w:tc>
          <w:tcPr>
            <w:tcW w:w="204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17.15</w:t>
            </w:r>
          </w:p>
        </w:tc>
        <w:tc>
          <w:tcPr>
            <w:tcW w:w="2002" w:type="dxa"/>
            <w:tcBorders>
              <w:top w:val="single" w:color="000000" w:sz="4" w:space="0"/>
              <w:left w:val="nil"/>
              <w:bottom w:val="single" w:color="000000" w:sz="4" w:space="0"/>
              <w:right w:val="single" w:color="000000" w:sz="4" w:space="0"/>
            </w:tcBorders>
            <w:vAlign w:val="center"/>
          </w:tcPr>
          <w:p>
            <w:pPr>
              <w:jc w:val="right"/>
              <w:rPr>
                <w:rFonts w:hint="default" w:ascii="宋体" w:hAnsi="Times New Roman" w:eastAsia="宋体" w:cstheme="minorBidi"/>
                <w:color w:val="000000"/>
                <w:kern w:val="0"/>
                <w:sz w:val="15"/>
                <w:szCs w:val="15"/>
                <w:lang w:val="en-US" w:eastAsia="zh-CN" w:bidi="ar-SA"/>
              </w:rPr>
            </w:pPr>
          </w:p>
        </w:tc>
      </w:tr>
      <w:tr>
        <w:tblPrEx>
          <w:tblCellMar>
            <w:top w:w="0" w:type="dxa"/>
            <w:left w:w="108" w:type="dxa"/>
            <w:bottom w:w="0" w:type="dxa"/>
            <w:right w:w="108" w:type="dxa"/>
          </w:tblCellMar>
        </w:tblPrEx>
        <w:trPr>
          <w:trHeight w:val="227" w:hRule="exac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color w:val="000000"/>
                <w:kern w:val="0"/>
                <w:sz w:val="15"/>
                <w:szCs w:val="15"/>
              </w:rPr>
            </w:pPr>
            <w:r>
              <w:rPr>
                <w:rFonts w:hint="eastAsia" w:ascii="宋体" w:hAnsi="宋体" w:eastAsia="宋体" w:cs="宋体"/>
                <w:i w:val="0"/>
                <w:color w:val="000000"/>
                <w:kern w:val="0"/>
                <w:sz w:val="15"/>
                <w:szCs w:val="15"/>
                <w:u w:val="none"/>
                <w:lang w:val="en-US" w:eastAsia="zh-CN" w:bidi="ar"/>
              </w:rPr>
              <w:t>2080601</w:t>
            </w:r>
          </w:p>
        </w:tc>
        <w:tc>
          <w:tcPr>
            <w:tcW w:w="4642"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color w:val="000000"/>
                <w:kern w:val="0"/>
                <w:sz w:val="15"/>
                <w:szCs w:val="15"/>
              </w:rPr>
            </w:pPr>
            <w:r>
              <w:rPr>
                <w:rFonts w:hint="eastAsia" w:ascii="宋体" w:hAnsi="宋体" w:eastAsia="宋体" w:cs="宋体"/>
                <w:i w:val="0"/>
                <w:color w:val="000000"/>
                <w:kern w:val="0"/>
                <w:sz w:val="15"/>
                <w:szCs w:val="15"/>
                <w:u w:val="none"/>
                <w:lang w:val="en-US" w:eastAsia="zh-CN" w:bidi="ar"/>
              </w:rPr>
              <w:t xml:space="preserve">  企业关闭破产补助</w:t>
            </w:r>
          </w:p>
        </w:tc>
        <w:tc>
          <w:tcPr>
            <w:tcW w:w="3281"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1,391.72</w:t>
            </w:r>
          </w:p>
        </w:tc>
        <w:tc>
          <w:tcPr>
            <w:tcW w:w="2044"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kern w:val="2"/>
                <w:sz w:val="15"/>
                <w:szCs w:val="15"/>
                <w:u w:val="none"/>
                <w:lang w:val="en-US" w:eastAsia="zh-CN" w:bidi="ar-SA"/>
              </w:rPr>
            </w:pPr>
          </w:p>
        </w:tc>
        <w:tc>
          <w:tcPr>
            <w:tcW w:w="2002"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Times New Roman" w:eastAsia="宋体" w:cstheme="minorBidi"/>
                <w:color w:val="000000"/>
                <w:kern w:val="0"/>
                <w:sz w:val="15"/>
                <w:szCs w:val="15"/>
                <w:lang w:val="en-US" w:eastAsia="zh-CN" w:bidi="ar-SA"/>
              </w:rPr>
            </w:pPr>
            <w:r>
              <w:rPr>
                <w:rFonts w:hint="eastAsia" w:ascii="宋体" w:hAnsi="宋体" w:eastAsia="宋体" w:cs="宋体"/>
                <w:i w:val="0"/>
                <w:color w:val="000000"/>
                <w:kern w:val="0"/>
                <w:sz w:val="15"/>
                <w:szCs w:val="15"/>
                <w:u w:val="none"/>
                <w:lang w:val="en-US" w:eastAsia="zh-CN" w:bidi="ar"/>
              </w:rPr>
              <w:t>1,391.72</w:t>
            </w:r>
          </w:p>
        </w:tc>
      </w:tr>
      <w:tr>
        <w:tblPrEx>
          <w:tblCellMar>
            <w:top w:w="0" w:type="dxa"/>
            <w:left w:w="108" w:type="dxa"/>
            <w:bottom w:w="0" w:type="dxa"/>
            <w:right w:w="108" w:type="dxa"/>
          </w:tblCellMar>
        </w:tblPrEx>
        <w:trPr>
          <w:trHeight w:val="227" w:hRule="exac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color w:val="000000"/>
                <w:kern w:val="0"/>
                <w:sz w:val="15"/>
                <w:szCs w:val="15"/>
              </w:rPr>
            </w:pPr>
            <w:r>
              <w:rPr>
                <w:rFonts w:hint="eastAsia" w:ascii="宋体" w:hAnsi="宋体" w:eastAsia="宋体" w:cs="宋体"/>
                <w:i w:val="0"/>
                <w:color w:val="000000"/>
                <w:kern w:val="0"/>
                <w:sz w:val="15"/>
                <w:szCs w:val="15"/>
                <w:u w:val="none"/>
                <w:lang w:val="en-US" w:eastAsia="zh-CN" w:bidi="ar"/>
              </w:rPr>
              <w:t>2080704</w:t>
            </w:r>
          </w:p>
        </w:tc>
        <w:tc>
          <w:tcPr>
            <w:tcW w:w="4642"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宋体"/>
                <w:color w:val="000000"/>
                <w:kern w:val="0"/>
                <w:sz w:val="15"/>
                <w:szCs w:val="15"/>
              </w:rPr>
            </w:pPr>
            <w:r>
              <w:rPr>
                <w:rFonts w:hint="eastAsia" w:ascii="宋体" w:hAnsi="宋体" w:eastAsia="宋体" w:cs="宋体"/>
                <w:i w:val="0"/>
                <w:color w:val="000000"/>
                <w:kern w:val="0"/>
                <w:sz w:val="15"/>
                <w:szCs w:val="15"/>
                <w:u w:val="none"/>
                <w:lang w:val="en-US" w:eastAsia="zh-CN" w:bidi="ar"/>
              </w:rPr>
              <w:t xml:space="preserve">  社会保险补贴</w:t>
            </w:r>
          </w:p>
        </w:tc>
        <w:tc>
          <w:tcPr>
            <w:tcW w:w="3281"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7.40</w:t>
            </w:r>
          </w:p>
        </w:tc>
        <w:tc>
          <w:tcPr>
            <w:tcW w:w="2044"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kern w:val="2"/>
                <w:sz w:val="15"/>
                <w:szCs w:val="15"/>
                <w:u w:val="none"/>
                <w:lang w:val="en-US" w:eastAsia="zh-CN" w:bidi="ar-SA"/>
              </w:rPr>
            </w:pPr>
          </w:p>
        </w:tc>
        <w:tc>
          <w:tcPr>
            <w:tcW w:w="2002"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Times New Roman" w:eastAsia="宋体" w:cstheme="minorBidi"/>
                <w:color w:val="000000"/>
                <w:kern w:val="0"/>
                <w:sz w:val="15"/>
                <w:szCs w:val="15"/>
                <w:lang w:val="en-US" w:eastAsia="zh-CN" w:bidi="ar-SA"/>
              </w:rPr>
            </w:pPr>
            <w:r>
              <w:rPr>
                <w:rFonts w:hint="eastAsia" w:ascii="宋体" w:hAnsi="宋体" w:eastAsia="宋体" w:cs="宋体"/>
                <w:i w:val="0"/>
                <w:color w:val="000000"/>
                <w:kern w:val="0"/>
                <w:sz w:val="15"/>
                <w:szCs w:val="15"/>
                <w:u w:val="none"/>
                <w:lang w:val="en-US" w:eastAsia="zh-CN" w:bidi="ar"/>
              </w:rPr>
              <w:t>7.40</w:t>
            </w:r>
          </w:p>
        </w:tc>
      </w:tr>
      <w:tr>
        <w:tblPrEx>
          <w:tblCellMar>
            <w:top w:w="0" w:type="dxa"/>
            <w:left w:w="108" w:type="dxa"/>
            <w:bottom w:w="0" w:type="dxa"/>
            <w:right w:w="108" w:type="dxa"/>
          </w:tblCellMar>
        </w:tblPrEx>
        <w:trPr>
          <w:trHeight w:val="227" w:hRule="exac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2080705</w:t>
            </w:r>
          </w:p>
        </w:tc>
        <w:tc>
          <w:tcPr>
            <w:tcW w:w="4642"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公益性岗位补贴</w:t>
            </w:r>
          </w:p>
        </w:tc>
        <w:tc>
          <w:tcPr>
            <w:tcW w:w="3281"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26.37</w:t>
            </w:r>
          </w:p>
        </w:tc>
        <w:tc>
          <w:tcPr>
            <w:tcW w:w="2044"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kern w:val="2"/>
                <w:sz w:val="15"/>
                <w:szCs w:val="15"/>
                <w:u w:val="none"/>
                <w:lang w:val="en-US" w:eastAsia="zh-CN" w:bidi="ar-SA"/>
              </w:rPr>
            </w:pPr>
          </w:p>
        </w:tc>
        <w:tc>
          <w:tcPr>
            <w:tcW w:w="2002"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26.37</w:t>
            </w:r>
          </w:p>
        </w:tc>
      </w:tr>
      <w:tr>
        <w:tblPrEx>
          <w:tblCellMar>
            <w:top w:w="0" w:type="dxa"/>
            <w:left w:w="108" w:type="dxa"/>
            <w:bottom w:w="0" w:type="dxa"/>
            <w:right w:w="108" w:type="dxa"/>
          </w:tblCellMar>
        </w:tblPrEx>
        <w:trPr>
          <w:trHeight w:val="227" w:hRule="exac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2080712</w:t>
            </w:r>
          </w:p>
        </w:tc>
        <w:tc>
          <w:tcPr>
            <w:tcW w:w="4642"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高技能人才培养补助</w:t>
            </w:r>
          </w:p>
        </w:tc>
        <w:tc>
          <w:tcPr>
            <w:tcW w:w="3281"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550.48</w:t>
            </w:r>
          </w:p>
        </w:tc>
        <w:tc>
          <w:tcPr>
            <w:tcW w:w="2044"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kern w:val="2"/>
                <w:sz w:val="15"/>
                <w:szCs w:val="15"/>
                <w:u w:val="none"/>
                <w:lang w:val="en-US" w:eastAsia="zh-CN" w:bidi="ar-SA"/>
              </w:rPr>
            </w:pPr>
          </w:p>
        </w:tc>
        <w:tc>
          <w:tcPr>
            <w:tcW w:w="2002"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550.48</w:t>
            </w:r>
          </w:p>
        </w:tc>
      </w:tr>
      <w:tr>
        <w:tblPrEx>
          <w:tblCellMar>
            <w:top w:w="0" w:type="dxa"/>
            <w:left w:w="108" w:type="dxa"/>
            <w:bottom w:w="0" w:type="dxa"/>
            <w:right w:w="108" w:type="dxa"/>
          </w:tblCellMar>
        </w:tblPrEx>
        <w:trPr>
          <w:trHeight w:val="227" w:hRule="exac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2080799</w:t>
            </w:r>
          </w:p>
        </w:tc>
        <w:tc>
          <w:tcPr>
            <w:tcW w:w="4642"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其他就业补助支出</w:t>
            </w:r>
          </w:p>
        </w:tc>
        <w:tc>
          <w:tcPr>
            <w:tcW w:w="3281"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12,737.56</w:t>
            </w:r>
          </w:p>
        </w:tc>
        <w:tc>
          <w:tcPr>
            <w:tcW w:w="2044"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kern w:val="2"/>
                <w:sz w:val="15"/>
                <w:szCs w:val="15"/>
                <w:u w:val="none"/>
                <w:lang w:val="en-US" w:eastAsia="zh-CN" w:bidi="ar-SA"/>
              </w:rPr>
            </w:pPr>
          </w:p>
        </w:tc>
        <w:tc>
          <w:tcPr>
            <w:tcW w:w="2002"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12,737.56</w:t>
            </w:r>
          </w:p>
        </w:tc>
      </w:tr>
      <w:tr>
        <w:tblPrEx>
          <w:tblCellMar>
            <w:top w:w="0" w:type="dxa"/>
            <w:left w:w="108" w:type="dxa"/>
            <w:bottom w:w="0" w:type="dxa"/>
            <w:right w:w="108" w:type="dxa"/>
          </w:tblCellMar>
        </w:tblPrEx>
        <w:trPr>
          <w:trHeight w:val="227" w:hRule="exac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2080802</w:t>
            </w:r>
          </w:p>
        </w:tc>
        <w:tc>
          <w:tcPr>
            <w:tcW w:w="4642"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伤残抚恤</w:t>
            </w:r>
          </w:p>
        </w:tc>
        <w:tc>
          <w:tcPr>
            <w:tcW w:w="3281"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73.49</w:t>
            </w:r>
          </w:p>
        </w:tc>
        <w:tc>
          <w:tcPr>
            <w:tcW w:w="204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73.49</w:t>
            </w:r>
          </w:p>
        </w:tc>
        <w:tc>
          <w:tcPr>
            <w:tcW w:w="2002" w:type="dxa"/>
            <w:tcBorders>
              <w:top w:val="single" w:color="000000" w:sz="4" w:space="0"/>
              <w:left w:val="nil"/>
              <w:bottom w:val="single" w:color="000000" w:sz="4" w:space="0"/>
              <w:right w:val="single" w:color="000000" w:sz="4" w:space="0"/>
            </w:tcBorders>
            <w:vAlign w:val="center"/>
          </w:tcPr>
          <w:p>
            <w:pPr>
              <w:jc w:val="right"/>
              <w:rPr>
                <w:rFonts w:hint="eastAsia" w:ascii="宋体" w:hAnsi="宋体" w:eastAsia="宋体" w:cs="宋体"/>
                <w:i w:val="0"/>
                <w:color w:val="000000"/>
                <w:kern w:val="0"/>
                <w:sz w:val="15"/>
                <w:szCs w:val="15"/>
                <w:u w:val="none"/>
                <w:lang w:val="en-US" w:eastAsia="zh-CN" w:bidi="ar"/>
              </w:rPr>
            </w:pPr>
          </w:p>
        </w:tc>
      </w:tr>
      <w:tr>
        <w:tblPrEx>
          <w:tblCellMar>
            <w:top w:w="0" w:type="dxa"/>
            <w:left w:w="108" w:type="dxa"/>
            <w:bottom w:w="0" w:type="dxa"/>
            <w:right w:w="108" w:type="dxa"/>
          </w:tblCellMar>
        </w:tblPrEx>
        <w:trPr>
          <w:trHeight w:val="227" w:hRule="exac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2080899</w:t>
            </w:r>
          </w:p>
        </w:tc>
        <w:tc>
          <w:tcPr>
            <w:tcW w:w="4642"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其他优抚支出</w:t>
            </w:r>
          </w:p>
        </w:tc>
        <w:tc>
          <w:tcPr>
            <w:tcW w:w="3281"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65.66</w:t>
            </w:r>
          </w:p>
        </w:tc>
        <w:tc>
          <w:tcPr>
            <w:tcW w:w="2044"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kern w:val="2"/>
                <w:sz w:val="15"/>
                <w:szCs w:val="15"/>
                <w:u w:val="none"/>
                <w:lang w:val="en-US" w:eastAsia="zh-CN" w:bidi="ar-SA"/>
              </w:rPr>
            </w:pPr>
          </w:p>
        </w:tc>
        <w:tc>
          <w:tcPr>
            <w:tcW w:w="2002"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65.66</w:t>
            </w:r>
          </w:p>
        </w:tc>
      </w:tr>
      <w:tr>
        <w:tblPrEx>
          <w:tblCellMar>
            <w:top w:w="0" w:type="dxa"/>
            <w:left w:w="108" w:type="dxa"/>
            <w:bottom w:w="0" w:type="dxa"/>
            <w:right w:w="108" w:type="dxa"/>
          </w:tblCellMar>
        </w:tblPrEx>
        <w:trPr>
          <w:trHeight w:val="227" w:hRule="exac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2089999</w:t>
            </w:r>
          </w:p>
        </w:tc>
        <w:tc>
          <w:tcPr>
            <w:tcW w:w="4642"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其他社会保障和就业支出</w:t>
            </w:r>
          </w:p>
        </w:tc>
        <w:tc>
          <w:tcPr>
            <w:tcW w:w="3281"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292.44</w:t>
            </w:r>
          </w:p>
        </w:tc>
        <w:tc>
          <w:tcPr>
            <w:tcW w:w="2044"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kern w:val="2"/>
                <w:sz w:val="15"/>
                <w:szCs w:val="15"/>
                <w:u w:val="none"/>
                <w:lang w:val="en-US" w:eastAsia="zh-CN" w:bidi="ar-SA"/>
              </w:rPr>
            </w:pPr>
          </w:p>
        </w:tc>
        <w:tc>
          <w:tcPr>
            <w:tcW w:w="2002"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292.44</w:t>
            </w:r>
          </w:p>
        </w:tc>
      </w:tr>
      <w:tr>
        <w:tblPrEx>
          <w:tblCellMar>
            <w:top w:w="0" w:type="dxa"/>
            <w:left w:w="108" w:type="dxa"/>
            <w:bottom w:w="0" w:type="dxa"/>
            <w:right w:w="108" w:type="dxa"/>
          </w:tblCellMar>
        </w:tblPrEx>
        <w:trPr>
          <w:trHeight w:val="227" w:hRule="exac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2101101</w:t>
            </w:r>
          </w:p>
        </w:tc>
        <w:tc>
          <w:tcPr>
            <w:tcW w:w="4642"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行政单位医疗</w:t>
            </w:r>
          </w:p>
        </w:tc>
        <w:tc>
          <w:tcPr>
            <w:tcW w:w="3281"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122.50</w:t>
            </w:r>
          </w:p>
        </w:tc>
        <w:tc>
          <w:tcPr>
            <w:tcW w:w="204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122.50</w:t>
            </w:r>
          </w:p>
        </w:tc>
        <w:tc>
          <w:tcPr>
            <w:tcW w:w="2002" w:type="dxa"/>
            <w:tcBorders>
              <w:top w:val="single" w:color="000000" w:sz="4" w:space="0"/>
              <w:left w:val="nil"/>
              <w:bottom w:val="single" w:color="000000" w:sz="4" w:space="0"/>
              <w:right w:val="single" w:color="000000" w:sz="4" w:space="0"/>
            </w:tcBorders>
            <w:vAlign w:val="center"/>
          </w:tcPr>
          <w:p>
            <w:pPr>
              <w:jc w:val="right"/>
              <w:rPr>
                <w:rFonts w:hint="eastAsia" w:ascii="宋体" w:hAnsi="宋体" w:eastAsia="宋体" w:cs="宋体"/>
                <w:i w:val="0"/>
                <w:color w:val="000000"/>
                <w:kern w:val="0"/>
                <w:sz w:val="15"/>
                <w:szCs w:val="15"/>
                <w:u w:val="none"/>
                <w:lang w:val="en-US" w:eastAsia="zh-CN" w:bidi="ar"/>
              </w:rPr>
            </w:pPr>
          </w:p>
        </w:tc>
      </w:tr>
      <w:tr>
        <w:tblPrEx>
          <w:tblCellMar>
            <w:top w:w="0" w:type="dxa"/>
            <w:left w:w="108" w:type="dxa"/>
            <w:bottom w:w="0" w:type="dxa"/>
            <w:right w:w="108" w:type="dxa"/>
          </w:tblCellMar>
        </w:tblPrEx>
        <w:trPr>
          <w:trHeight w:val="227" w:hRule="exac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2101102</w:t>
            </w:r>
          </w:p>
        </w:tc>
        <w:tc>
          <w:tcPr>
            <w:tcW w:w="4642"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事业单位医疗</w:t>
            </w:r>
          </w:p>
        </w:tc>
        <w:tc>
          <w:tcPr>
            <w:tcW w:w="3281"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423.81</w:t>
            </w:r>
          </w:p>
        </w:tc>
        <w:tc>
          <w:tcPr>
            <w:tcW w:w="204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423.81</w:t>
            </w:r>
          </w:p>
        </w:tc>
        <w:tc>
          <w:tcPr>
            <w:tcW w:w="2002" w:type="dxa"/>
            <w:tcBorders>
              <w:top w:val="single" w:color="000000" w:sz="4" w:space="0"/>
              <w:left w:val="nil"/>
              <w:bottom w:val="single" w:color="000000" w:sz="4" w:space="0"/>
              <w:right w:val="single" w:color="000000" w:sz="4" w:space="0"/>
            </w:tcBorders>
            <w:vAlign w:val="center"/>
          </w:tcPr>
          <w:p>
            <w:pPr>
              <w:jc w:val="right"/>
              <w:rPr>
                <w:rFonts w:hint="eastAsia" w:ascii="宋体" w:hAnsi="宋体" w:eastAsia="宋体" w:cs="宋体"/>
                <w:i w:val="0"/>
                <w:color w:val="000000"/>
                <w:kern w:val="0"/>
                <w:sz w:val="15"/>
                <w:szCs w:val="15"/>
                <w:u w:val="none"/>
                <w:lang w:val="en-US" w:eastAsia="zh-CN" w:bidi="ar"/>
              </w:rPr>
            </w:pPr>
          </w:p>
        </w:tc>
      </w:tr>
      <w:tr>
        <w:tblPrEx>
          <w:tblCellMar>
            <w:top w:w="0" w:type="dxa"/>
            <w:left w:w="108" w:type="dxa"/>
            <w:bottom w:w="0" w:type="dxa"/>
            <w:right w:w="108" w:type="dxa"/>
          </w:tblCellMar>
        </w:tblPrEx>
        <w:trPr>
          <w:trHeight w:val="227" w:hRule="exac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2119999</w:t>
            </w:r>
          </w:p>
        </w:tc>
        <w:tc>
          <w:tcPr>
            <w:tcW w:w="4642"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其他节能环保支出</w:t>
            </w:r>
          </w:p>
        </w:tc>
        <w:tc>
          <w:tcPr>
            <w:tcW w:w="3281"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4,504.15</w:t>
            </w:r>
          </w:p>
        </w:tc>
        <w:tc>
          <w:tcPr>
            <w:tcW w:w="2044"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kern w:val="2"/>
                <w:sz w:val="15"/>
                <w:szCs w:val="15"/>
                <w:u w:val="none"/>
                <w:lang w:val="en-US" w:eastAsia="zh-CN" w:bidi="ar-SA"/>
              </w:rPr>
            </w:pPr>
          </w:p>
        </w:tc>
        <w:tc>
          <w:tcPr>
            <w:tcW w:w="2002"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4,504.15</w:t>
            </w:r>
          </w:p>
        </w:tc>
      </w:tr>
      <w:tr>
        <w:tblPrEx>
          <w:tblCellMar>
            <w:top w:w="0" w:type="dxa"/>
            <w:left w:w="108" w:type="dxa"/>
            <w:bottom w:w="0" w:type="dxa"/>
            <w:right w:w="108" w:type="dxa"/>
          </w:tblCellMar>
        </w:tblPrEx>
        <w:trPr>
          <w:trHeight w:val="227" w:hRule="exac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2210201</w:t>
            </w:r>
          </w:p>
        </w:tc>
        <w:tc>
          <w:tcPr>
            <w:tcW w:w="4642"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住房公积金</w:t>
            </w:r>
          </w:p>
        </w:tc>
        <w:tc>
          <w:tcPr>
            <w:tcW w:w="3281"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1,490.81</w:t>
            </w:r>
          </w:p>
        </w:tc>
        <w:tc>
          <w:tcPr>
            <w:tcW w:w="204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1,490.81</w:t>
            </w:r>
          </w:p>
        </w:tc>
        <w:tc>
          <w:tcPr>
            <w:tcW w:w="2002" w:type="dxa"/>
            <w:tcBorders>
              <w:top w:val="single" w:color="000000" w:sz="4" w:space="0"/>
              <w:left w:val="nil"/>
              <w:bottom w:val="single" w:color="000000" w:sz="4" w:space="0"/>
              <w:right w:val="single" w:color="000000" w:sz="4" w:space="0"/>
            </w:tcBorders>
            <w:vAlign w:val="center"/>
          </w:tcPr>
          <w:p>
            <w:pPr>
              <w:jc w:val="right"/>
              <w:rPr>
                <w:rFonts w:hint="eastAsia" w:ascii="宋体" w:hAnsi="宋体" w:eastAsia="宋体" w:cs="宋体"/>
                <w:i w:val="0"/>
                <w:color w:val="000000"/>
                <w:kern w:val="0"/>
                <w:sz w:val="15"/>
                <w:szCs w:val="15"/>
                <w:u w:val="none"/>
                <w:lang w:val="en-US" w:eastAsia="zh-CN" w:bidi="ar"/>
              </w:rPr>
            </w:pPr>
          </w:p>
        </w:tc>
      </w:tr>
      <w:tr>
        <w:tblPrEx>
          <w:tblCellMar>
            <w:top w:w="0" w:type="dxa"/>
            <w:left w:w="108" w:type="dxa"/>
            <w:bottom w:w="0" w:type="dxa"/>
            <w:right w:w="108" w:type="dxa"/>
          </w:tblCellMar>
        </w:tblPrEx>
        <w:trPr>
          <w:trHeight w:val="227" w:hRule="exac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2210202</w:t>
            </w:r>
          </w:p>
        </w:tc>
        <w:tc>
          <w:tcPr>
            <w:tcW w:w="4642"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提租补贴</w:t>
            </w:r>
          </w:p>
        </w:tc>
        <w:tc>
          <w:tcPr>
            <w:tcW w:w="3281"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1.52</w:t>
            </w:r>
          </w:p>
        </w:tc>
        <w:tc>
          <w:tcPr>
            <w:tcW w:w="204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1.52</w:t>
            </w:r>
          </w:p>
        </w:tc>
        <w:tc>
          <w:tcPr>
            <w:tcW w:w="2002" w:type="dxa"/>
            <w:tcBorders>
              <w:top w:val="single" w:color="000000" w:sz="4" w:space="0"/>
              <w:left w:val="nil"/>
              <w:bottom w:val="single" w:color="000000" w:sz="4" w:space="0"/>
              <w:right w:val="single" w:color="000000" w:sz="4" w:space="0"/>
            </w:tcBorders>
            <w:vAlign w:val="center"/>
          </w:tcPr>
          <w:p>
            <w:pPr>
              <w:jc w:val="right"/>
              <w:rPr>
                <w:rFonts w:hint="eastAsia" w:ascii="宋体" w:hAnsi="宋体" w:eastAsia="宋体" w:cs="宋体"/>
                <w:i w:val="0"/>
                <w:color w:val="000000"/>
                <w:kern w:val="0"/>
                <w:sz w:val="15"/>
                <w:szCs w:val="15"/>
                <w:u w:val="none"/>
                <w:lang w:val="en-US" w:eastAsia="zh-CN" w:bidi="ar"/>
              </w:rPr>
            </w:pPr>
          </w:p>
        </w:tc>
      </w:tr>
      <w:tr>
        <w:tblPrEx>
          <w:tblCellMar>
            <w:top w:w="0" w:type="dxa"/>
            <w:left w:w="108" w:type="dxa"/>
            <w:bottom w:w="0" w:type="dxa"/>
            <w:right w:w="108" w:type="dxa"/>
          </w:tblCellMar>
        </w:tblPrEx>
        <w:trPr>
          <w:trHeight w:val="227" w:hRule="exac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2210203</w:t>
            </w:r>
          </w:p>
        </w:tc>
        <w:tc>
          <w:tcPr>
            <w:tcW w:w="4642" w:type="dxa"/>
            <w:gridSpan w:val="5"/>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购房补贴</w:t>
            </w:r>
          </w:p>
        </w:tc>
        <w:tc>
          <w:tcPr>
            <w:tcW w:w="3281"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406.36</w:t>
            </w:r>
          </w:p>
        </w:tc>
        <w:tc>
          <w:tcPr>
            <w:tcW w:w="2044"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406.36</w:t>
            </w:r>
          </w:p>
        </w:tc>
        <w:tc>
          <w:tcPr>
            <w:tcW w:w="2002" w:type="dxa"/>
            <w:tcBorders>
              <w:top w:val="single" w:color="000000" w:sz="4" w:space="0"/>
              <w:left w:val="nil"/>
              <w:bottom w:val="single" w:color="000000" w:sz="4" w:space="0"/>
              <w:right w:val="single" w:color="000000" w:sz="4" w:space="0"/>
            </w:tcBorders>
            <w:vAlign w:val="center"/>
          </w:tcPr>
          <w:p>
            <w:pPr>
              <w:jc w:val="right"/>
              <w:rPr>
                <w:rFonts w:hint="eastAsia" w:ascii="宋体" w:hAnsi="宋体" w:eastAsia="宋体" w:cs="宋体"/>
                <w:i w:val="0"/>
                <w:color w:val="000000"/>
                <w:kern w:val="0"/>
                <w:sz w:val="15"/>
                <w:szCs w:val="15"/>
                <w:u w:val="none"/>
                <w:lang w:val="en-US" w:eastAsia="zh-CN" w:bidi="ar"/>
              </w:rPr>
            </w:pPr>
          </w:p>
        </w:tc>
      </w:tr>
    </w:tbl>
    <w:p>
      <w:pPr>
        <w:widowControl/>
        <w:spacing w:line="560" w:lineRule="atLeast"/>
        <w:jc w:val="left"/>
        <w:rPr>
          <w:rFonts w:hint="default" w:ascii="仿宋_GB2312" w:hAnsi="宋体" w:eastAsia="仿宋_GB2312"/>
          <w:kern w:val="0"/>
          <w:sz w:val="15"/>
          <w:szCs w:val="15"/>
        </w:rPr>
      </w:pPr>
      <w:r>
        <w:rPr>
          <w:rFonts w:ascii="宋体" w:hAnsi="宋体" w:cs="宋体"/>
          <w:kern w:val="0"/>
          <w:sz w:val="15"/>
          <w:szCs w:val="15"/>
        </w:rPr>
        <w:t>注：1.本表反映部门本年度一般公共预算财政拨款支出情况。2.本套报表金额单位转换时可能存在尾数误差。3.如本表为空，则我部门本年度无此类资金收支余</w:t>
      </w:r>
    </w:p>
    <w:p>
      <w:pPr>
        <w:widowControl/>
        <w:spacing w:line="560" w:lineRule="atLeast"/>
        <w:jc w:val="left"/>
        <w:rPr>
          <w:rFonts w:hint="default" w:ascii="仿宋_GB2312" w:hAnsi="宋体" w:eastAsia="仿宋_GB2312"/>
          <w:kern w:val="0"/>
          <w:sz w:val="24"/>
        </w:rPr>
      </w:pPr>
      <w:r>
        <w:rPr>
          <w:rFonts w:ascii="仿宋_GB2312" w:hAnsi="宋体" w:eastAsia="仿宋_GB2312"/>
          <w:kern w:val="0"/>
          <w:sz w:val="24"/>
        </w:rPr>
        <w:t xml:space="preserve">附件：1-6                           </w:t>
      </w:r>
      <w:r>
        <w:rPr>
          <w:rFonts w:ascii="仿宋_GB2312" w:hAnsi="宋体" w:eastAsia="仿宋_GB2312"/>
          <w:b/>
          <w:kern w:val="0"/>
          <w:sz w:val="24"/>
        </w:rPr>
        <w:t>一般公共预算财政拨款基本支出决算表</w:t>
      </w:r>
    </w:p>
    <w:tbl>
      <w:tblPr>
        <w:tblStyle w:val="5"/>
        <w:tblW w:w="13644" w:type="dxa"/>
        <w:jc w:val="center"/>
        <w:tblLayout w:type="fixed"/>
        <w:tblCellMar>
          <w:top w:w="0" w:type="dxa"/>
          <w:left w:w="108" w:type="dxa"/>
          <w:bottom w:w="0" w:type="dxa"/>
          <w:right w:w="108" w:type="dxa"/>
        </w:tblCellMar>
      </w:tblPr>
      <w:tblGrid>
        <w:gridCol w:w="1235"/>
        <w:gridCol w:w="181"/>
        <w:gridCol w:w="493"/>
        <w:gridCol w:w="987"/>
        <w:gridCol w:w="986"/>
        <w:gridCol w:w="816"/>
        <w:gridCol w:w="708"/>
        <w:gridCol w:w="708"/>
        <w:gridCol w:w="1716"/>
        <w:gridCol w:w="890"/>
        <w:gridCol w:w="1192"/>
        <w:gridCol w:w="3066"/>
        <w:gridCol w:w="666"/>
      </w:tblGrid>
      <w:tr>
        <w:tblPrEx>
          <w:tblCellMar>
            <w:top w:w="0" w:type="dxa"/>
            <w:left w:w="108" w:type="dxa"/>
            <w:bottom w:w="0" w:type="dxa"/>
            <w:right w:w="108" w:type="dxa"/>
          </w:tblCellMar>
        </w:tblPrEx>
        <w:trPr>
          <w:trHeight w:val="249" w:hRule="exact"/>
          <w:jc w:val="center"/>
        </w:trPr>
        <w:tc>
          <w:tcPr>
            <w:tcW w:w="1235" w:type="dxa"/>
            <w:tcBorders>
              <w:top w:val="nil"/>
              <w:left w:val="nil"/>
              <w:bottom w:val="nil"/>
              <w:right w:val="nil"/>
            </w:tcBorders>
            <w:shd w:val="clear" w:color="auto" w:fill="FFFFFF"/>
            <w:vAlign w:val="center"/>
          </w:tcPr>
          <w:p>
            <w:pPr>
              <w:widowControl/>
              <w:shd w:val="clear" w:color="auto" w:fill="FFFFFF"/>
              <w:jc w:val="left"/>
              <w:rPr>
                <w:rFonts w:hint="default"/>
                <w:color w:val="000000"/>
                <w:kern w:val="0"/>
                <w:sz w:val="18"/>
                <w:shd w:val="clear" w:color="auto" w:fill="FFFFFF"/>
              </w:rPr>
            </w:pPr>
          </w:p>
        </w:tc>
        <w:tc>
          <w:tcPr>
            <w:tcW w:w="674" w:type="dxa"/>
            <w:gridSpan w:val="2"/>
            <w:tcBorders>
              <w:top w:val="nil"/>
              <w:left w:val="nil"/>
              <w:bottom w:val="nil"/>
              <w:right w:val="nil"/>
            </w:tcBorders>
            <w:shd w:val="clear" w:color="auto" w:fill="FFFFFF"/>
            <w:vAlign w:val="center"/>
          </w:tcPr>
          <w:p>
            <w:pPr>
              <w:widowControl/>
              <w:shd w:val="clear" w:color="auto" w:fill="FFFFFF"/>
              <w:jc w:val="center"/>
              <w:rPr>
                <w:rFonts w:hint="default" w:ascii="宋体"/>
                <w:color w:val="000000"/>
                <w:kern w:val="0"/>
                <w:sz w:val="18"/>
                <w:shd w:val="clear" w:color="auto" w:fill="FFFFFF"/>
              </w:rPr>
            </w:pPr>
          </w:p>
        </w:tc>
        <w:tc>
          <w:tcPr>
            <w:tcW w:w="987" w:type="dxa"/>
            <w:tcBorders>
              <w:top w:val="nil"/>
              <w:left w:val="nil"/>
              <w:bottom w:val="nil"/>
              <w:right w:val="nil"/>
            </w:tcBorders>
            <w:shd w:val="clear" w:color="auto" w:fill="FFFFFF"/>
            <w:vAlign w:val="center"/>
          </w:tcPr>
          <w:p>
            <w:pPr>
              <w:widowControl/>
              <w:shd w:val="clear" w:color="auto" w:fill="FFFFFF"/>
              <w:jc w:val="center"/>
              <w:rPr>
                <w:rFonts w:hint="default" w:ascii="宋体"/>
                <w:color w:val="000000"/>
                <w:kern w:val="0"/>
                <w:sz w:val="18"/>
                <w:shd w:val="clear" w:color="auto" w:fill="FFFFFF"/>
              </w:rPr>
            </w:pPr>
          </w:p>
        </w:tc>
        <w:tc>
          <w:tcPr>
            <w:tcW w:w="986" w:type="dxa"/>
            <w:tcBorders>
              <w:top w:val="nil"/>
              <w:left w:val="nil"/>
              <w:bottom w:val="nil"/>
              <w:right w:val="nil"/>
            </w:tcBorders>
            <w:shd w:val="clear" w:color="auto" w:fill="FFFFFF"/>
            <w:vAlign w:val="center"/>
          </w:tcPr>
          <w:p>
            <w:pPr>
              <w:widowControl/>
              <w:shd w:val="clear" w:color="auto" w:fill="FFFFFF"/>
              <w:jc w:val="left"/>
              <w:rPr>
                <w:rFonts w:hint="default" w:ascii="宋体"/>
                <w:color w:val="000000"/>
                <w:kern w:val="0"/>
                <w:sz w:val="18"/>
                <w:shd w:val="clear" w:color="auto" w:fill="FFFFFF"/>
              </w:rPr>
            </w:pPr>
          </w:p>
        </w:tc>
        <w:tc>
          <w:tcPr>
            <w:tcW w:w="816" w:type="dxa"/>
            <w:tcBorders>
              <w:top w:val="nil"/>
              <w:left w:val="nil"/>
              <w:bottom w:val="nil"/>
              <w:right w:val="nil"/>
            </w:tcBorders>
            <w:shd w:val="clear" w:color="auto" w:fill="FFFFFF"/>
            <w:vAlign w:val="center"/>
          </w:tcPr>
          <w:p>
            <w:pPr>
              <w:widowControl/>
              <w:shd w:val="clear" w:color="auto" w:fill="FFFFFF"/>
              <w:jc w:val="left"/>
              <w:rPr>
                <w:rFonts w:hint="default" w:ascii="宋体"/>
                <w:color w:val="000000"/>
                <w:kern w:val="0"/>
                <w:sz w:val="18"/>
                <w:shd w:val="clear" w:color="auto" w:fill="FFFFFF"/>
              </w:rPr>
            </w:pPr>
          </w:p>
        </w:tc>
        <w:tc>
          <w:tcPr>
            <w:tcW w:w="708"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18"/>
                <w:shd w:val="clear" w:color="auto" w:fill="FFFFFF"/>
              </w:rPr>
            </w:pPr>
          </w:p>
        </w:tc>
        <w:tc>
          <w:tcPr>
            <w:tcW w:w="708" w:type="dxa"/>
            <w:tcBorders>
              <w:top w:val="nil"/>
              <w:left w:val="nil"/>
              <w:bottom w:val="nil"/>
              <w:right w:val="nil"/>
            </w:tcBorders>
            <w:shd w:val="clear" w:color="auto" w:fill="auto"/>
            <w:vAlign w:val="bottom"/>
          </w:tcPr>
          <w:p>
            <w:pPr>
              <w:widowControl/>
              <w:jc w:val="left"/>
              <w:rPr>
                <w:rFonts w:hint="default" w:ascii="宋体"/>
                <w:color w:val="000000"/>
                <w:kern w:val="0"/>
                <w:sz w:val="18"/>
              </w:rPr>
            </w:pPr>
          </w:p>
        </w:tc>
        <w:tc>
          <w:tcPr>
            <w:tcW w:w="1716" w:type="dxa"/>
            <w:tcBorders>
              <w:top w:val="nil"/>
              <w:left w:val="nil"/>
              <w:bottom w:val="nil"/>
              <w:right w:val="nil"/>
            </w:tcBorders>
            <w:shd w:val="clear" w:color="auto" w:fill="auto"/>
            <w:vAlign w:val="bottom"/>
          </w:tcPr>
          <w:p>
            <w:pPr>
              <w:widowControl/>
              <w:jc w:val="left"/>
              <w:rPr>
                <w:rFonts w:hint="default" w:ascii="宋体"/>
                <w:color w:val="000000"/>
                <w:kern w:val="0"/>
                <w:sz w:val="18"/>
              </w:rPr>
            </w:pPr>
          </w:p>
        </w:tc>
        <w:tc>
          <w:tcPr>
            <w:tcW w:w="5814" w:type="dxa"/>
            <w:gridSpan w:val="4"/>
            <w:tcBorders>
              <w:top w:val="nil"/>
              <w:left w:val="nil"/>
              <w:bottom w:val="nil"/>
              <w:right w:val="nil"/>
            </w:tcBorders>
            <w:shd w:val="clear" w:color="auto" w:fill="FFFFFF"/>
            <w:vAlign w:val="center"/>
          </w:tcPr>
          <w:p>
            <w:pPr>
              <w:widowControl/>
              <w:shd w:val="clear" w:color="auto" w:fill="FFFFFF"/>
              <w:jc w:val="right"/>
              <w:rPr>
                <w:rFonts w:hint="default"/>
                <w:color w:val="000000"/>
                <w:kern w:val="0"/>
                <w:sz w:val="18"/>
                <w:shd w:val="clear" w:color="auto" w:fill="FFFFFF"/>
              </w:rPr>
            </w:pPr>
            <w:r>
              <w:rPr>
                <w:rFonts w:ascii="宋体" w:hAnsi="宋体"/>
                <w:color w:val="000000"/>
                <w:kern w:val="0"/>
                <w:shd w:val="clear" w:color="auto" w:fill="FFFFFF"/>
              </w:rPr>
              <w:t>公开06表</w:t>
            </w:r>
          </w:p>
        </w:tc>
      </w:tr>
      <w:tr>
        <w:tblPrEx>
          <w:tblCellMar>
            <w:top w:w="0" w:type="dxa"/>
            <w:left w:w="108" w:type="dxa"/>
            <w:bottom w:w="0" w:type="dxa"/>
            <w:right w:w="108" w:type="dxa"/>
          </w:tblCellMar>
        </w:tblPrEx>
        <w:trPr>
          <w:trHeight w:val="316" w:hRule="exact"/>
          <w:jc w:val="center"/>
        </w:trPr>
        <w:tc>
          <w:tcPr>
            <w:tcW w:w="1235" w:type="dxa"/>
            <w:tcBorders>
              <w:top w:val="nil"/>
              <w:left w:val="nil"/>
              <w:bottom w:val="single" w:color="000000" w:sz="4" w:space="0"/>
              <w:right w:val="nil"/>
            </w:tcBorders>
            <w:shd w:val="clear" w:color="auto" w:fill="FFFFFF"/>
            <w:vAlign w:val="center"/>
          </w:tcPr>
          <w:p>
            <w:pPr>
              <w:widowControl/>
              <w:shd w:val="clear" w:color="auto" w:fill="FFFFFF"/>
              <w:jc w:val="left"/>
              <w:rPr>
                <w:rFonts w:hint="default" w:ascii="宋体"/>
                <w:color w:val="000000"/>
                <w:kern w:val="0"/>
                <w:sz w:val="18"/>
                <w:shd w:val="clear" w:color="auto" w:fill="FFFFFF"/>
              </w:rPr>
            </w:pPr>
            <w:r>
              <w:rPr>
                <w:rFonts w:ascii="宋体" w:hAnsi="宋体"/>
                <w:color w:val="000000"/>
                <w:kern w:val="0"/>
                <w:sz w:val="18"/>
                <w:shd w:val="clear" w:color="auto" w:fill="FFFFFF"/>
              </w:rPr>
              <w:t>部门：</w:t>
            </w:r>
          </w:p>
        </w:tc>
        <w:tc>
          <w:tcPr>
            <w:tcW w:w="674" w:type="dxa"/>
            <w:gridSpan w:val="2"/>
            <w:tcBorders>
              <w:top w:val="nil"/>
              <w:left w:val="nil"/>
              <w:bottom w:val="single" w:color="000000" w:sz="4" w:space="0"/>
              <w:right w:val="nil"/>
            </w:tcBorders>
            <w:shd w:val="clear" w:color="auto" w:fill="FFFFFF"/>
            <w:vAlign w:val="center"/>
          </w:tcPr>
          <w:p>
            <w:pPr>
              <w:widowControl/>
              <w:shd w:val="clear" w:color="auto" w:fill="FFFFFF"/>
              <w:jc w:val="center"/>
              <w:rPr>
                <w:rFonts w:hint="default" w:ascii="宋体"/>
                <w:color w:val="000000"/>
                <w:kern w:val="0"/>
                <w:sz w:val="18"/>
                <w:shd w:val="clear" w:color="auto" w:fill="FFFFFF"/>
              </w:rPr>
            </w:pPr>
          </w:p>
        </w:tc>
        <w:tc>
          <w:tcPr>
            <w:tcW w:w="987" w:type="dxa"/>
            <w:tcBorders>
              <w:top w:val="nil"/>
              <w:left w:val="nil"/>
              <w:bottom w:val="single" w:color="000000" w:sz="4" w:space="0"/>
              <w:right w:val="nil"/>
            </w:tcBorders>
            <w:shd w:val="clear" w:color="auto" w:fill="FFFFFF"/>
            <w:vAlign w:val="center"/>
          </w:tcPr>
          <w:p>
            <w:pPr>
              <w:widowControl/>
              <w:shd w:val="clear" w:color="auto" w:fill="FFFFFF"/>
              <w:jc w:val="center"/>
              <w:rPr>
                <w:rFonts w:hint="default" w:ascii="宋体"/>
                <w:color w:val="000000"/>
                <w:kern w:val="0"/>
                <w:sz w:val="18"/>
                <w:shd w:val="clear" w:color="auto" w:fill="FFFFFF"/>
              </w:rPr>
            </w:pPr>
          </w:p>
        </w:tc>
        <w:tc>
          <w:tcPr>
            <w:tcW w:w="986" w:type="dxa"/>
            <w:tcBorders>
              <w:top w:val="nil"/>
              <w:left w:val="nil"/>
              <w:bottom w:val="single" w:color="000000" w:sz="4" w:space="0"/>
              <w:right w:val="nil"/>
            </w:tcBorders>
            <w:shd w:val="clear" w:color="auto" w:fill="FFFFFF"/>
            <w:vAlign w:val="center"/>
          </w:tcPr>
          <w:p>
            <w:pPr>
              <w:widowControl/>
              <w:shd w:val="clear" w:color="auto" w:fill="FFFFFF"/>
              <w:jc w:val="left"/>
              <w:rPr>
                <w:rFonts w:hint="default" w:ascii="宋体"/>
                <w:color w:val="000000"/>
                <w:kern w:val="0"/>
                <w:sz w:val="18"/>
                <w:shd w:val="clear" w:color="auto" w:fill="FFFFFF"/>
              </w:rPr>
            </w:pPr>
          </w:p>
        </w:tc>
        <w:tc>
          <w:tcPr>
            <w:tcW w:w="816" w:type="dxa"/>
            <w:tcBorders>
              <w:top w:val="nil"/>
              <w:left w:val="nil"/>
              <w:bottom w:val="single" w:color="000000" w:sz="4" w:space="0"/>
              <w:right w:val="nil"/>
            </w:tcBorders>
            <w:shd w:val="clear" w:color="auto" w:fill="FFFFFF"/>
            <w:vAlign w:val="center"/>
          </w:tcPr>
          <w:p>
            <w:pPr>
              <w:widowControl/>
              <w:shd w:val="clear" w:color="auto" w:fill="FFFFFF"/>
              <w:jc w:val="left"/>
              <w:rPr>
                <w:rFonts w:hint="default" w:ascii="宋体"/>
                <w:color w:val="000000"/>
                <w:kern w:val="0"/>
                <w:sz w:val="18"/>
                <w:shd w:val="clear" w:color="auto" w:fill="FFFFFF"/>
              </w:rPr>
            </w:pPr>
          </w:p>
        </w:tc>
        <w:tc>
          <w:tcPr>
            <w:tcW w:w="708" w:type="dxa"/>
            <w:tcBorders>
              <w:top w:val="nil"/>
              <w:left w:val="nil"/>
              <w:bottom w:val="single" w:color="000000" w:sz="4" w:space="0"/>
              <w:right w:val="nil"/>
            </w:tcBorders>
            <w:shd w:val="clear" w:color="auto" w:fill="FFFFFF"/>
            <w:vAlign w:val="center"/>
          </w:tcPr>
          <w:p>
            <w:pPr>
              <w:widowControl/>
              <w:shd w:val="clear" w:color="auto" w:fill="FFFFFF"/>
              <w:jc w:val="right"/>
              <w:rPr>
                <w:rFonts w:hint="default" w:ascii="宋体"/>
                <w:color w:val="000000"/>
                <w:kern w:val="0"/>
                <w:sz w:val="18"/>
                <w:shd w:val="clear" w:color="auto" w:fill="FFFFFF"/>
              </w:rPr>
            </w:pPr>
          </w:p>
        </w:tc>
        <w:tc>
          <w:tcPr>
            <w:tcW w:w="708" w:type="dxa"/>
            <w:tcBorders>
              <w:top w:val="nil"/>
              <w:left w:val="nil"/>
              <w:bottom w:val="single" w:color="000000" w:sz="4" w:space="0"/>
              <w:right w:val="nil"/>
            </w:tcBorders>
            <w:shd w:val="clear" w:color="auto" w:fill="auto"/>
            <w:vAlign w:val="bottom"/>
          </w:tcPr>
          <w:p>
            <w:pPr>
              <w:widowControl/>
              <w:jc w:val="left"/>
              <w:rPr>
                <w:rFonts w:hint="default" w:ascii="宋体"/>
                <w:color w:val="000000"/>
                <w:kern w:val="0"/>
                <w:sz w:val="18"/>
              </w:rPr>
            </w:pPr>
          </w:p>
        </w:tc>
        <w:tc>
          <w:tcPr>
            <w:tcW w:w="1716" w:type="dxa"/>
            <w:tcBorders>
              <w:top w:val="nil"/>
              <w:left w:val="nil"/>
              <w:bottom w:val="single" w:color="000000" w:sz="4" w:space="0"/>
              <w:right w:val="nil"/>
            </w:tcBorders>
            <w:shd w:val="clear" w:color="auto" w:fill="auto"/>
            <w:vAlign w:val="bottom"/>
          </w:tcPr>
          <w:p>
            <w:pPr>
              <w:widowControl/>
              <w:jc w:val="left"/>
              <w:rPr>
                <w:rFonts w:hint="default" w:ascii="宋体"/>
                <w:color w:val="000000"/>
                <w:kern w:val="0"/>
                <w:sz w:val="18"/>
              </w:rPr>
            </w:pPr>
          </w:p>
        </w:tc>
        <w:tc>
          <w:tcPr>
            <w:tcW w:w="5814" w:type="dxa"/>
            <w:gridSpan w:val="4"/>
            <w:tcBorders>
              <w:top w:val="nil"/>
              <w:left w:val="nil"/>
              <w:bottom w:val="single" w:color="000000" w:sz="4" w:space="0"/>
              <w:right w:val="nil"/>
            </w:tcBorders>
            <w:shd w:val="clear" w:color="auto" w:fill="FFFFFF"/>
            <w:vAlign w:val="center"/>
          </w:tcPr>
          <w:p>
            <w:pPr>
              <w:widowControl/>
              <w:shd w:val="clear" w:color="auto" w:fill="FFFFFF"/>
              <w:jc w:val="right"/>
              <w:rPr>
                <w:rFonts w:hint="default" w:ascii="宋体"/>
                <w:color w:val="000000"/>
                <w:kern w:val="0"/>
                <w:sz w:val="18"/>
                <w:shd w:val="clear" w:color="auto" w:fill="FFFFFF"/>
              </w:rPr>
            </w:pPr>
            <w:r>
              <w:rPr>
                <w:rFonts w:ascii="宋体" w:hAnsi="宋体"/>
                <w:color w:val="000000"/>
                <w:kern w:val="0"/>
                <w:sz w:val="18"/>
                <w:shd w:val="clear" w:color="auto" w:fill="FFFFFF"/>
              </w:rPr>
              <w:t>金额单位：万元</w:t>
            </w:r>
          </w:p>
        </w:tc>
      </w:tr>
      <w:tr>
        <w:tblPrEx>
          <w:tblCellMar>
            <w:top w:w="0" w:type="dxa"/>
            <w:left w:w="108" w:type="dxa"/>
            <w:bottom w:w="0" w:type="dxa"/>
            <w:right w:w="108" w:type="dxa"/>
          </w:tblCellMar>
        </w:tblPrEx>
        <w:trPr>
          <w:trHeight w:val="430" w:hRule="exact"/>
          <w:jc w:val="center"/>
        </w:trPr>
        <w:tc>
          <w:tcPr>
            <w:tcW w:w="141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00" w:lineRule="atLeast"/>
              <w:jc w:val="center"/>
              <w:rPr>
                <w:rFonts w:hint="default" w:eastAsia="Times New Roman"/>
                <w:kern w:val="0"/>
                <w:sz w:val="15"/>
                <w:szCs w:val="15"/>
              </w:rPr>
            </w:pPr>
            <w:r>
              <w:rPr>
                <w:rFonts w:ascii="宋体" w:hAnsi="宋体"/>
                <w:kern w:val="0"/>
                <w:sz w:val="15"/>
                <w:szCs w:val="15"/>
              </w:rPr>
              <w:t>经济分类科目编码</w:t>
            </w:r>
          </w:p>
        </w:tc>
        <w:tc>
          <w:tcPr>
            <w:tcW w:w="2466" w:type="dxa"/>
            <w:gridSpan w:val="3"/>
            <w:tcBorders>
              <w:top w:val="single" w:color="000000" w:sz="4" w:space="0"/>
              <w:left w:val="nil"/>
              <w:bottom w:val="single" w:color="000000" w:sz="4" w:space="0"/>
              <w:right w:val="single" w:color="000000" w:sz="4" w:space="0"/>
            </w:tcBorders>
            <w:vAlign w:val="center"/>
          </w:tcPr>
          <w:p>
            <w:pPr>
              <w:widowControl/>
              <w:jc w:val="center"/>
              <w:rPr>
                <w:rFonts w:hint="default" w:eastAsia="Times New Roman"/>
                <w:kern w:val="0"/>
                <w:sz w:val="15"/>
                <w:szCs w:val="15"/>
              </w:rPr>
            </w:pPr>
            <w:r>
              <w:rPr>
                <w:rFonts w:ascii="宋体" w:hAnsi="宋体"/>
                <w:kern w:val="0"/>
                <w:sz w:val="15"/>
                <w:szCs w:val="15"/>
              </w:rPr>
              <w:t>科目名称</w:t>
            </w:r>
          </w:p>
        </w:tc>
        <w:tc>
          <w:tcPr>
            <w:tcW w:w="816" w:type="dxa"/>
            <w:tcBorders>
              <w:top w:val="single" w:color="000000" w:sz="4" w:space="0"/>
              <w:left w:val="nil"/>
              <w:bottom w:val="single" w:color="000000" w:sz="4" w:space="0"/>
              <w:right w:val="single" w:color="000000" w:sz="4" w:space="0"/>
            </w:tcBorders>
            <w:vAlign w:val="center"/>
          </w:tcPr>
          <w:p>
            <w:pPr>
              <w:widowControl/>
              <w:jc w:val="center"/>
              <w:rPr>
                <w:rFonts w:hint="default"/>
                <w:kern w:val="0"/>
                <w:sz w:val="15"/>
                <w:szCs w:val="15"/>
              </w:rPr>
            </w:pPr>
            <w:r>
              <w:rPr>
                <w:rFonts w:ascii="宋体" w:hAnsi="宋体"/>
                <w:kern w:val="0"/>
                <w:sz w:val="15"/>
                <w:szCs w:val="15"/>
              </w:rPr>
              <w:t>决算数</w:t>
            </w:r>
          </w:p>
        </w:tc>
        <w:tc>
          <w:tcPr>
            <w:tcW w:w="1416" w:type="dxa"/>
            <w:gridSpan w:val="2"/>
            <w:tcBorders>
              <w:top w:val="single" w:color="000000" w:sz="4" w:space="0"/>
              <w:left w:val="nil"/>
              <w:bottom w:val="single" w:color="000000" w:sz="4" w:space="0"/>
              <w:right w:val="single" w:color="000000" w:sz="4" w:space="0"/>
            </w:tcBorders>
            <w:vAlign w:val="center"/>
          </w:tcPr>
          <w:p>
            <w:pPr>
              <w:widowControl/>
              <w:jc w:val="center"/>
              <w:rPr>
                <w:rFonts w:hint="default" w:eastAsia="Times New Roman"/>
                <w:kern w:val="0"/>
                <w:sz w:val="15"/>
                <w:szCs w:val="15"/>
              </w:rPr>
            </w:pPr>
            <w:r>
              <w:rPr>
                <w:rFonts w:ascii="宋体" w:hAnsi="宋体"/>
                <w:kern w:val="0"/>
                <w:sz w:val="15"/>
                <w:szCs w:val="15"/>
              </w:rPr>
              <w:t>经济分类科目编码</w:t>
            </w:r>
          </w:p>
        </w:tc>
        <w:tc>
          <w:tcPr>
            <w:tcW w:w="1716" w:type="dxa"/>
            <w:tcBorders>
              <w:top w:val="single" w:color="000000" w:sz="4" w:space="0"/>
              <w:left w:val="nil"/>
              <w:bottom w:val="single" w:color="000000" w:sz="4" w:space="0"/>
              <w:right w:val="single" w:color="000000" w:sz="4" w:space="0"/>
            </w:tcBorders>
            <w:vAlign w:val="center"/>
          </w:tcPr>
          <w:p>
            <w:pPr>
              <w:widowControl/>
              <w:jc w:val="center"/>
              <w:rPr>
                <w:rFonts w:hint="default" w:eastAsia="Times New Roman"/>
                <w:kern w:val="0"/>
                <w:sz w:val="15"/>
                <w:szCs w:val="15"/>
              </w:rPr>
            </w:pPr>
            <w:r>
              <w:rPr>
                <w:rFonts w:ascii="宋体" w:hAnsi="宋体"/>
                <w:kern w:val="0"/>
                <w:sz w:val="15"/>
                <w:szCs w:val="15"/>
              </w:rPr>
              <w:t>科目名称</w:t>
            </w:r>
          </w:p>
        </w:tc>
        <w:tc>
          <w:tcPr>
            <w:tcW w:w="890" w:type="dxa"/>
            <w:tcBorders>
              <w:top w:val="single" w:color="000000" w:sz="4" w:space="0"/>
              <w:left w:val="nil"/>
              <w:bottom w:val="single" w:color="000000" w:sz="4" w:space="0"/>
              <w:right w:val="single" w:color="000000" w:sz="4" w:space="0"/>
            </w:tcBorders>
            <w:vAlign w:val="center"/>
          </w:tcPr>
          <w:p>
            <w:pPr>
              <w:widowControl/>
              <w:jc w:val="center"/>
              <w:rPr>
                <w:rFonts w:hint="default" w:eastAsia="Times New Roman"/>
                <w:kern w:val="0"/>
                <w:sz w:val="15"/>
                <w:szCs w:val="15"/>
              </w:rPr>
            </w:pPr>
            <w:r>
              <w:rPr>
                <w:rFonts w:ascii="宋体" w:hAnsi="宋体"/>
                <w:kern w:val="0"/>
                <w:sz w:val="15"/>
                <w:szCs w:val="15"/>
              </w:rPr>
              <w:t>决算数</w:t>
            </w:r>
          </w:p>
        </w:tc>
        <w:tc>
          <w:tcPr>
            <w:tcW w:w="1192" w:type="dxa"/>
            <w:tcBorders>
              <w:top w:val="single" w:color="000000" w:sz="4" w:space="0"/>
              <w:left w:val="nil"/>
              <w:bottom w:val="single" w:color="000000" w:sz="4" w:space="0"/>
              <w:right w:val="single" w:color="000000" w:sz="4" w:space="0"/>
            </w:tcBorders>
            <w:vAlign w:val="center"/>
          </w:tcPr>
          <w:p>
            <w:pPr>
              <w:widowControl/>
              <w:jc w:val="center"/>
              <w:rPr>
                <w:rFonts w:hint="default" w:eastAsia="Times New Roman"/>
                <w:kern w:val="0"/>
                <w:sz w:val="15"/>
                <w:szCs w:val="15"/>
              </w:rPr>
            </w:pPr>
            <w:r>
              <w:rPr>
                <w:rFonts w:ascii="宋体" w:hAnsi="宋体"/>
                <w:kern w:val="0"/>
                <w:sz w:val="15"/>
                <w:szCs w:val="15"/>
              </w:rPr>
              <w:t>经济分类科目编码</w:t>
            </w:r>
          </w:p>
        </w:tc>
        <w:tc>
          <w:tcPr>
            <w:tcW w:w="3066" w:type="dxa"/>
            <w:tcBorders>
              <w:top w:val="single" w:color="000000" w:sz="4" w:space="0"/>
              <w:left w:val="nil"/>
              <w:bottom w:val="single" w:color="000000" w:sz="4" w:space="0"/>
              <w:right w:val="single" w:color="000000" w:sz="4" w:space="0"/>
            </w:tcBorders>
            <w:vAlign w:val="center"/>
          </w:tcPr>
          <w:p>
            <w:pPr>
              <w:widowControl/>
              <w:jc w:val="center"/>
              <w:rPr>
                <w:rFonts w:hint="default" w:eastAsia="Times New Roman"/>
                <w:kern w:val="0"/>
                <w:sz w:val="15"/>
                <w:szCs w:val="15"/>
              </w:rPr>
            </w:pPr>
            <w:r>
              <w:rPr>
                <w:rFonts w:ascii="宋体" w:hAnsi="宋体"/>
                <w:kern w:val="0"/>
                <w:sz w:val="15"/>
                <w:szCs w:val="15"/>
              </w:rPr>
              <w:t>科目名称</w:t>
            </w:r>
          </w:p>
        </w:tc>
        <w:tc>
          <w:tcPr>
            <w:tcW w:w="666" w:type="dxa"/>
            <w:tcBorders>
              <w:top w:val="single" w:color="000000" w:sz="4" w:space="0"/>
              <w:left w:val="nil"/>
              <w:bottom w:val="single" w:color="000000" w:sz="4" w:space="0"/>
              <w:right w:val="single" w:color="000000" w:sz="4" w:space="0"/>
            </w:tcBorders>
            <w:vAlign w:val="center"/>
          </w:tcPr>
          <w:p>
            <w:pPr>
              <w:widowControl/>
              <w:jc w:val="center"/>
              <w:rPr>
                <w:rFonts w:hint="default" w:eastAsia="Times New Roman"/>
                <w:kern w:val="0"/>
                <w:sz w:val="15"/>
                <w:szCs w:val="15"/>
              </w:rPr>
            </w:pPr>
            <w:r>
              <w:rPr>
                <w:rFonts w:ascii="宋体" w:hAnsi="宋体"/>
                <w:kern w:val="0"/>
                <w:sz w:val="15"/>
                <w:szCs w:val="15"/>
              </w:rPr>
              <w:t>决算数</w:t>
            </w:r>
          </w:p>
        </w:tc>
      </w:tr>
      <w:tr>
        <w:tblPrEx>
          <w:tblCellMar>
            <w:top w:w="0" w:type="dxa"/>
            <w:left w:w="108" w:type="dxa"/>
            <w:bottom w:w="0" w:type="dxa"/>
            <w:right w:w="108" w:type="dxa"/>
          </w:tblCellMar>
        </w:tblPrEx>
        <w:trPr>
          <w:trHeight w:val="275" w:hRule="exact"/>
          <w:jc w:val="center"/>
        </w:trPr>
        <w:tc>
          <w:tcPr>
            <w:tcW w:w="1416"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301</w:t>
            </w:r>
          </w:p>
        </w:tc>
        <w:tc>
          <w:tcPr>
            <w:tcW w:w="2466" w:type="dxa"/>
            <w:gridSpan w:val="3"/>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工资福利支出</w:t>
            </w:r>
          </w:p>
        </w:tc>
        <w:tc>
          <w:tcPr>
            <w:tcW w:w="81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11018.11</w:t>
            </w: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302</w:t>
            </w: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商品和服务支出</w:t>
            </w:r>
          </w:p>
        </w:tc>
        <w:tc>
          <w:tcPr>
            <w:tcW w:w="89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3,144.06</w:t>
            </w: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307</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债务利息及费用支出</w:t>
            </w:r>
          </w:p>
        </w:tc>
        <w:tc>
          <w:tcPr>
            <w:tcW w:w="66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75" w:hRule="exact"/>
          <w:jc w:val="center"/>
        </w:trPr>
        <w:tc>
          <w:tcPr>
            <w:tcW w:w="1416"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30101</w:t>
            </w:r>
          </w:p>
        </w:tc>
        <w:tc>
          <w:tcPr>
            <w:tcW w:w="2466" w:type="dxa"/>
            <w:gridSpan w:val="3"/>
            <w:tcBorders>
              <w:top w:val="single" w:color="000000" w:sz="4" w:space="0"/>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基本工资</w:t>
            </w:r>
          </w:p>
        </w:tc>
        <w:tc>
          <w:tcPr>
            <w:tcW w:w="81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3,672.97</w:t>
            </w: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30201</w:t>
            </w: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办公费</w:t>
            </w:r>
          </w:p>
        </w:tc>
        <w:tc>
          <w:tcPr>
            <w:tcW w:w="89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121.86</w:t>
            </w: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30701</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国内债务付息</w:t>
            </w:r>
          </w:p>
        </w:tc>
        <w:tc>
          <w:tcPr>
            <w:tcW w:w="66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30" w:hRule="exact"/>
          <w:jc w:val="center"/>
        </w:trPr>
        <w:tc>
          <w:tcPr>
            <w:tcW w:w="1416" w:type="dxa"/>
            <w:gridSpan w:val="2"/>
            <w:tcBorders>
              <w:top w:val="nil"/>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30102</w:t>
            </w:r>
          </w:p>
        </w:tc>
        <w:tc>
          <w:tcPr>
            <w:tcW w:w="2466" w:type="dxa"/>
            <w:gridSpan w:val="3"/>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津贴补贴</w:t>
            </w:r>
          </w:p>
        </w:tc>
        <w:tc>
          <w:tcPr>
            <w:tcW w:w="81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3,120.96</w:t>
            </w: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30202</w:t>
            </w: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印刷费</w:t>
            </w:r>
          </w:p>
        </w:tc>
        <w:tc>
          <w:tcPr>
            <w:tcW w:w="89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24.53</w:t>
            </w: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30702</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国外债务付息</w:t>
            </w:r>
          </w:p>
        </w:tc>
        <w:tc>
          <w:tcPr>
            <w:tcW w:w="66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10" w:hRule="exact"/>
          <w:jc w:val="center"/>
        </w:trPr>
        <w:tc>
          <w:tcPr>
            <w:tcW w:w="1416" w:type="dxa"/>
            <w:gridSpan w:val="2"/>
            <w:tcBorders>
              <w:top w:val="nil"/>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30103</w:t>
            </w:r>
          </w:p>
        </w:tc>
        <w:tc>
          <w:tcPr>
            <w:tcW w:w="2466" w:type="dxa"/>
            <w:gridSpan w:val="3"/>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奖金</w:t>
            </w:r>
          </w:p>
        </w:tc>
        <w:tc>
          <w:tcPr>
            <w:tcW w:w="81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309.42</w:t>
            </w: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30203</w:t>
            </w: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咨询费</w:t>
            </w:r>
          </w:p>
        </w:tc>
        <w:tc>
          <w:tcPr>
            <w:tcW w:w="890"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sz w:val="15"/>
                <w:szCs w:val="15"/>
                <w:u w:val="none"/>
              </w:rPr>
            </w:pP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310</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资本性支出</w:t>
            </w:r>
          </w:p>
        </w:tc>
        <w:tc>
          <w:tcPr>
            <w:tcW w:w="66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60.54</w:t>
            </w:r>
          </w:p>
        </w:tc>
      </w:tr>
      <w:tr>
        <w:tblPrEx>
          <w:tblCellMar>
            <w:top w:w="0" w:type="dxa"/>
            <w:left w:w="108" w:type="dxa"/>
            <w:bottom w:w="0" w:type="dxa"/>
            <w:right w:w="108" w:type="dxa"/>
          </w:tblCellMar>
        </w:tblPrEx>
        <w:trPr>
          <w:trHeight w:val="210" w:hRule="exact"/>
          <w:jc w:val="center"/>
        </w:trPr>
        <w:tc>
          <w:tcPr>
            <w:tcW w:w="1416" w:type="dxa"/>
            <w:gridSpan w:val="2"/>
            <w:tcBorders>
              <w:top w:val="nil"/>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30106</w:t>
            </w:r>
          </w:p>
        </w:tc>
        <w:tc>
          <w:tcPr>
            <w:tcW w:w="2466" w:type="dxa"/>
            <w:gridSpan w:val="3"/>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伙食补助费</w:t>
            </w:r>
          </w:p>
        </w:tc>
        <w:tc>
          <w:tcPr>
            <w:tcW w:w="816" w:type="dxa"/>
            <w:tcBorders>
              <w:top w:val="single" w:color="000000" w:sz="4" w:space="0"/>
              <w:left w:val="nil"/>
              <w:bottom w:val="single" w:color="000000" w:sz="4" w:space="0"/>
              <w:right w:val="single" w:color="000000" w:sz="4" w:space="0"/>
            </w:tcBorders>
            <w:vAlign w:val="center"/>
          </w:tcPr>
          <w:p>
            <w:pPr>
              <w:jc w:val="right"/>
              <w:rPr>
                <w:rFonts w:hint="default" w:ascii="宋体"/>
                <w:color w:val="000000"/>
                <w:kern w:val="0"/>
                <w:sz w:val="15"/>
                <w:szCs w:val="15"/>
              </w:rPr>
            </w:pP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30204</w:t>
            </w: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手续费</w:t>
            </w:r>
          </w:p>
        </w:tc>
        <w:tc>
          <w:tcPr>
            <w:tcW w:w="89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sz w:val="15"/>
                <w:szCs w:val="15"/>
                <w:u w:val="none"/>
              </w:rPr>
            </w:pPr>
            <w:r>
              <w:rPr>
                <w:rFonts w:hint="eastAsia" w:ascii="宋体" w:hAnsi="宋体" w:eastAsia="宋体" w:cs="宋体"/>
                <w:i w:val="0"/>
                <w:color w:val="000000"/>
                <w:kern w:val="0"/>
                <w:sz w:val="15"/>
                <w:szCs w:val="15"/>
                <w:u w:val="none"/>
                <w:lang w:val="en-US" w:eastAsia="zh-CN" w:bidi="ar"/>
              </w:rPr>
              <w:t>0.01</w:t>
            </w: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31001</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房屋建筑物购建</w:t>
            </w:r>
          </w:p>
        </w:tc>
        <w:tc>
          <w:tcPr>
            <w:tcW w:w="666"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sz w:val="15"/>
                <w:szCs w:val="15"/>
                <w:u w:val="none"/>
              </w:rPr>
            </w:pPr>
          </w:p>
        </w:tc>
      </w:tr>
      <w:tr>
        <w:tblPrEx>
          <w:tblCellMar>
            <w:top w:w="0" w:type="dxa"/>
            <w:left w:w="108" w:type="dxa"/>
            <w:bottom w:w="0" w:type="dxa"/>
            <w:right w:w="108" w:type="dxa"/>
          </w:tblCellMar>
        </w:tblPrEx>
        <w:trPr>
          <w:trHeight w:val="210" w:hRule="exact"/>
          <w:jc w:val="center"/>
        </w:trPr>
        <w:tc>
          <w:tcPr>
            <w:tcW w:w="1416" w:type="dxa"/>
            <w:gridSpan w:val="2"/>
            <w:tcBorders>
              <w:top w:val="nil"/>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30107</w:t>
            </w:r>
          </w:p>
        </w:tc>
        <w:tc>
          <w:tcPr>
            <w:tcW w:w="2466" w:type="dxa"/>
            <w:gridSpan w:val="3"/>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绩效工资</w:t>
            </w:r>
          </w:p>
        </w:tc>
        <w:tc>
          <w:tcPr>
            <w:tcW w:w="81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668.98</w:t>
            </w: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30205</w:t>
            </w: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水费</w:t>
            </w:r>
          </w:p>
        </w:tc>
        <w:tc>
          <w:tcPr>
            <w:tcW w:w="89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46.10</w:t>
            </w: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31002</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办公设备购置</w:t>
            </w:r>
          </w:p>
        </w:tc>
        <w:tc>
          <w:tcPr>
            <w:tcW w:w="66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54.39</w:t>
            </w:r>
          </w:p>
        </w:tc>
      </w:tr>
      <w:tr>
        <w:tblPrEx>
          <w:tblCellMar>
            <w:top w:w="0" w:type="dxa"/>
            <w:left w:w="108" w:type="dxa"/>
            <w:bottom w:w="0" w:type="dxa"/>
            <w:right w:w="108" w:type="dxa"/>
          </w:tblCellMar>
        </w:tblPrEx>
        <w:trPr>
          <w:trHeight w:val="210" w:hRule="exact"/>
          <w:jc w:val="center"/>
        </w:trPr>
        <w:tc>
          <w:tcPr>
            <w:tcW w:w="1416" w:type="dxa"/>
            <w:gridSpan w:val="2"/>
            <w:tcBorders>
              <w:top w:val="nil"/>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30108</w:t>
            </w:r>
          </w:p>
        </w:tc>
        <w:tc>
          <w:tcPr>
            <w:tcW w:w="2466" w:type="dxa"/>
            <w:gridSpan w:val="3"/>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机关事业单位基本养老保险缴费</w:t>
            </w:r>
          </w:p>
        </w:tc>
        <w:tc>
          <w:tcPr>
            <w:tcW w:w="81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1,044.32</w:t>
            </w: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30206</w:t>
            </w: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电费</w:t>
            </w:r>
          </w:p>
        </w:tc>
        <w:tc>
          <w:tcPr>
            <w:tcW w:w="89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330.80</w:t>
            </w: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31003</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专用设备购置</w:t>
            </w:r>
          </w:p>
        </w:tc>
        <w:tc>
          <w:tcPr>
            <w:tcW w:w="666" w:type="dxa"/>
            <w:tcBorders>
              <w:top w:val="single" w:color="000000" w:sz="4" w:space="0"/>
              <w:left w:val="nil"/>
              <w:bottom w:val="single" w:color="000000" w:sz="4" w:space="0"/>
              <w:right w:val="single" w:color="000000" w:sz="4" w:space="0"/>
            </w:tcBorders>
            <w:vAlign w:val="center"/>
          </w:tcPr>
          <w:p>
            <w:pPr>
              <w:jc w:val="right"/>
              <w:rPr>
                <w:rFonts w:hint="default" w:ascii="宋体"/>
                <w:color w:val="000000"/>
                <w:kern w:val="0"/>
                <w:sz w:val="15"/>
                <w:szCs w:val="15"/>
              </w:rPr>
            </w:pPr>
          </w:p>
        </w:tc>
      </w:tr>
      <w:tr>
        <w:tblPrEx>
          <w:tblCellMar>
            <w:top w:w="0" w:type="dxa"/>
            <w:left w:w="108" w:type="dxa"/>
            <w:bottom w:w="0" w:type="dxa"/>
            <w:right w:w="108" w:type="dxa"/>
          </w:tblCellMar>
        </w:tblPrEx>
        <w:trPr>
          <w:trHeight w:val="210" w:hRule="exact"/>
          <w:jc w:val="center"/>
        </w:trPr>
        <w:tc>
          <w:tcPr>
            <w:tcW w:w="1416" w:type="dxa"/>
            <w:gridSpan w:val="2"/>
            <w:tcBorders>
              <w:top w:val="nil"/>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30109</w:t>
            </w:r>
          </w:p>
        </w:tc>
        <w:tc>
          <w:tcPr>
            <w:tcW w:w="2466" w:type="dxa"/>
            <w:gridSpan w:val="3"/>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职业年金缴费</w:t>
            </w:r>
          </w:p>
        </w:tc>
        <w:tc>
          <w:tcPr>
            <w:tcW w:w="81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94.54</w:t>
            </w: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30207</w:t>
            </w: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邮电费</w:t>
            </w:r>
          </w:p>
        </w:tc>
        <w:tc>
          <w:tcPr>
            <w:tcW w:w="89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600.65</w:t>
            </w: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31005</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基础设施建设</w:t>
            </w:r>
          </w:p>
        </w:tc>
        <w:tc>
          <w:tcPr>
            <w:tcW w:w="666" w:type="dxa"/>
            <w:tcBorders>
              <w:top w:val="single" w:color="000000" w:sz="4" w:space="0"/>
              <w:left w:val="nil"/>
              <w:bottom w:val="single" w:color="000000" w:sz="4" w:space="0"/>
              <w:right w:val="single" w:color="000000" w:sz="4" w:space="0"/>
            </w:tcBorders>
            <w:vAlign w:val="center"/>
          </w:tcPr>
          <w:p>
            <w:pPr>
              <w:jc w:val="right"/>
              <w:rPr>
                <w:rFonts w:hint="default" w:ascii="宋体"/>
                <w:color w:val="000000"/>
                <w:kern w:val="0"/>
                <w:sz w:val="15"/>
                <w:szCs w:val="15"/>
              </w:rPr>
            </w:pPr>
          </w:p>
        </w:tc>
      </w:tr>
      <w:tr>
        <w:tblPrEx>
          <w:tblCellMar>
            <w:top w:w="0" w:type="dxa"/>
            <w:left w:w="108" w:type="dxa"/>
            <w:bottom w:w="0" w:type="dxa"/>
            <w:right w:w="108" w:type="dxa"/>
          </w:tblCellMar>
        </w:tblPrEx>
        <w:trPr>
          <w:trHeight w:val="210" w:hRule="exact"/>
          <w:jc w:val="center"/>
        </w:trPr>
        <w:tc>
          <w:tcPr>
            <w:tcW w:w="1416" w:type="dxa"/>
            <w:gridSpan w:val="2"/>
            <w:tcBorders>
              <w:top w:val="nil"/>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30110</w:t>
            </w:r>
          </w:p>
        </w:tc>
        <w:tc>
          <w:tcPr>
            <w:tcW w:w="2466" w:type="dxa"/>
            <w:gridSpan w:val="3"/>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职工基本医疗保险缴费</w:t>
            </w:r>
          </w:p>
        </w:tc>
        <w:tc>
          <w:tcPr>
            <w:tcW w:w="81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577.37</w:t>
            </w: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30208</w:t>
            </w: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取暖费</w:t>
            </w:r>
          </w:p>
        </w:tc>
        <w:tc>
          <w:tcPr>
            <w:tcW w:w="89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sz w:val="15"/>
                <w:szCs w:val="15"/>
                <w:u w:val="none"/>
              </w:rPr>
            </w:pPr>
            <w:r>
              <w:rPr>
                <w:rFonts w:hint="eastAsia" w:ascii="宋体" w:hAnsi="宋体" w:eastAsia="宋体" w:cs="宋体"/>
                <w:i w:val="0"/>
                <w:color w:val="000000"/>
                <w:kern w:val="0"/>
                <w:sz w:val="15"/>
                <w:szCs w:val="15"/>
                <w:u w:val="none"/>
                <w:lang w:val="en-US" w:eastAsia="zh-CN" w:bidi="ar"/>
              </w:rPr>
              <w:t>119.93</w:t>
            </w: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31006</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大型修缮</w:t>
            </w:r>
          </w:p>
        </w:tc>
        <w:tc>
          <w:tcPr>
            <w:tcW w:w="666" w:type="dxa"/>
            <w:tcBorders>
              <w:top w:val="single" w:color="000000" w:sz="4" w:space="0"/>
              <w:left w:val="nil"/>
              <w:bottom w:val="single" w:color="000000" w:sz="4" w:space="0"/>
              <w:right w:val="single" w:color="000000" w:sz="4" w:space="0"/>
            </w:tcBorders>
            <w:vAlign w:val="center"/>
          </w:tcPr>
          <w:p>
            <w:pPr>
              <w:jc w:val="right"/>
              <w:rPr>
                <w:rFonts w:hint="default" w:ascii="宋体"/>
                <w:color w:val="000000"/>
                <w:kern w:val="0"/>
                <w:sz w:val="15"/>
                <w:szCs w:val="15"/>
              </w:rPr>
            </w:pPr>
          </w:p>
        </w:tc>
      </w:tr>
      <w:tr>
        <w:tblPrEx>
          <w:tblCellMar>
            <w:top w:w="0" w:type="dxa"/>
            <w:left w:w="108" w:type="dxa"/>
            <w:bottom w:w="0" w:type="dxa"/>
            <w:right w:w="108" w:type="dxa"/>
          </w:tblCellMar>
        </w:tblPrEx>
        <w:trPr>
          <w:trHeight w:val="210" w:hRule="exact"/>
          <w:jc w:val="center"/>
        </w:trPr>
        <w:tc>
          <w:tcPr>
            <w:tcW w:w="1416" w:type="dxa"/>
            <w:gridSpan w:val="2"/>
            <w:tcBorders>
              <w:top w:val="nil"/>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30111</w:t>
            </w:r>
          </w:p>
        </w:tc>
        <w:tc>
          <w:tcPr>
            <w:tcW w:w="2466" w:type="dxa"/>
            <w:gridSpan w:val="3"/>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公务员医疗补助缴费</w:t>
            </w:r>
          </w:p>
        </w:tc>
        <w:tc>
          <w:tcPr>
            <w:tcW w:w="816" w:type="dxa"/>
            <w:tcBorders>
              <w:top w:val="single" w:color="000000" w:sz="4" w:space="0"/>
              <w:left w:val="nil"/>
              <w:bottom w:val="single" w:color="000000" w:sz="4" w:space="0"/>
              <w:right w:val="single" w:color="000000" w:sz="4" w:space="0"/>
            </w:tcBorders>
            <w:vAlign w:val="center"/>
          </w:tcPr>
          <w:p>
            <w:pPr>
              <w:jc w:val="right"/>
              <w:rPr>
                <w:rFonts w:hint="default" w:ascii="宋体"/>
                <w:color w:val="000000"/>
                <w:kern w:val="0"/>
                <w:sz w:val="15"/>
                <w:szCs w:val="15"/>
              </w:rPr>
            </w:pP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30209</w:t>
            </w: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物业管理费</w:t>
            </w:r>
          </w:p>
        </w:tc>
        <w:tc>
          <w:tcPr>
            <w:tcW w:w="89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sz w:val="15"/>
                <w:szCs w:val="15"/>
                <w:u w:val="none"/>
              </w:rPr>
            </w:pPr>
            <w:r>
              <w:rPr>
                <w:rFonts w:hint="eastAsia" w:ascii="宋体" w:hAnsi="宋体" w:eastAsia="宋体" w:cs="宋体"/>
                <w:i w:val="0"/>
                <w:color w:val="000000"/>
                <w:kern w:val="0"/>
                <w:sz w:val="15"/>
                <w:szCs w:val="15"/>
                <w:u w:val="none"/>
                <w:lang w:val="en-US" w:eastAsia="zh-CN" w:bidi="ar"/>
              </w:rPr>
              <w:t>29.41</w:t>
            </w: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31007</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信息网络及软件购置更新</w:t>
            </w:r>
          </w:p>
        </w:tc>
        <w:tc>
          <w:tcPr>
            <w:tcW w:w="66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color w:val="000000"/>
                <w:kern w:val="0"/>
                <w:sz w:val="15"/>
                <w:szCs w:val="15"/>
              </w:rPr>
            </w:pPr>
            <w:r>
              <w:rPr>
                <w:rFonts w:hint="eastAsia" w:ascii="宋体" w:hAnsi="宋体" w:eastAsia="宋体" w:cs="宋体"/>
                <w:i w:val="0"/>
                <w:color w:val="000000"/>
                <w:kern w:val="0"/>
                <w:sz w:val="15"/>
                <w:szCs w:val="15"/>
                <w:u w:val="none"/>
                <w:lang w:val="en-US" w:eastAsia="zh-CN" w:bidi="ar"/>
              </w:rPr>
              <w:t>6.00</w:t>
            </w:r>
          </w:p>
        </w:tc>
      </w:tr>
      <w:tr>
        <w:tblPrEx>
          <w:tblCellMar>
            <w:top w:w="0" w:type="dxa"/>
            <w:left w:w="108" w:type="dxa"/>
            <w:bottom w:w="0" w:type="dxa"/>
            <w:right w:w="108" w:type="dxa"/>
          </w:tblCellMar>
        </w:tblPrEx>
        <w:trPr>
          <w:trHeight w:val="210" w:hRule="exact"/>
          <w:jc w:val="center"/>
        </w:trPr>
        <w:tc>
          <w:tcPr>
            <w:tcW w:w="1416" w:type="dxa"/>
            <w:gridSpan w:val="2"/>
            <w:tcBorders>
              <w:top w:val="nil"/>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30112</w:t>
            </w:r>
          </w:p>
        </w:tc>
        <w:tc>
          <w:tcPr>
            <w:tcW w:w="2466" w:type="dxa"/>
            <w:gridSpan w:val="3"/>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其他社会保障缴费</w:t>
            </w:r>
          </w:p>
        </w:tc>
        <w:tc>
          <w:tcPr>
            <w:tcW w:w="81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color w:val="000000"/>
                <w:kern w:val="0"/>
                <w:sz w:val="15"/>
                <w:szCs w:val="15"/>
              </w:rPr>
            </w:pPr>
            <w:r>
              <w:rPr>
                <w:rFonts w:hint="eastAsia" w:ascii="宋体" w:hAnsi="宋体" w:eastAsia="宋体" w:cs="宋体"/>
                <w:i w:val="0"/>
                <w:color w:val="000000"/>
                <w:kern w:val="0"/>
                <w:sz w:val="15"/>
                <w:szCs w:val="15"/>
                <w:u w:val="none"/>
                <w:lang w:val="en-US" w:eastAsia="zh-CN" w:bidi="ar"/>
              </w:rPr>
              <w:t>37.83</w:t>
            </w: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30211</w:t>
            </w: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差旅费</w:t>
            </w:r>
          </w:p>
        </w:tc>
        <w:tc>
          <w:tcPr>
            <w:tcW w:w="89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75.59</w:t>
            </w: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31008</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物资储备</w:t>
            </w:r>
          </w:p>
        </w:tc>
        <w:tc>
          <w:tcPr>
            <w:tcW w:w="666" w:type="dxa"/>
            <w:tcBorders>
              <w:top w:val="single" w:color="000000" w:sz="4" w:space="0"/>
              <w:left w:val="nil"/>
              <w:bottom w:val="single" w:color="000000" w:sz="4" w:space="0"/>
              <w:right w:val="single" w:color="000000" w:sz="4" w:space="0"/>
            </w:tcBorders>
            <w:vAlign w:val="center"/>
          </w:tcPr>
          <w:p>
            <w:pPr>
              <w:jc w:val="right"/>
              <w:rPr>
                <w:rFonts w:hint="default" w:ascii="宋体"/>
                <w:color w:val="000000"/>
                <w:kern w:val="0"/>
                <w:sz w:val="15"/>
                <w:szCs w:val="15"/>
              </w:rPr>
            </w:pPr>
          </w:p>
        </w:tc>
      </w:tr>
      <w:tr>
        <w:tblPrEx>
          <w:tblCellMar>
            <w:top w:w="0" w:type="dxa"/>
            <w:left w:w="108" w:type="dxa"/>
            <w:bottom w:w="0" w:type="dxa"/>
            <w:right w:w="108" w:type="dxa"/>
          </w:tblCellMar>
        </w:tblPrEx>
        <w:trPr>
          <w:trHeight w:val="210" w:hRule="exact"/>
          <w:jc w:val="center"/>
        </w:trPr>
        <w:tc>
          <w:tcPr>
            <w:tcW w:w="1416" w:type="dxa"/>
            <w:gridSpan w:val="2"/>
            <w:tcBorders>
              <w:top w:val="nil"/>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30113</w:t>
            </w:r>
          </w:p>
        </w:tc>
        <w:tc>
          <w:tcPr>
            <w:tcW w:w="2466" w:type="dxa"/>
            <w:gridSpan w:val="3"/>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住房公积金</w:t>
            </w:r>
          </w:p>
        </w:tc>
        <w:tc>
          <w:tcPr>
            <w:tcW w:w="81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1,491.14</w:t>
            </w: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30212</w:t>
            </w: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因公出国（境）费用</w:t>
            </w:r>
          </w:p>
        </w:tc>
        <w:tc>
          <w:tcPr>
            <w:tcW w:w="890"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sz w:val="15"/>
                <w:szCs w:val="15"/>
                <w:u w:val="none"/>
              </w:rPr>
            </w:pP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31009</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土地补偿</w:t>
            </w:r>
          </w:p>
        </w:tc>
        <w:tc>
          <w:tcPr>
            <w:tcW w:w="666" w:type="dxa"/>
            <w:tcBorders>
              <w:top w:val="single" w:color="000000" w:sz="4" w:space="0"/>
              <w:left w:val="nil"/>
              <w:bottom w:val="single" w:color="000000" w:sz="4" w:space="0"/>
              <w:right w:val="single" w:color="000000" w:sz="4" w:space="0"/>
            </w:tcBorders>
            <w:vAlign w:val="center"/>
          </w:tcPr>
          <w:p>
            <w:pPr>
              <w:jc w:val="right"/>
              <w:rPr>
                <w:rFonts w:hint="default" w:ascii="宋体"/>
                <w:color w:val="000000"/>
                <w:kern w:val="0"/>
                <w:sz w:val="15"/>
                <w:szCs w:val="15"/>
              </w:rPr>
            </w:pPr>
          </w:p>
        </w:tc>
      </w:tr>
      <w:tr>
        <w:tblPrEx>
          <w:tblCellMar>
            <w:top w:w="0" w:type="dxa"/>
            <w:left w:w="108" w:type="dxa"/>
            <w:bottom w:w="0" w:type="dxa"/>
            <w:right w:w="108" w:type="dxa"/>
          </w:tblCellMar>
        </w:tblPrEx>
        <w:trPr>
          <w:trHeight w:val="210" w:hRule="exact"/>
          <w:jc w:val="center"/>
        </w:trPr>
        <w:tc>
          <w:tcPr>
            <w:tcW w:w="1416" w:type="dxa"/>
            <w:gridSpan w:val="2"/>
            <w:tcBorders>
              <w:top w:val="nil"/>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30114</w:t>
            </w:r>
          </w:p>
        </w:tc>
        <w:tc>
          <w:tcPr>
            <w:tcW w:w="2466" w:type="dxa"/>
            <w:gridSpan w:val="3"/>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医疗费</w:t>
            </w:r>
          </w:p>
        </w:tc>
        <w:tc>
          <w:tcPr>
            <w:tcW w:w="81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sz w:val="15"/>
                <w:szCs w:val="15"/>
                <w:u w:val="none"/>
              </w:rPr>
            </w:pPr>
            <w:r>
              <w:rPr>
                <w:rFonts w:hint="eastAsia" w:ascii="宋体" w:hAnsi="宋体" w:eastAsia="宋体" w:cs="宋体"/>
                <w:i w:val="0"/>
                <w:color w:val="000000"/>
                <w:kern w:val="0"/>
                <w:sz w:val="15"/>
                <w:szCs w:val="15"/>
                <w:u w:val="none"/>
                <w:lang w:val="en-US" w:eastAsia="zh-CN" w:bidi="ar"/>
              </w:rPr>
              <w:t>0.27</w:t>
            </w: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30213</w:t>
            </w: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维修（护）费</w:t>
            </w:r>
          </w:p>
        </w:tc>
        <w:tc>
          <w:tcPr>
            <w:tcW w:w="89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24.26</w:t>
            </w: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31010</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安置补助</w:t>
            </w:r>
          </w:p>
        </w:tc>
        <w:tc>
          <w:tcPr>
            <w:tcW w:w="666" w:type="dxa"/>
            <w:tcBorders>
              <w:top w:val="single" w:color="000000" w:sz="4" w:space="0"/>
              <w:left w:val="nil"/>
              <w:bottom w:val="single" w:color="000000" w:sz="4" w:space="0"/>
              <w:right w:val="single" w:color="000000" w:sz="4" w:space="0"/>
            </w:tcBorders>
            <w:vAlign w:val="center"/>
          </w:tcPr>
          <w:p>
            <w:pPr>
              <w:jc w:val="right"/>
              <w:rPr>
                <w:rFonts w:hint="default" w:ascii="宋体"/>
                <w:color w:val="000000"/>
                <w:kern w:val="0"/>
                <w:sz w:val="15"/>
                <w:szCs w:val="15"/>
              </w:rPr>
            </w:pPr>
          </w:p>
        </w:tc>
      </w:tr>
      <w:tr>
        <w:tblPrEx>
          <w:tblCellMar>
            <w:top w:w="0" w:type="dxa"/>
            <w:left w:w="108" w:type="dxa"/>
            <w:bottom w:w="0" w:type="dxa"/>
            <w:right w:w="108" w:type="dxa"/>
          </w:tblCellMar>
        </w:tblPrEx>
        <w:trPr>
          <w:trHeight w:val="210" w:hRule="exact"/>
          <w:jc w:val="center"/>
        </w:trPr>
        <w:tc>
          <w:tcPr>
            <w:tcW w:w="1416" w:type="dxa"/>
            <w:gridSpan w:val="2"/>
            <w:tcBorders>
              <w:top w:val="nil"/>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30199</w:t>
            </w:r>
          </w:p>
        </w:tc>
        <w:tc>
          <w:tcPr>
            <w:tcW w:w="2466" w:type="dxa"/>
            <w:gridSpan w:val="3"/>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其他工资福利支出</w:t>
            </w:r>
          </w:p>
        </w:tc>
        <w:tc>
          <w:tcPr>
            <w:tcW w:w="81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sz w:val="15"/>
                <w:szCs w:val="15"/>
                <w:u w:val="none"/>
              </w:rPr>
            </w:pPr>
            <w:r>
              <w:rPr>
                <w:rFonts w:hint="eastAsia" w:ascii="宋体" w:hAnsi="宋体" w:eastAsia="宋体" w:cs="宋体"/>
                <w:i w:val="0"/>
                <w:color w:val="000000"/>
                <w:kern w:val="0"/>
                <w:sz w:val="15"/>
                <w:szCs w:val="15"/>
                <w:u w:val="none"/>
                <w:lang w:val="en-US" w:eastAsia="zh-CN" w:bidi="ar"/>
              </w:rPr>
              <w:t>0.34</w:t>
            </w: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30214</w:t>
            </w: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租赁费</w:t>
            </w:r>
          </w:p>
        </w:tc>
        <w:tc>
          <w:tcPr>
            <w:tcW w:w="890" w:type="dxa"/>
            <w:tcBorders>
              <w:top w:val="single" w:color="000000" w:sz="4" w:space="0"/>
              <w:left w:val="nil"/>
              <w:bottom w:val="single" w:color="000000" w:sz="4" w:space="0"/>
              <w:right w:val="single" w:color="000000" w:sz="4" w:space="0"/>
            </w:tcBorders>
            <w:vAlign w:val="center"/>
          </w:tcPr>
          <w:p>
            <w:pPr>
              <w:jc w:val="right"/>
              <w:rPr>
                <w:rFonts w:hint="default" w:ascii="宋体"/>
                <w:color w:val="000000"/>
                <w:kern w:val="0"/>
                <w:sz w:val="15"/>
                <w:szCs w:val="15"/>
              </w:rPr>
            </w:pP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31011</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地上附着物和青苗补偿</w:t>
            </w:r>
          </w:p>
        </w:tc>
        <w:tc>
          <w:tcPr>
            <w:tcW w:w="666" w:type="dxa"/>
            <w:tcBorders>
              <w:top w:val="single" w:color="000000" w:sz="4" w:space="0"/>
              <w:left w:val="nil"/>
              <w:bottom w:val="single" w:color="000000" w:sz="4" w:space="0"/>
              <w:right w:val="single" w:color="000000" w:sz="4" w:space="0"/>
            </w:tcBorders>
            <w:vAlign w:val="center"/>
          </w:tcPr>
          <w:p>
            <w:pPr>
              <w:jc w:val="right"/>
              <w:rPr>
                <w:rFonts w:hint="default" w:ascii="宋体"/>
                <w:color w:val="000000"/>
                <w:kern w:val="0"/>
                <w:sz w:val="15"/>
                <w:szCs w:val="15"/>
              </w:rPr>
            </w:pPr>
          </w:p>
        </w:tc>
      </w:tr>
      <w:tr>
        <w:tblPrEx>
          <w:tblCellMar>
            <w:top w:w="0" w:type="dxa"/>
            <w:left w:w="108" w:type="dxa"/>
            <w:bottom w:w="0" w:type="dxa"/>
            <w:right w:w="108" w:type="dxa"/>
          </w:tblCellMar>
        </w:tblPrEx>
        <w:trPr>
          <w:trHeight w:val="210" w:hRule="exact"/>
          <w:jc w:val="center"/>
        </w:trPr>
        <w:tc>
          <w:tcPr>
            <w:tcW w:w="1416" w:type="dxa"/>
            <w:gridSpan w:val="2"/>
            <w:tcBorders>
              <w:top w:val="nil"/>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303</w:t>
            </w:r>
          </w:p>
        </w:tc>
        <w:tc>
          <w:tcPr>
            <w:tcW w:w="2466" w:type="dxa"/>
            <w:gridSpan w:val="3"/>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对个人和家庭的补助</w:t>
            </w:r>
          </w:p>
        </w:tc>
        <w:tc>
          <w:tcPr>
            <w:tcW w:w="81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5,393.44</w:t>
            </w: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30215</w:t>
            </w: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会议费</w:t>
            </w:r>
          </w:p>
        </w:tc>
        <w:tc>
          <w:tcPr>
            <w:tcW w:w="89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color w:val="000000"/>
                <w:kern w:val="0"/>
                <w:sz w:val="15"/>
                <w:szCs w:val="15"/>
              </w:rPr>
            </w:pPr>
            <w:r>
              <w:rPr>
                <w:rFonts w:hint="eastAsia" w:ascii="宋体" w:hAnsi="宋体" w:eastAsia="宋体" w:cs="宋体"/>
                <w:i w:val="0"/>
                <w:color w:val="000000"/>
                <w:kern w:val="0"/>
                <w:sz w:val="15"/>
                <w:szCs w:val="15"/>
                <w:u w:val="none"/>
                <w:lang w:val="en-US" w:eastAsia="zh-CN" w:bidi="ar"/>
              </w:rPr>
              <w:t>3.82</w:t>
            </w: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31012</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拆迁补偿</w:t>
            </w:r>
          </w:p>
        </w:tc>
        <w:tc>
          <w:tcPr>
            <w:tcW w:w="666" w:type="dxa"/>
            <w:tcBorders>
              <w:top w:val="single" w:color="000000" w:sz="4" w:space="0"/>
              <w:left w:val="nil"/>
              <w:bottom w:val="single" w:color="000000" w:sz="4" w:space="0"/>
              <w:right w:val="single" w:color="000000" w:sz="4" w:space="0"/>
            </w:tcBorders>
            <w:vAlign w:val="center"/>
          </w:tcPr>
          <w:p>
            <w:pPr>
              <w:jc w:val="right"/>
              <w:rPr>
                <w:rFonts w:hint="default" w:ascii="宋体"/>
                <w:color w:val="000000"/>
                <w:kern w:val="0"/>
                <w:sz w:val="15"/>
                <w:szCs w:val="15"/>
              </w:rPr>
            </w:pPr>
          </w:p>
        </w:tc>
      </w:tr>
      <w:tr>
        <w:tblPrEx>
          <w:tblCellMar>
            <w:top w:w="0" w:type="dxa"/>
            <w:left w:w="108" w:type="dxa"/>
            <w:bottom w:w="0" w:type="dxa"/>
            <w:right w:w="108" w:type="dxa"/>
          </w:tblCellMar>
        </w:tblPrEx>
        <w:trPr>
          <w:trHeight w:val="210" w:hRule="exact"/>
          <w:jc w:val="center"/>
        </w:trPr>
        <w:tc>
          <w:tcPr>
            <w:tcW w:w="1416" w:type="dxa"/>
            <w:gridSpan w:val="2"/>
            <w:tcBorders>
              <w:top w:val="nil"/>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30301</w:t>
            </w:r>
          </w:p>
        </w:tc>
        <w:tc>
          <w:tcPr>
            <w:tcW w:w="2466" w:type="dxa"/>
            <w:gridSpan w:val="3"/>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离休费</w:t>
            </w:r>
          </w:p>
        </w:tc>
        <w:tc>
          <w:tcPr>
            <w:tcW w:w="81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108.16</w:t>
            </w: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30216</w:t>
            </w: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培训费</w:t>
            </w:r>
          </w:p>
        </w:tc>
        <w:tc>
          <w:tcPr>
            <w:tcW w:w="89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color w:val="000000"/>
                <w:kern w:val="0"/>
                <w:sz w:val="15"/>
                <w:szCs w:val="15"/>
              </w:rPr>
            </w:pPr>
            <w:r>
              <w:rPr>
                <w:rFonts w:hint="eastAsia" w:ascii="宋体" w:hAnsi="宋体" w:eastAsia="宋体" w:cs="宋体"/>
                <w:i w:val="0"/>
                <w:color w:val="000000"/>
                <w:kern w:val="0"/>
                <w:sz w:val="15"/>
                <w:szCs w:val="15"/>
                <w:u w:val="none"/>
                <w:lang w:val="en-US" w:eastAsia="zh-CN" w:bidi="ar"/>
              </w:rPr>
              <w:t>2.63</w:t>
            </w: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31013</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公务用车购置</w:t>
            </w:r>
          </w:p>
        </w:tc>
        <w:tc>
          <w:tcPr>
            <w:tcW w:w="666" w:type="dxa"/>
            <w:tcBorders>
              <w:top w:val="single" w:color="000000" w:sz="4" w:space="0"/>
              <w:left w:val="nil"/>
              <w:bottom w:val="single" w:color="000000" w:sz="4" w:space="0"/>
              <w:right w:val="single" w:color="000000" w:sz="4" w:space="0"/>
            </w:tcBorders>
            <w:vAlign w:val="center"/>
          </w:tcPr>
          <w:p>
            <w:pPr>
              <w:jc w:val="right"/>
              <w:rPr>
                <w:rFonts w:hint="default" w:ascii="宋体"/>
                <w:color w:val="000000"/>
                <w:kern w:val="0"/>
                <w:sz w:val="15"/>
                <w:szCs w:val="15"/>
              </w:rPr>
            </w:pPr>
          </w:p>
        </w:tc>
      </w:tr>
      <w:tr>
        <w:tblPrEx>
          <w:tblCellMar>
            <w:top w:w="0" w:type="dxa"/>
            <w:left w:w="108" w:type="dxa"/>
            <w:bottom w:w="0" w:type="dxa"/>
            <w:right w:w="108" w:type="dxa"/>
          </w:tblCellMar>
        </w:tblPrEx>
        <w:trPr>
          <w:trHeight w:val="210" w:hRule="exact"/>
          <w:jc w:val="center"/>
        </w:trPr>
        <w:tc>
          <w:tcPr>
            <w:tcW w:w="1416" w:type="dxa"/>
            <w:gridSpan w:val="2"/>
            <w:tcBorders>
              <w:top w:val="nil"/>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30302</w:t>
            </w:r>
          </w:p>
        </w:tc>
        <w:tc>
          <w:tcPr>
            <w:tcW w:w="2466" w:type="dxa"/>
            <w:gridSpan w:val="3"/>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退休费</w:t>
            </w:r>
          </w:p>
        </w:tc>
        <w:tc>
          <w:tcPr>
            <w:tcW w:w="81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color w:val="000000"/>
                <w:kern w:val="0"/>
                <w:sz w:val="15"/>
                <w:szCs w:val="15"/>
              </w:rPr>
            </w:pPr>
            <w:r>
              <w:rPr>
                <w:rFonts w:hint="eastAsia" w:ascii="宋体" w:hAnsi="宋体" w:eastAsia="宋体" w:cs="宋体"/>
                <w:i w:val="0"/>
                <w:color w:val="000000"/>
                <w:kern w:val="0"/>
                <w:sz w:val="15"/>
                <w:szCs w:val="15"/>
                <w:u w:val="none"/>
                <w:lang w:val="en-US" w:eastAsia="zh-CN" w:bidi="ar"/>
              </w:rPr>
              <w:t>126.09</w:t>
            </w: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30217</w:t>
            </w: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公务接待费</w:t>
            </w:r>
          </w:p>
        </w:tc>
        <w:tc>
          <w:tcPr>
            <w:tcW w:w="89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0.56</w:t>
            </w: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31019</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其他交通工具购置</w:t>
            </w:r>
          </w:p>
        </w:tc>
        <w:tc>
          <w:tcPr>
            <w:tcW w:w="666" w:type="dxa"/>
            <w:tcBorders>
              <w:top w:val="single" w:color="000000" w:sz="4" w:space="0"/>
              <w:left w:val="nil"/>
              <w:bottom w:val="single" w:color="000000" w:sz="4" w:space="0"/>
              <w:right w:val="single" w:color="000000" w:sz="4" w:space="0"/>
            </w:tcBorders>
            <w:vAlign w:val="center"/>
          </w:tcPr>
          <w:p>
            <w:pPr>
              <w:jc w:val="right"/>
              <w:rPr>
                <w:rFonts w:hint="default" w:ascii="宋体"/>
                <w:color w:val="000000"/>
                <w:kern w:val="0"/>
                <w:sz w:val="15"/>
                <w:szCs w:val="15"/>
              </w:rPr>
            </w:pPr>
          </w:p>
        </w:tc>
      </w:tr>
      <w:tr>
        <w:tblPrEx>
          <w:tblCellMar>
            <w:top w:w="0" w:type="dxa"/>
            <w:left w:w="108" w:type="dxa"/>
            <w:bottom w:w="0" w:type="dxa"/>
            <w:right w:w="108" w:type="dxa"/>
          </w:tblCellMar>
        </w:tblPrEx>
        <w:trPr>
          <w:trHeight w:val="210" w:hRule="exact"/>
          <w:jc w:val="center"/>
        </w:trPr>
        <w:tc>
          <w:tcPr>
            <w:tcW w:w="1416" w:type="dxa"/>
            <w:gridSpan w:val="2"/>
            <w:tcBorders>
              <w:top w:val="nil"/>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30303</w:t>
            </w:r>
          </w:p>
        </w:tc>
        <w:tc>
          <w:tcPr>
            <w:tcW w:w="2466" w:type="dxa"/>
            <w:gridSpan w:val="3"/>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退职（役）费</w:t>
            </w:r>
          </w:p>
        </w:tc>
        <w:tc>
          <w:tcPr>
            <w:tcW w:w="816" w:type="dxa"/>
            <w:tcBorders>
              <w:top w:val="single" w:color="000000" w:sz="4" w:space="0"/>
              <w:left w:val="nil"/>
              <w:bottom w:val="single" w:color="000000" w:sz="4" w:space="0"/>
              <w:right w:val="single" w:color="000000" w:sz="4" w:space="0"/>
            </w:tcBorders>
            <w:vAlign w:val="center"/>
          </w:tcPr>
          <w:p>
            <w:pPr>
              <w:jc w:val="right"/>
              <w:rPr>
                <w:rFonts w:hint="default" w:ascii="宋体"/>
                <w:color w:val="000000"/>
                <w:kern w:val="0"/>
                <w:sz w:val="15"/>
                <w:szCs w:val="15"/>
              </w:rPr>
            </w:pP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30218</w:t>
            </w: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专用材料费</w:t>
            </w:r>
          </w:p>
        </w:tc>
        <w:tc>
          <w:tcPr>
            <w:tcW w:w="89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sz w:val="15"/>
                <w:szCs w:val="15"/>
                <w:u w:val="none"/>
              </w:rPr>
            </w:pPr>
            <w:r>
              <w:rPr>
                <w:rFonts w:hint="eastAsia" w:ascii="宋体" w:hAnsi="宋体" w:eastAsia="宋体" w:cs="宋体"/>
                <w:i w:val="0"/>
                <w:color w:val="000000"/>
                <w:kern w:val="0"/>
                <w:sz w:val="15"/>
                <w:szCs w:val="15"/>
                <w:u w:val="none"/>
                <w:lang w:val="en-US" w:eastAsia="zh-CN" w:bidi="ar"/>
              </w:rPr>
              <w:t>1.03</w:t>
            </w: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31021</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文物和陈列品购置</w:t>
            </w:r>
          </w:p>
        </w:tc>
        <w:tc>
          <w:tcPr>
            <w:tcW w:w="666" w:type="dxa"/>
            <w:tcBorders>
              <w:top w:val="single" w:color="000000" w:sz="4" w:space="0"/>
              <w:left w:val="nil"/>
              <w:bottom w:val="single" w:color="000000" w:sz="4" w:space="0"/>
              <w:right w:val="single" w:color="000000" w:sz="4" w:space="0"/>
            </w:tcBorders>
            <w:vAlign w:val="center"/>
          </w:tcPr>
          <w:p>
            <w:pPr>
              <w:jc w:val="right"/>
              <w:rPr>
                <w:rFonts w:hint="default" w:ascii="宋体"/>
                <w:color w:val="000000"/>
                <w:kern w:val="0"/>
                <w:sz w:val="15"/>
                <w:szCs w:val="15"/>
              </w:rPr>
            </w:pPr>
          </w:p>
        </w:tc>
      </w:tr>
      <w:tr>
        <w:tblPrEx>
          <w:tblCellMar>
            <w:top w:w="0" w:type="dxa"/>
            <w:left w:w="108" w:type="dxa"/>
            <w:bottom w:w="0" w:type="dxa"/>
            <w:right w:w="108" w:type="dxa"/>
          </w:tblCellMar>
        </w:tblPrEx>
        <w:trPr>
          <w:trHeight w:val="210" w:hRule="exact"/>
          <w:jc w:val="center"/>
        </w:trPr>
        <w:tc>
          <w:tcPr>
            <w:tcW w:w="1416" w:type="dxa"/>
            <w:gridSpan w:val="2"/>
            <w:tcBorders>
              <w:top w:val="nil"/>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30304</w:t>
            </w:r>
          </w:p>
        </w:tc>
        <w:tc>
          <w:tcPr>
            <w:tcW w:w="2466" w:type="dxa"/>
            <w:gridSpan w:val="3"/>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抚恤金</w:t>
            </w:r>
          </w:p>
        </w:tc>
        <w:tc>
          <w:tcPr>
            <w:tcW w:w="81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color w:val="000000"/>
                <w:kern w:val="0"/>
                <w:sz w:val="15"/>
                <w:szCs w:val="15"/>
              </w:rPr>
            </w:pPr>
            <w:r>
              <w:rPr>
                <w:rFonts w:hint="eastAsia" w:ascii="宋体" w:hAnsi="宋体" w:eastAsia="宋体" w:cs="宋体"/>
                <w:i w:val="0"/>
                <w:color w:val="000000"/>
                <w:kern w:val="0"/>
                <w:sz w:val="15"/>
                <w:szCs w:val="15"/>
                <w:u w:val="none"/>
                <w:lang w:val="en-US" w:eastAsia="zh-CN" w:bidi="ar"/>
              </w:rPr>
              <w:t>264.44</w:t>
            </w: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30224</w:t>
            </w: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被装购置费</w:t>
            </w:r>
          </w:p>
        </w:tc>
        <w:tc>
          <w:tcPr>
            <w:tcW w:w="890"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sz w:val="15"/>
                <w:szCs w:val="15"/>
                <w:u w:val="none"/>
              </w:rPr>
            </w:pP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31022</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无形资产购置</w:t>
            </w:r>
          </w:p>
        </w:tc>
        <w:tc>
          <w:tcPr>
            <w:tcW w:w="666" w:type="dxa"/>
            <w:tcBorders>
              <w:top w:val="single" w:color="000000" w:sz="4" w:space="0"/>
              <w:left w:val="nil"/>
              <w:bottom w:val="single" w:color="000000" w:sz="4" w:space="0"/>
              <w:right w:val="single" w:color="000000" w:sz="4" w:space="0"/>
            </w:tcBorders>
            <w:vAlign w:val="center"/>
          </w:tcPr>
          <w:p>
            <w:pPr>
              <w:jc w:val="right"/>
              <w:rPr>
                <w:rFonts w:hint="default" w:ascii="宋体"/>
                <w:color w:val="000000"/>
                <w:kern w:val="0"/>
                <w:sz w:val="15"/>
                <w:szCs w:val="15"/>
              </w:rPr>
            </w:pPr>
          </w:p>
        </w:tc>
      </w:tr>
      <w:tr>
        <w:tblPrEx>
          <w:tblCellMar>
            <w:top w:w="0" w:type="dxa"/>
            <w:left w:w="108" w:type="dxa"/>
            <w:bottom w:w="0" w:type="dxa"/>
            <w:right w:w="108" w:type="dxa"/>
          </w:tblCellMar>
        </w:tblPrEx>
        <w:trPr>
          <w:trHeight w:val="210" w:hRule="exact"/>
          <w:jc w:val="center"/>
        </w:trPr>
        <w:tc>
          <w:tcPr>
            <w:tcW w:w="1416" w:type="dxa"/>
            <w:gridSpan w:val="2"/>
            <w:tcBorders>
              <w:top w:val="nil"/>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30305</w:t>
            </w:r>
          </w:p>
        </w:tc>
        <w:tc>
          <w:tcPr>
            <w:tcW w:w="2466" w:type="dxa"/>
            <w:gridSpan w:val="3"/>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生活补助</w:t>
            </w:r>
          </w:p>
        </w:tc>
        <w:tc>
          <w:tcPr>
            <w:tcW w:w="81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color w:val="000000"/>
                <w:kern w:val="0"/>
                <w:sz w:val="15"/>
                <w:szCs w:val="15"/>
              </w:rPr>
            </w:pPr>
            <w:r>
              <w:rPr>
                <w:rFonts w:hint="eastAsia" w:ascii="宋体" w:hAnsi="宋体" w:eastAsia="宋体" w:cs="宋体"/>
                <w:i w:val="0"/>
                <w:color w:val="000000"/>
                <w:kern w:val="0"/>
                <w:sz w:val="15"/>
                <w:szCs w:val="15"/>
                <w:u w:val="none"/>
                <w:lang w:val="en-US" w:eastAsia="zh-CN" w:bidi="ar"/>
              </w:rPr>
              <w:t>50.17</w:t>
            </w: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30225</w:t>
            </w: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专用燃料费</w:t>
            </w:r>
          </w:p>
        </w:tc>
        <w:tc>
          <w:tcPr>
            <w:tcW w:w="890"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sz w:val="15"/>
                <w:szCs w:val="15"/>
                <w:u w:val="none"/>
              </w:rPr>
            </w:pP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31099</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其他资本性支出</w:t>
            </w:r>
          </w:p>
        </w:tc>
        <w:tc>
          <w:tcPr>
            <w:tcW w:w="66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color w:val="000000"/>
                <w:kern w:val="0"/>
                <w:sz w:val="15"/>
                <w:szCs w:val="15"/>
              </w:rPr>
            </w:pPr>
            <w:r>
              <w:rPr>
                <w:rFonts w:hint="eastAsia" w:ascii="宋体" w:hAnsi="宋体" w:eastAsia="宋体" w:cs="宋体"/>
                <w:i w:val="0"/>
                <w:color w:val="000000"/>
                <w:kern w:val="0"/>
                <w:sz w:val="15"/>
                <w:szCs w:val="15"/>
                <w:u w:val="none"/>
                <w:lang w:val="en-US" w:eastAsia="zh-CN" w:bidi="ar"/>
              </w:rPr>
              <w:t>0.15</w:t>
            </w:r>
          </w:p>
        </w:tc>
      </w:tr>
      <w:tr>
        <w:tblPrEx>
          <w:tblCellMar>
            <w:top w:w="0" w:type="dxa"/>
            <w:left w:w="108" w:type="dxa"/>
            <w:bottom w:w="0" w:type="dxa"/>
            <w:right w:w="108" w:type="dxa"/>
          </w:tblCellMar>
        </w:tblPrEx>
        <w:trPr>
          <w:trHeight w:val="210" w:hRule="exact"/>
          <w:jc w:val="center"/>
        </w:trPr>
        <w:tc>
          <w:tcPr>
            <w:tcW w:w="1416" w:type="dxa"/>
            <w:gridSpan w:val="2"/>
            <w:tcBorders>
              <w:top w:val="nil"/>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30306</w:t>
            </w:r>
          </w:p>
        </w:tc>
        <w:tc>
          <w:tcPr>
            <w:tcW w:w="2466" w:type="dxa"/>
            <w:gridSpan w:val="3"/>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救济费</w:t>
            </w:r>
          </w:p>
        </w:tc>
        <w:tc>
          <w:tcPr>
            <w:tcW w:w="81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30226</w:t>
            </w: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劳务费</w:t>
            </w:r>
          </w:p>
        </w:tc>
        <w:tc>
          <w:tcPr>
            <w:tcW w:w="89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154.02</w:t>
            </w: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312</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对企业补助</w:t>
            </w:r>
          </w:p>
        </w:tc>
        <w:tc>
          <w:tcPr>
            <w:tcW w:w="66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10" w:hRule="exact"/>
          <w:jc w:val="center"/>
        </w:trPr>
        <w:tc>
          <w:tcPr>
            <w:tcW w:w="1416" w:type="dxa"/>
            <w:gridSpan w:val="2"/>
            <w:tcBorders>
              <w:top w:val="nil"/>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30307</w:t>
            </w:r>
          </w:p>
        </w:tc>
        <w:tc>
          <w:tcPr>
            <w:tcW w:w="2466" w:type="dxa"/>
            <w:gridSpan w:val="3"/>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医疗费补助</w:t>
            </w:r>
          </w:p>
        </w:tc>
        <w:tc>
          <w:tcPr>
            <w:tcW w:w="81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30227</w:t>
            </w: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委托业务费</w:t>
            </w:r>
          </w:p>
        </w:tc>
        <w:tc>
          <w:tcPr>
            <w:tcW w:w="89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sz w:val="15"/>
                <w:szCs w:val="15"/>
                <w:u w:val="none"/>
              </w:rPr>
            </w:pPr>
            <w:r>
              <w:rPr>
                <w:rFonts w:hint="eastAsia" w:ascii="宋体" w:hAnsi="宋体" w:eastAsia="宋体" w:cs="宋体"/>
                <w:i w:val="0"/>
                <w:color w:val="000000"/>
                <w:kern w:val="0"/>
                <w:sz w:val="15"/>
                <w:szCs w:val="15"/>
                <w:u w:val="none"/>
                <w:lang w:val="en-US" w:eastAsia="zh-CN" w:bidi="ar"/>
              </w:rPr>
              <w:t>28.36</w:t>
            </w: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31201</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资本金注入</w:t>
            </w:r>
          </w:p>
        </w:tc>
        <w:tc>
          <w:tcPr>
            <w:tcW w:w="66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10" w:hRule="exact"/>
          <w:jc w:val="center"/>
        </w:trPr>
        <w:tc>
          <w:tcPr>
            <w:tcW w:w="1416" w:type="dxa"/>
            <w:gridSpan w:val="2"/>
            <w:tcBorders>
              <w:top w:val="nil"/>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30308</w:t>
            </w:r>
          </w:p>
        </w:tc>
        <w:tc>
          <w:tcPr>
            <w:tcW w:w="2466" w:type="dxa"/>
            <w:gridSpan w:val="3"/>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助学金</w:t>
            </w:r>
          </w:p>
        </w:tc>
        <w:tc>
          <w:tcPr>
            <w:tcW w:w="81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30228</w:t>
            </w: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工会经费</w:t>
            </w:r>
          </w:p>
        </w:tc>
        <w:tc>
          <w:tcPr>
            <w:tcW w:w="89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232.14</w:t>
            </w: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31203</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政府投资基金股权投资</w:t>
            </w:r>
          </w:p>
        </w:tc>
        <w:tc>
          <w:tcPr>
            <w:tcW w:w="66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10" w:hRule="exact"/>
          <w:jc w:val="center"/>
        </w:trPr>
        <w:tc>
          <w:tcPr>
            <w:tcW w:w="1416" w:type="dxa"/>
            <w:gridSpan w:val="2"/>
            <w:tcBorders>
              <w:top w:val="nil"/>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30309</w:t>
            </w:r>
          </w:p>
        </w:tc>
        <w:tc>
          <w:tcPr>
            <w:tcW w:w="2466" w:type="dxa"/>
            <w:gridSpan w:val="3"/>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奖励金</w:t>
            </w:r>
          </w:p>
        </w:tc>
        <w:tc>
          <w:tcPr>
            <w:tcW w:w="81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color w:val="000000"/>
                <w:kern w:val="0"/>
                <w:sz w:val="15"/>
                <w:szCs w:val="15"/>
              </w:rPr>
            </w:pPr>
            <w:r>
              <w:rPr>
                <w:rFonts w:hint="eastAsia" w:ascii="宋体" w:hAnsi="宋体" w:eastAsia="宋体" w:cs="宋体"/>
                <w:i w:val="0"/>
                <w:color w:val="000000"/>
                <w:kern w:val="0"/>
                <w:sz w:val="15"/>
                <w:szCs w:val="15"/>
                <w:u w:val="none"/>
                <w:lang w:val="en-US" w:eastAsia="zh-CN" w:bidi="ar"/>
              </w:rPr>
              <w:t>3.02</w:t>
            </w: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30229</w:t>
            </w: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福利费</w:t>
            </w:r>
          </w:p>
        </w:tc>
        <w:tc>
          <w:tcPr>
            <w:tcW w:w="89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sz w:val="15"/>
                <w:szCs w:val="15"/>
                <w:u w:val="none"/>
              </w:rPr>
            </w:pPr>
            <w:r>
              <w:rPr>
                <w:rFonts w:hint="eastAsia" w:ascii="宋体" w:hAnsi="宋体" w:eastAsia="宋体" w:cs="宋体"/>
                <w:i w:val="0"/>
                <w:color w:val="000000"/>
                <w:kern w:val="0"/>
                <w:sz w:val="15"/>
                <w:szCs w:val="15"/>
                <w:u w:val="none"/>
                <w:lang w:val="en-US" w:eastAsia="zh-CN" w:bidi="ar"/>
              </w:rPr>
              <w:t>5.34</w:t>
            </w: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31204</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费用补贴</w:t>
            </w:r>
          </w:p>
        </w:tc>
        <w:tc>
          <w:tcPr>
            <w:tcW w:w="66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10" w:hRule="exact"/>
          <w:jc w:val="center"/>
        </w:trPr>
        <w:tc>
          <w:tcPr>
            <w:tcW w:w="1416" w:type="dxa"/>
            <w:gridSpan w:val="2"/>
            <w:tcBorders>
              <w:top w:val="nil"/>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30310</w:t>
            </w:r>
          </w:p>
        </w:tc>
        <w:tc>
          <w:tcPr>
            <w:tcW w:w="2466" w:type="dxa"/>
            <w:gridSpan w:val="3"/>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个人农业生产补贴</w:t>
            </w:r>
          </w:p>
        </w:tc>
        <w:tc>
          <w:tcPr>
            <w:tcW w:w="816" w:type="dxa"/>
            <w:tcBorders>
              <w:top w:val="single" w:color="000000" w:sz="4" w:space="0"/>
              <w:left w:val="nil"/>
              <w:bottom w:val="single" w:color="000000" w:sz="4" w:space="0"/>
              <w:right w:val="single" w:color="000000" w:sz="4" w:space="0"/>
            </w:tcBorders>
            <w:vAlign w:val="center"/>
          </w:tcPr>
          <w:p>
            <w:pPr>
              <w:jc w:val="right"/>
              <w:rPr>
                <w:rFonts w:hint="default" w:ascii="宋体"/>
                <w:color w:val="000000"/>
                <w:kern w:val="0"/>
                <w:sz w:val="15"/>
                <w:szCs w:val="15"/>
              </w:rPr>
            </w:pP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30231</w:t>
            </w: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公务用车运行维护费</w:t>
            </w:r>
          </w:p>
        </w:tc>
        <w:tc>
          <w:tcPr>
            <w:tcW w:w="89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8.99</w:t>
            </w: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31205</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利息补贴</w:t>
            </w:r>
          </w:p>
        </w:tc>
        <w:tc>
          <w:tcPr>
            <w:tcW w:w="66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10" w:hRule="exact"/>
          <w:jc w:val="center"/>
        </w:trPr>
        <w:tc>
          <w:tcPr>
            <w:tcW w:w="1416" w:type="dxa"/>
            <w:gridSpan w:val="2"/>
            <w:tcBorders>
              <w:top w:val="nil"/>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30311</w:t>
            </w:r>
          </w:p>
        </w:tc>
        <w:tc>
          <w:tcPr>
            <w:tcW w:w="2466" w:type="dxa"/>
            <w:gridSpan w:val="3"/>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代缴社会保险费</w:t>
            </w:r>
          </w:p>
        </w:tc>
        <w:tc>
          <w:tcPr>
            <w:tcW w:w="816" w:type="dxa"/>
            <w:tcBorders>
              <w:top w:val="single" w:color="000000" w:sz="4" w:space="0"/>
              <w:left w:val="nil"/>
              <w:bottom w:val="single" w:color="000000" w:sz="4" w:space="0"/>
              <w:right w:val="single" w:color="000000" w:sz="4" w:space="0"/>
            </w:tcBorders>
            <w:vAlign w:val="center"/>
          </w:tcPr>
          <w:p>
            <w:pPr>
              <w:jc w:val="right"/>
              <w:rPr>
                <w:rFonts w:hint="default" w:ascii="宋体"/>
                <w:color w:val="000000"/>
                <w:kern w:val="0"/>
                <w:sz w:val="15"/>
                <w:szCs w:val="15"/>
              </w:rPr>
            </w:pP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30239</w:t>
            </w: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其他交通费用</w:t>
            </w:r>
          </w:p>
        </w:tc>
        <w:tc>
          <w:tcPr>
            <w:tcW w:w="89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643.19</w:t>
            </w: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31299</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其他对企业补助</w:t>
            </w:r>
          </w:p>
        </w:tc>
        <w:tc>
          <w:tcPr>
            <w:tcW w:w="66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10" w:hRule="exact"/>
          <w:jc w:val="center"/>
        </w:trPr>
        <w:tc>
          <w:tcPr>
            <w:tcW w:w="1416" w:type="dxa"/>
            <w:gridSpan w:val="2"/>
            <w:tcBorders>
              <w:top w:val="nil"/>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30399</w:t>
            </w:r>
          </w:p>
        </w:tc>
        <w:tc>
          <w:tcPr>
            <w:tcW w:w="2466" w:type="dxa"/>
            <w:gridSpan w:val="3"/>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其他对个人和家庭的补助</w:t>
            </w:r>
          </w:p>
        </w:tc>
        <w:tc>
          <w:tcPr>
            <w:tcW w:w="81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4,841.57</w:t>
            </w: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30240</w:t>
            </w: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税金及附加费用</w:t>
            </w:r>
          </w:p>
        </w:tc>
        <w:tc>
          <w:tcPr>
            <w:tcW w:w="890"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sz w:val="15"/>
                <w:szCs w:val="15"/>
                <w:u w:val="none"/>
              </w:rPr>
            </w:pP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399</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其他支出</w:t>
            </w:r>
          </w:p>
        </w:tc>
        <w:tc>
          <w:tcPr>
            <w:tcW w:w="66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10" w:hRule="exact"/>
          <w:jc w:val="center"/>
        </w:trPr>
        <w:tc>
          <w:tcPr>
            <w:tcW w:w="1416" w:type="dxa"/>
            <w:gridSpan w:val="2"/>
            <w:tcBorders>
              <w:top w:val="nil"/>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p>
        </w:tc>
        <w:tc>
          <w:tcPr>
            <w:tcW w:w="2466" w:type="dxa"/>
            <w:gridSpan w:val="3"/>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p>
        </w:tc>
        <w:tc>
          <w:tcPr>
            <w:tcW w:w="81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30299</w:t>
            </w: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其他商品和服务支出</w:t>
            </w:r>
          </w:p>
        </w:tc>
        <w:tc>
          <w:tcPr>
            <w:tcW w:w="89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690.86</w:t>
            </w: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39906</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赠与</w:t>
            </w:r>
          </w:p>
        </w:tc>
        <w:tc>
          <w:tcPr>
            <w:tcW w:w="66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10" w:hRule="exact"/>
          <w:jc w:val="center"/>
        </w:trPr>
        <w:tc>
          <w:tcPr>
            <w:tcW w:w="1416" w:type="dxa"/>
            <w:gridSpan w:val="2"/>
            <w:tcBorders>
              <w:top w:val="nil"/>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p>
        </w:tc>
        <w:tc>
          <w:tcPr>
            <w:tcW w:w="2466" w:type="dxa"/>
            <w:gridSpan w:val="3"/>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p>
        </w:tc>
        <w:tc>
          <w:tcPr>
            <w:tcW w:w="81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p>
        </w:tc>
        <w:tc>
          <w:tcPr>
            <w:tcW w:w="89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39907</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国家赔偿费用支出</w:t>
            </w:r>
          </w:p>
        </w:tc>
        <w:tc>
          <w:tcPr>
            <w:tcW w:w="66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10" w:hRule="exact"/>
          <w:jc w:val="center"/>
        </w:trPr>
        <w:tc>
          <w:tcPr>
            <w:tcW w:w="1416" w:type="dxa"/>
            <w:gridSpan w:val="2"/>
            <w:tcBorders>
              <w:top w:val="nil"/>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p>
        </w:tc>
        <w:tc>
          <w:tcPr>
            <w:tcW w:w="2466" w:type="dxa"/>
            <w:gridSpan w:val="3"/>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p>
        </w:tc>
        <w:tc>
          <w:tcPr>
            <w:tcW w:w="81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p>
        </w:tc>
        <w:tc>
          <w:tcPr>
            <w:tcW w:w="89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39908</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对民间非营利组织和群众性自治组织补贴</w:t>
            </w:r>
          </w:p>
        </w:tc>
        <w:tc>
          <w:tcPr>
            <w:tcW w:w="66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10" w:hRule="exact"/>
          <w:jc w:val="center"/>
        </w:trPr>
        <w:tc>
          <w:tcPr>
            <w:tcW w:w="1416" w:type="dxa"/>
            <w:gridSpan w:val="2"/>
            <w:tcBorders>
              <w:top w:val="nil"/>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15"/>
                <w:szCs w:val="15"/>
              </w:rPr>
            </w:pPr>
          </w:p>
        </w:tc>
        <w:tc>
          <w:tcPr>
            <w:tcW w:w="2466" w:type="dxa"/>
            <w:gridSpan w:val="3"/>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p>
        </w:tc>
        <w:tc>
          <w:tcPr>
            <w:tcW w:w="81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416" w:type="dxa"/>
            <w:gridSpan w:val="2"/>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p>
        </w:tc>
        <w:tc>
          <w:tcPr>
            <w:tcW w:w="171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p>
        </w:tc>
        <w:tc>
          <w:tcPr>
            <w:tcW w:w="890"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c>
          <w:tcPr>
            <w:tcW w:w="1192"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39999</w:t>
            </w:r>
          </w:p>
        </w:tc>
        <w:tc>
          <w:tcPr>
            <w:tcW w:w="3066" w:type="dxa"/>
            <w:tcBorders>
              <w:top w:val="nil"/>
              <w:left w:val="nil"/>
              <w:bottom w:val="single" w:color="000000" w:sz="4" w:space="0"/>
              <w:right w:val="single" w:color="000000" w:sz="4" w:space="0"/>
            </w:tcBorders>
            <w:vAlign w:val="center"/>
          </w:tcPr>
          <w:p>
            <w:pPr>
              <w:widowControl/>
              <w:jc w:val="left"/>
              <w:rPr>
                <w:rFonts w:hint="default" w:ascii="宋体"/>
                <w:color w:val="000000"/>
                <w:kern w:val="0"/>
                <w:sz w:val="15"/>
                <w:szCs w:val="15"/>
              </w:rPr>
            </w:pPr>
            <w:r>
              <w:rPr>
                <w:rFonts w:ascii="宋体" w:hAnsi="宋体"/>
                <w:color w:val="000000"/>
                <w:kern w:val="0"/>
                <w:sz w:val="15"/>
                <w:szCs w:val="15"/>
              </w:rPr>
              <w:t xml:space="preserve">  其他支出</w:t>
            </w:r>
          </w:p>
        </w:tc>
        <w:tc>
          <w:tcPr>
            <w:tcW w:w="66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p>
        </w:tc>
      </w:tr>
      <w:tr>
        <w:tblPrEx>
          <w:tblCellMar>
            <w:top w:w="0" w:type="dxa"/>
            <w:left w:w="108" w:type="dxa"/>
            <w:bottom w:w="0" w:type="dxa"/>
            <w:right w:w="108" w:type="dxa"/>
          </w:tblCellMar>
        </w:tblPrEx>
        <w:trPr>
          <w:trHeight w:val="210" w:hRule="exact"/>
          <w:jc w:val="center"/>
        </w:trPr>
        <w:tc>
          <w:tcPr>
            <w:tcW w:w="3882" w:type="dxa"/>
            <w:gridSpan w:val="5"/>
            <w:tcBorders>
              <w:top w:val="nil"/>
              <w:left w:val="single" w:color="000000" w:sz="4" w:space="0"/>
              <w:bottom w:val="single" w:color="000000" w:sz="4" w:space="0"/>
              <w:right w:val="single" w:color="000000" w:sz="4" w:space="0"/>
            </w:tcBorders>
            <w:vAlign w:val="center"/>
          </w:tcPr>
          <w:p>
            <w:pPr>
              <w:widowControl/>
              <w:jc w:val="center"/>
              <w:rPr>
                <w:rFonts w:hint="default" w:ascii="宋体"/>
                <w:color w:val="000000"/>
                <w:kern w:val="0"/>
                <w:sz w:val="15"/>
                <w:szCs w:val="15"/>
              </w:rPr>
            </w:pPr>
            <w:r>
              <w:rPr>
                <w:rFonts w:ascii="宋体" w:hAnsi="宋体"/>
                <w:color w:val="000000"/>
                <w:kern w:val="0"/>
                <w:sz w:val="15"/>
                <w:szCs w:val="15"/>
              </w:rPr>
              <w:t>人员经费合计</w:t>
            </w:r>
          </w:p>
        </w:tc>
        <w:tc>
          <w:tcPr>
            <w:tcW w:w="816"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15"/>
                <w:szCs w:val="15"/>
                <w:u w:val="none"/>
                <w:lang w:val="en-US" w:eastAsia="zh-CN" w:bidi="ar-SA"/>
              </w:rPr>
            </w:pPr>
            <w:r>
              <w:rPr>
                <w:rFonts w:hint="eastAsia" w:ascii="宋体" w:hAnsi="宋体" w:eastAsia="宋体" w:cs="宋体"/>
                <w:i w:val="0"/>
                <w:iCs w:val="0"/>
                <w:color w:val="000000"/>
                <w:kern w:val="0"/>
                <w:sz w:val="15"/>
                <w:szCs w:val="15"/>
                <w:u w:val="none"/>
                <w:lang w:val="en-US" w:eastAsia="zh-CN" w:bidi="ar"/>
              </w:rPr>
              <w:t>16411.55</w:t>
            </w:r>
          </w:p>
        </w:tc>
        <w:tc>
          <w:tcPr>
            <w:tcW w:w="8280" w:type="dxa"/>
            <w:gridSpan w:val="6"/>
            <w:tcBorders>
              <w:top w:val="single" w:color="000000" w:sz="4" w:space="0"/>
              <w:left w:val="nil"/>
              <w:bottom w:val="single" w:color="000000" w:sz="4" w:space="0"/>
              <w:right w:val="single" w:color="000000" w:sz="4" w:space="0"/>
            </w:tcBorders>
            <w:vAlign w:val="center"/>
          </w:tcPr>
          <w:p>
            <w:pPr>
              <w:widowControl/>
              <w:jc w:val="center"/>
              <w:rPr>
                <w:rFonts w:hint="default" w:ascii="宋体"/>
                <w:color w:val="000000"/>
                <w:kern w:val="0"/>
                <w:sz w:val="15"/>
                <w:szCs w:val="15"/>
              </w:rPr>
            </w:pPr>
            <w:r>
              <w:rPr>
                <w:rFonts w:ascii="宋体" w:hAnsi="宋体"/>
                <w:color w:val="000000"/>
                <w:kern w:val="0"/>
                <w:sz w:val="15"/>
                <w:szCs w:val="15"/>
              </w:rPr>
              <w:t>公用经费合计</w:t>
            </w:r>
          </w:p>
        </w:tc>
        <w:tc>
          <w:tcPr>
            <w:tcW w:w="666" w:type="dxa"/>
            <w:tcBorders>
              <w:top w:val="single" w:color="000000" w:sz="4" w:space="0"/>
              <w:left w:val="nil"/>
              <w:bottom w:val="single" w:color="000000" w:sz="4" w:space="0"/>
              <w:right w:val="single" w:color="000000" w:sz="4" w:space="0"/>
            </w:tcBorders>
            <w:vAlign w:val="center"/>
          </w:tcPr>
          <w:p>
            <w:pPr>
              <w:widowControl/>
              <w:jc w:val="right"/>
              <w:rPr>
                <w:rFonts w:hint="default" w:ascii="宋体"/>
                <w:color w:val="000000"/>
                <w:kern w:val="0"/>
                <w:sz w:val="15"/>
                <w:szCs w:val="15"/>
              </w:rPr>
            </w:pPr>
            <w:r>
              <w:rPr>
                <w:rFonts w:hint="eastAsia"/>
                <w:sz w:val="15"/>
                <w:szCs w:val="15"/>
              </w:rPr>
              <w:t>3204.6</w:t>
            </w:r>
          </w:p>
        </w:tc>
      </w:tr>
    </w:tbl>
    <w:p>
      <w:pPr>
        <w:widowControl/>
        <w:spacing w:line="560" w:lineRule="atLeast"/>
        <w:rPr>
          <w:rFonts w:ascii="宋体" w:hAnsi="宋体" w:cs="宋体"/>
          <w:kern w:val="0"/>
          <w:szCs w:val="21"/>
        </w:rPr>
      </w:pPr>
      <w:r>
        <w:rPr>
          <w:rFonts w:ascii="宋体" w:hAnsi="宋体" w:cs="宋体"/>
          <w:kern w:val="0"/>
          <w:szCs w:val="21"/>
        </w:rPr>
        <w:t>注：1.本表反映部门本年度一般公共预算财政拨款基本支出明细情况。2.本套报表金额单位转换时可能存在尾数误差。3.如本表为空，则我部门本年度无此类资金收支余。</w:t>
      </w:r>
    </w:p>
    <w:p>
      <w:pPr>
        <w:widowControl/>
        <w:spacing w:line="560" w:lineRule="atLeast"/>
        <w:rPr>
          <w:rFonts w:hint="default" w:ascii="仿宋_GB2312" w:hAnsi="宋体" w:eastAsia="仿宋_GB2312"/>
          <w:kern w:val="0"/>
          <w:sz w:val="24"/>
        </w:rPr>
      </w:pPr>
      <w:r>
        <w:rPr>
          <w:rFonts w:ascii="仿宋_GB2312" w:hAnsi="宋体" w:eastAsia="仿宋_GB2312"/>
          <w:kern w:val="0"/>
          <w:sz w:val="24"/>
        </w:rPr>
        <w:t>附件1-8</w:t>
      </w:r>
    </w:p>
    <w:p>
      <w:pPr>
        <w:widowControl/>
        <w:spacing w:line="560" w:lineRule="atLeast"/>
        <w:jc w:val="left"/>
        <w:rPr>
          <w:rFonts w:ascii="宋体" w:hAnsi="宋体" w:cs="宋体"/>
          <w:kern w:val="0"/>
          <w:szCs w:val="21"/>
        </w:rPr>
      </w:pPr>
    </w:p>
    <w:tbl>
      <w:tblPr>
        <w:tblStyle w:val="5"/>
        <w:tblW w:w="13726" w:type="dxa"/>
        <w:jc w:val="center"/>
        <w:tblLayout w:type="fixed"/>
        <w:tblCellMar>
          <w:top w:w="0" w:type="dxa"/>
          <w:left w:w="108" w:type="dxa"/>
          <w:bottom w:w="0" w:type="dxa"/>
          <w:right w:w="108" w:type="dxa"/>
        </w:tblCellMar>
      </w:tblPr>
      <w:tblGrid>
        <w:gridCol w:w="2570"/>
        <w:gridCol w:w="254"/>
        <w:gridCol w:w="843"/>
        <w:gridCol w:w="1770"/>
        <w:gridCol w:w="1862"/>
        <w:gridCol w:w="1285"/>
        <w:gridCol w:w="1285"/>
        <w:gridCol w:w="1285"/>
        <w:gridCol w:w="1286"/>
        <w:gridCol w:w="1286"/>
      </w:tblGrid>
      <w:tr>
        <w:tblPrEx>
          <w:tblCellMar>
            <w:top w:w="0" w:type="dxa"/>
            <w:left w:w="108" w:type="dxa"/>
            <w:bottom w:w="0" w:type="dxa"/>
            <w:right w:w="108" w:type="dxa"/>
          </w:tblCellMar>
        </w:tblPrEx>
        <w:trPr>
          <w:trHeight w:val="370" w:hRule="atLeast"/>
          <w:jc w:val="center"/>
        </w:trPr>
        <w:tc>
          <w:tcPr>
            <w:tcW w:w="13726" w:type="dxa"/>
            <w:gridSpan w:val="10"/>
            <w:tcBorders>
              <w:top w:val="nil"/>
              <w:left w:val="nil"/>
              <w:bottom w:val="nil"/>
              <w:right w:val="nil"/>
            </w:tcBorders>
            <w:shd w:val="clear" w:color="auto" w:fill="FFFFFF"/>
            <w:vAlign w:val="center"/>
          </w:tcPr>
          <w:p>
            <w:pPr>
              <w:widowControl/>
              <w:jc w:val="center"/>
              <w:textAlignment w:val="center"/>
              <w:rPr>
                <w:rFonts w:hint="default" w:ascii="宋体"/>
                <w:b/>
                <w:color w:val="000000"/>
                <w:kern w:val="0"/>
                <w:shd w:val="clear" w:color="auto" w:fill="FFFFFF"/>
              </w:rPr>
            </w:pPr>
            <w:r>
              <w:rPr>
                <w:rFonts w:ascii="宋体" w:hAnsi="宋体" w:cs="宋体"/>
                <w:b/>
                <w:color w:val="000000"/>
                <w:kern w:val="0"/>
                <w:sz w:val="28"/>
                <w:szCs w:val="28"/>
              </w:rPr>
              <w:t>政府性基金预算财政拨款收入支出决算表</w:t>
            </w:r>
          </w:p>
        </w:tc>
      </w:tr>
      <w:tr>
        <w:tblPrEx>
          <w:tblCellMar>
            <w:top w:w="0" w:type="dxa"/>
            <w:left w:w="108" w:type="dxa"/>
            <w:bottom w:w="0" w:type="dxa"/>
            <w:right w:w="108" w:type="dxa"/>
          </w:tblCellMar>
        </w:tblPrEx>
        <w:trPr>
          <w:trHeight w:val="315" w:hRule="atLeast"/>
          <w:jc w:val="center"/>
        </w:trPr>
        <w:tc>
          <w:tcPr>
            <w:tcW w:w="2570" w:type="dxa"/>
            <w:tcBorders>
              <w:top w:val="nil"/>
              <w:left w:val="nil"/>
              <w:bottom w:val="nil"/>
              <w:right w:val="nil"/>
            </w:tcBorders>
            <w:shd w:val="clear" w:color="auto" w:fill="FFFFFF"/>
            <w:vAlign w:val="bottom"/>
          </w:tcPr>
          <w:p>
            <w:pPr>
              <w:jc w:val="left"/>
              <w:rPr>
                <w:rFonts w:hint="default" w:ascii="宋体"/>
                <w:color w:val="000000"/>
                <w:kern w:val="0"/>
                <w:shd w:val="clear" w:color="auto" w:fill="FFFFFF"/>
              </w:rPr>
            </w:pPr>
          </w:p>
        </w:tc>
        <w:tc>
          <w:tcPr>
            <w:tcW w:w="1097" w:type="dxa"/>
            <w:gridSpan w:val="2"/>
            <w:tcBorders>
              <w:top w:val="nil"/>
              <w:left w:val="nil"/>
              <w:bottom w:val="nil"/>
              <w:right w:val="nil"/>
            </w:tcBorders>
            <w:shd w:val="clear" w:color="auto" w:fill="FFFFFF"/>
            <w:vAlign w:val="bottom"/>
          </w:tcPr>
          <w:p>
            <w:pPr>
              <w:jc w:val="left"/>
              <w:rPr>
                <w:rFonts w:hint="default" w:ascii="宋体"/>
                <w:color w:val="000000"/>
                <w:kern w:val="0"/>
                <w:shd w:val="clear" w:color="auto" w:fill="FFFFFF"/>
              </w:rPr>
            </w:pPr>
          </w:p>
        </w:tc>
        <w:tc>
          <w:tcPr>
            <w:tcW w:w="1770" w:type="dxa"/>
            <w:tcBorders>
              <w:top w:val="nil"/>
              <w:left w:val="nil"/>
              <w:bottom w:val="nil"/>
              <w:right w:val="nil"/>
            </w:tcBorders>
            <w:shd w:val="clear" w:color="auto" w:fill="FFFFFF"/>
            <w:vAlign w:val="bottom"/>
          </w:tcPr>
          <w:p>
            <w:pPr>
              <w:jc w:val="left"/>
              <w:rPr>
                <w:rFonts w:hint="default" w:ascii="宋体"/>
                <w:color w:val="000000"/>
                <w:kern w:val="0"/>
                <w:shd w:val="clear" w:color="auto" w:fill="FFFFFF"/>
              </w:rPr>
            </w:pPr>
          </w:p>
        </w:tc>
        <w:tc>
          <w:tcPr>
            <w:tcW w:w="1862" w:type="dxa"/>
            <w:tcBorders>
              <w:top w:val="nil"/>
              <w:left w:val="nil"/>
              <w:bottom w:val="nil"/>
              <w:right w:val="nil"/>
            </w:tcBorders>
            <w:shd w:val="clear" w:color="auto" w:fill="FFFFFF"/>
            <w:vAlign w:val="bottom"/>
          </w:tcPr>
          <w:p>
            <w:pPr>
              <w:jc w:val="left"/>
              <w:rPr>
                <w:rFonts w:hint="default" w:ascii="宋体"/>
                <w:color w:val="000000"/>
                <w:kern w:val="0"/>
                <w:shd w:val="clear" w:color="auto" w:fill="FFFFFF"/>
              </w:rPr>
            </w:pPr>
          </w:p>
        </w:tc>
        <w:tc>
          <w:tcPr>
            <w:tcW w:w="1285" w:type="dxa"/>
            <w:tcBorders>
              <w:top w:val="nil"/>
              <w:left w:val="nil"/>
              <w:bottom w:val="nil"/>
              <w:right w:val="nil"/>
            </w:tcBorders>
            <w:shd w:val="clear" w:color="auto" w:fill="FFFFFF"/>
            <w:vAlign w:val="bottom"/>
          </w:tcPr>
          <w:p>
            <w:pPr>
              <w:jc w:val="left"/>
              <w:rPr>
                <w:rFonts w:hint="default" w:ascii="宋体"/>
                <w:color w:val="000000"/>
                <w:kern w:val="0"/>
                <w:shd w:val="clear" w:color="auto" w:fill="FFFFFF"/>
              </w:rPr>
            </w:pPr>
          </w:p>
        </w:tc>
        <w:tc>
          <w:tcPr>
            <w:tcW w:w="1285" w:type="dxa"/>
            <w:tcBorders>
              <w:top w:val="nil"/>
              <w:left w:val="nil"/>
              <w:bottom w:val="nil"/>
              <w:right w:val="nil"/>
            </w:tcBorders>
            <w:shd w:val="clear" w:color="auto" w:fill="FFFFFF"/>
            <w:vAlign w:val="bottom"/>
          </w:tcPr>
          <w:p>
            <w:pPr>
              <w:jc w:val="left"/>
              <w:rPr>
                <w:rFonts w:hint="default" w:ascii="宋体"/>
                <w:color w:val="000000"/>
                <w:kern w:val="0"/>
                <w:shd w:val="clear" w:color="auto" w:fill="FFFFFF"/>
              </w:rPr>
            </w:pPr>
          </w:p>
        </w:tc>
        <w:tc>
          <w:tcPr>
            <w:tcW w:w="3857" w:type="dxa"/>
            <w:gridSpan w:val="3"/>
            <w:tcBorders>
              <w:top w:val="nil"/>
              <w:left w:val="nil"/>
              <w:bottom w:val="nil"/>
              <w:right w:val="nil"/>
            </w:tcBorders>
            <w:shd w:val="clear" w:color="auto" w:fill="FFFFFF"/>
            <w:vAlign w:val="bottom"/>
          </w:tcPr>
          <w:p>
            <w:pPr>
              <w:widowControl/>
              <w:jc w:val="right"/>
              <w:textAlignment w:val="bottom"/>
              <w:rPr>
                <w:rFonts w:hint="default" w:ascii="宋体"/>
                <w:color w:val="000000"/>
                <w:kern w:val="0"/>
                <w:shd w:val="clear" w:color="auto" w:fill="FFFFFF"/>
              </w:rPr>
            </w:pPr>
            <w:r>
              <w:rPr>
                <w:rFonts w:ascii="宋体" w:hAnsi="宋体" w:cs="宋体"/>
                <w:color w:val="000000"/>
                <w:kern w:val="0"/>
                <w:szCs w:val="21"/>
              </w:rPr>
              <w:t>公开08表</w:t>
            </w:r>
          </w:p>
        </w:tc>
      </w:tr>
      <w:tr>
        <w:tblPrEx>
          <w:tblCellMar>
            <w:top w:w="0" w:type="dxa"/>
            <w:left w:w="108" w:type="dxa"/>
            <w:bottom w:w="0" w:type="dxa"/>
            <w:right w:w="108" w:type="dxa"/>
          </w:tblCellMar>
        </w:tblPrEx>
        <w:trPr>
          <w:trHeight w:val="285" w:hRule="atLeast"/>
          <w:jc w:val="center"/>
        </w:trPr>
        <w:tc>
          <w:tcPr>
            <w:tcW w:w="2570" w:type="dxa"/>
            <w:tcBorders>
              <w:top w:val="nil"/>
              <w:left w:val="nil"/>
              <w:bottom w:val="nil"/>
              <w:right w:val="nil"/>
            </w:tcBorders>
            <w:shd w:val="clear" w:color="auto" w:fill="FFFFFF"/>
            <w:vAlign w:val="bottom"/>
          </w:tcPr>
          <w:p>
            <w:pPr>
              <w:widowControl/>
              <w:jc w:val="left"/>
              <w:textAlignment w:val="bottom"/>
              <w:rPr>
                <w:rFonts w:hint="default" w:ascii="宋体"/>
                <w:color w:val="000000"/>
                <w:kern w:val="0"/>
                <w:shd w:val="clear" w:color="auto" w:fill="FFFFFF"/>
              </w:rPr>
            </w:pPr>
            <w:r>
              <w:rPr>
                <w:rFonts w:ascii="宋体" w:hAnsi="宋体" w:cs="宋体"/>
                <w:color w:val="000000"/>
                <w:kern w:val="0"/>
                <w:szCs w:val="21"/>
              </w:rPr>
              <w:t>部门：</w:t>
            </w:r>
          </w:p>
        </w:tc>
        <w:tc>
          <w:tcPr>
            <w:tcW w:w="1097" w:type="dxa"/>
            <w:gridSpan w:val="2"/>
            <w:tcBorders>
              <w:top w:val="nil"/>
              <w:left w:val="nil"/>
              <w:bottom w:val="nil"/>
              <w:right w:val="nil"/>
            </w:tcBorders>
            <w:shd w:val="clear" w:color="auto" w:fill="FFFFFF"/>
            <w:vAlign w:val="bottom"/>
          </w:tcPr>
          <w:p>
            <w:pPr>
              <w:jc w:val="left"/>
              <w:rPr>
                <w:rFonts w:hint="default" w:ascii="宋体"/>
                <w:color w:val="000000"/>
                <w:kern w:val="0"/>
                <w:shd w:val="clear" w:color="auto" w:fill="FFFFFF"/>
              </w:rPr>
            </w:pPr>
          </w:p>
        </w:tc>
        <w:tc>
          <w:tcPr>
            <w:tcW w:w="1770" w:type="dxa"/>
            <w:tcBorders>
              <w:top w:val="nil"/>
              <w:left w:val="nil"/>
              <w:bottom w:val="nil"/>
              <w:right w:val="nil"/>
            </w:tcBorders>
            <w:shd w:val="clear" w:color="auto" w:fill="FFFFFF"/>
            <w:vAlign w:val="bottom"/>
          </w:tcPr>
          <w:p>
            <w:pPr>
              <w:jc w:val="left"/>
              <w:rPr>
                <w:rFonts w:hint="default" w:ascii="宋体"/>
                <w:color w:val="000000"/>
                <w:kern w:val="0"/>
                <w:shd w:val="clear" w:color="auto" w:fill="FFFFFF"/>
              </w:rPr>
            </w:pPr>
          </w:p>
        </w:tc>
        <w:tc>
          <w:tcPr>
            <w:tcW w:w="1862" w:type="dxa"/>
            <w:tcBorders>
              <w:top w:val="nil"/>
              <w:left w:val="nil"/>
              <w:bottom w:val="nil"/>
              <w:right w:val="nil"/>
            </w:tcBorders>
            <w:shd w:val="clear" w:color="auto" w:fill="FFFFFF"/>
            <w:vAlign w:val="bottom"/>
          </w:tcPr>
          <w:p>
            <w:pPr>
              <w:jc w:val="left"/>
              <w:rPr>
                <w:rFonts w:hint="default" w:ascii="宋体"/>
                <w:color w:val="000000"/>
                <w:kern w:val="0"/>
                <w:shd w:val="clear" w:color="auto" w:fill="FFFFFF"/>
              </w:rPr>
            </w:pPr>
          </w:p>
        </w:tc>
        <w:tc>
          <w:tcPr>
            <w:tcW w:w="1285" w:type="dxa"/>
            <w:tcBorders>
              <w:top w:val="nil"/>
              <w:left w:val="nil"/>
              <w:bottom w:val="nil"/>
              <w:right w:val="nil"/>
            </w:tcBorders>
            <w:shd w:val="clear" w:color="auto" w:fill="FFFFFF"/>
            <w:vAlign w:val="bottom"/>
          </w:tcPr>
          <w:p>
            <w:pPr>
              <w:jc w:val="left"/>
              <w:rPr>
                <w:rFonts w:hint="default" w:ascii="宋体"/>
                <w:color w:val="000000"/>
                <w:kern w:val="0"/>
                <w:shd w:val="clear" w:color="auto" w:fill="FFFFFF"/>
              </w:rPr>
            </w:pPr>
          </w:p>
        </w:tc>
        <w:tc>
          <w:tcPr>
            <w:tcW w:w="1285" w:type="dxa"/>
            <w:tcBorders>
              <w:top w:val="nil"/>
              <w:left w:val="nil"/>
              <w:bottom w:val="nil"/>
              <w:right w:val="nil"/>
            </w:tcBorders>
            <w:shd w:val="clear" w:color="auto" w:fill="FFFFFF"/>
            <w:vAlign w:val="bottom"/>
          </w:tcPr>
          <w:p>
            <w:pPr>
              <w:jc w:val="left"/>
              <w:rPr>
                <w:rFonts w:hint="default" w:ascii="宋体"/>
                <w:color w:val="000000"/>
                <w:kern w:val="0"/>
                <w:shd w:val="clear" w:color="auto" w:fill="FFFFFF"/>
              </w:rPr>
            </w:pPr>
          </w:p>
        </w:tc>
        <w:tc>
          <w:tcPr>
            <w:tcW w:w="3857" w:type="dxa"/>
            <w:gridSpan w:val="3"/>
            <w:tcBorders>
              <w:top w:val="nil"/>
              <w:left w:val="nil"/>
              <w:bottom w:val="nil"/>
              <w:right w:val="nil"/>
            </w:tcBorders>
            <w:shd w:val="clear" w:color="auto" w:fill="FFFFFF"/>
            <w:vAlign w:val="bottom"/>
          </w:tcPr>
          <w:p>
            <w:pPr>
              <w:widowControl/>
              <w:jc w:val="right"/>
              <w:textAlignment w:val="bottom"/>
              <w:rPr>
                <w:rFonts w:hint="default" w:ascii="宋体"/>
                <w:color w:val="000000"/>
                <w:kern w:val="0"/>
                <w:shd w:val="clear" w:color="auto" w:fill="FFFFFF"/>
              </w:rPr>
            </w:pPr>
            <w:r>
              <w:rPr>
                <w:rFonts w:ascii="宋体" w:hAnsi="宋体" w:cs="宋体"/>
                <w:color w:val="000000"/>
                <w:kern w:val="0"/>
                <w:szCs w:val="21"/>
              </w:rPr>
              <w:t>单位：万元</w:t>
            </w:r>
          </w:p>
        </w:tc>
      </w:tr>
      <w:tr>
        <w:tblPrEx>
          <w:tblCellMar>
            <w:top w:w="0" w:type="dxa"/>
            <w:left w:w="108" w:type="dxa"/>
            <w:bottom w:w="0" w:type="dxa"/>
            <w:right w:w="108" w:type="dxa"/>
          </w:tblCellMar>
        </w:tblPrEx>
        <w:trPr>
          <w:trHeight w:val="600" w:hRule="atLeast"/>
          <w:jc w:val="center"/>
        </w:trPr>
        <w:tc>
          <w:tcPr>
            <w:tcW w:w="5437"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宋体"/>
                <w:color w:val="000000"/>
                <w:kern w:val="0"/>
              </w:rPr>
            </w:pPr>
            <w:r>
              <w:rPr>
                <w:rFonts w:ascii="宋体" w:hAnsi="宋体" w:cs="宋体"/>
                <w:color w:val="000000"/>
                <w:kern w:val="0"/>
                <w:szCs w:val="21"/>
              </w:rPr>
              <w:t>项目</w:t>
            </w:r>
          </w:p>
        </w:tc>
        <w:tc>
          <w:tcPr>
            <w:tcW w:w="1862" w:type="dxa"/>
            <w:vMerge w:val="restart"/>
            <w:tcBorders>
              <w:top w:val="single" w:color="000000" w:sz="4" w:space="0"/>
              <w:left w:val="nil"/>
              <w:bottom w:val="single" w:color="000000" w:sz="4" w:space="0"/>
              <w:right w:val="single" w:color="000000" w:sz="4" w:space="0"/>
            </w:tcBorders>
            <w:vAlign w:val="center"/>
          </w:tcPr>
          <w:p>
            <w:pPr>
              <w:widowControl/>
              <w:jc w:val="center"/>
              <w:textAlignment w:val="center"/>
              <w:rPr>
                <w:rFonts w:hint="default" w:ascii="宋体"/>
                <w:color w:val="000000"/>
                <w:kern w:val="0"/>
              </w:rPr>
            </w:pPr>
            <w:r>
              <w:rPr>
                <w:rFonts w:ascii="宋体" w:hAnsi="宋体" w:cs="宋体"/>
                <w:color w:val="000000"/>
                <w:kern w:val="0"/>
                <w:szCs w:val="21"/>
              </w:rPr>
              <w:t>年初结转和结余</w:t>
            </w:r>
          </w:p>
        </w:tc>
        <w:tc>
          <w:tcPr>
            <w:tcW w:w="1285" w:type="dxa"/>
            <w:vMerge w:val="restart"/>
            <w:tcBorders>
              <w:top w:val="single" w:color="000000" w:sz="4" w:space="0"/>
              <w:left w:val="nil"/>
              <w:bottom w:val="single" w:color="000000" w:sz="4" w:space="0"/>
              <w:right w:val="single" w:color="000000" w:sz="4" w:space="0"/>
            </w:tcBorders>
            <w:vAlign w:val="center"/>
          </w:tcPr>
          <w:p>
            <w:pPr>
              <w:widowControl/>
              <w:jc w:val="center"/>
              <w:textAlignment w:val="center"/>
              <w:rPr>
                <w:rFonts w:hint="default" w:ascii="宋体"/>
                <w:color w:val="000000"/>
                <w:kern w:val="0"/>
              </w:rPr>
            </w:pPr>
            <w:r>
              <w:rPr>
                <w:rFonts w:ascii="宋体" w:hAnsi="宋体" w:cs="宋体"/>
                <w:color w:val="000000"/>
                <w:kern w:val="0"/>
                <w:szCs w:val="21"/>
              </w:rPr>
              <w:t>本年收入</w:t>
            </w:r>
          </w:p>
        </w:tc>
        <w:tc>
          <w:tcPr>
            <w:tcW w:w="3856" w:type="dxa"/>
            <w:gridSpan w:val="3"/>
            <w:tcBorders>
              <w:top w:val="single" w:color="000000" w:sz="4" w:space="0"/>
              <w:left w:val="nil"/>
              <w:bottom w:val="single" w:color="000000" w:sz="4" w:space="0"/>
              <w:right w:val="single" w:color="000000" w:sz="4" w:space="0"/>
            </w:tcBorders>
            <w:vAlign w:val="center"/>
          </w:tcPr>
          <w:p>
            <w:pPr>
              <w:widowControl/>
              <w:jc w:val="center"/>
              <w:textAlignment w:val="center"/>
              <w:rPr>
                <w:rFonts w:hint="default"/>
              </w:rPr>
            </w:pPr>
            <w:r>
              <w:rPr>
                <w:rFonts w:ascii="宋体" w:hAnsi="宋体" w:cs="宋体"/>
                <w:color w:val="000000"/>
                <w:kern w:val="0"/>
                <w:szCs w:val="21"/>
              </w:rPr>
              <w:t>本年支出</w:t>
            </w:r>
          </w:p>
        </w:tc>
        <w:tc>
          <w:tcPr>
            <w:tcW w:w="1286" w:type="dxa"/>
            <w:vMerge w:val="restart"/>
            <w:tcBorders>
              <w:top w:val="single" w:color="000000" w:sz="4" w:space="0"/>
              <w:left w:val="nil"/>
              <w:bottom w:val="single" w:color="000000" w:sz="4" w:space="0"/>
              <w:right w:val="single" w:color="000000" w:sz="4" w:space="0"/>
            </w:tcBorders>
            <w:vAlign w:val="center"/>
          </w:tcPr>
          <w:p>
            <w:pPr>
              <w:widowControl/>
              <w:jc w:val="center"/>
              <w:textAlignment w:val="center"/>
              <w:rPr>
                <w:rFonts w:hint="default" w:ascii="宋体"/>
                <w:color w:val="000000"/>
                <w:kern w:val="0"/>
              </w:rPr>
            </w:pPr>
            <w:r>
              <w:rPr>
                <w:rFonts w:ascii="宋体" w:hAnsi="宋体" w:cs="宋体"/>
                <w:color w:val="000000"/>
                <w:kern w:val="0"/>
                <w:szCs w:val="21"/>
              </w:rPr>
              <w:t xml:space="preserve"> 年末结转和结余 </w:t>
            </w:r>
          </w:p>
        </w:tc>
      </w:tr>
      <w:tr>
        <w:tblPrEx>
          <w:tblCellMar>
            <w:top w:w="0" w:type="dxa"/>
            <w:left w:w="108" w:type="dxa"/>
            <w:bottom w:w="0" w:type="dxa"/>
            <w:right w:w="108" w:type="dxa"/>
          </w:tblCellMar>
        </w:tblPrEx>
        <w:trPr>
          <w:trHeight w:val="595" w:hRule="atLeast"/>
          <w:jc w:val="center"/>
        </w:trPr>
        <w:tc>
          <w:tcPr>
            <w:tcW w:w="282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default" w:ascii="宋体"/>
                <w:color w:val="000000"/>
                <w:kern w:val="0"/>
              </w:rPr>
            </w:pPr>
            <w:r>
              <w:rPr>
                <w:rFonts w:ascii="宋体"/>
                <w:color w:val="000000"/>
                <w:kern w:val="0"/>
              </w:rPr>
              <w:t>功能分类科目编码</w:t>
            </w:r>
          </w:p>
        </w:tc>
        <w:tc>
          <w:tcPr>
            <w:tcW w:w="2613" w:type="dxa"/>
            <w:gridSpan w:val="2"/>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r>
              <w:rPr>
                <w:rFonts w:ascii="宋体"/>
                <w:color w:val="000000"/>
                <w:kern w:val="0"/>
              </w:rPr>
              <w:t>科目名称</w:t>
            </w:r>
          </w:p>
        </w:tc>
        <w:tc>
          <w:tcPr>
            <w:tcW w:w="1862" w:type="dxa"/>
            <w:vMerge w:val="continue"/>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5" w:type="dxa"/>
            <w:vMerge w:val="continue"/>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default" w:ascii="宋体"/>
                <w:color w:val="000000"/>
                <w:kern w:val="0"/>
              </w:rPr>
            </w:pPr>
            <w:r>
              <w:rPr>
                <w:rFonts w:ascii="宋体" w:hAnsi="宋体" w:cs="宋体"/>
                <w:color w:val="000000"/>
                <w:kern w:val="0"/>
                <w:szCs w:val="21"/>
              </w:rPr>
              <w:t>小计</w:t>
            </w:r>
          </w:p>
        </w:tc>
        <w:tc>
          <w:tcPr>
            <w:tcW w:w="1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default" w:ascii="宋体"/>
                <w:color w:val="000000"/>
                <w:kern w:val="0"/>
              </w:rPr>
            </w:pPr>
            <w:r>
              <w:rPr>
                <w:rFonts w:ascii="宋体" w:hAnsi="宋体" w:cs="宋体"/>
                <w:color w:val="000000"/>
                <w:kern w:val="0"/>
                <w:szCs w:val="21"/>
              </w:rPr>
              <w:t>基本支出</w:t>
            </w:r>
          </w:p>
        </w:tc>
        <w:tc>
          <w:tcPr>
            <w:tcW w:w="128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default" w:ascii="宋体"/>
                <w:color w:val="000000"/>
                <w:kern w:val="0"/>
              </w:rPr>
            </w:pPr>
            <w:r>
              <w:rPr>
                <w:rFonts w:ascii="宋体" w:hAnsi="宋体" w:cs="宋体"/>
                <w:color w:val="000000"/>
                <w:kern w:val="0"/>
                <w:szCs w:val="21"/>
              </w:rPr>
              <w:t>项目支出</w:t>
            </w:r>
          </w:p>
        </w:tc>
        <w:tc>
          <w:tcPr>
            <w:tcW w:w="1286" w:type="dxa"/>
            <w:vMerge w:val="continue"/>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r>
      <w:tr>
        <w:tblPrEx>
          <w:tblCellMar>
            <w:top w:w="0" w:type="dxa"/>
            <w:left w:w="108" w:type="dxa"/>
            <w:bottom w:w="0" w:type="dxa"/>
            <w:right w:w="108" w:type="dxa"/>
          </w:tblCellMar>
        </w:tblPrEx>
        <w:trPr>
          <w:trHeight w:val="390" w:hRule="atLeast"/>
          <w:jc w:val="center"/>
        </w:trPr>
        <w:tc>
          <w:tcPr>
            <w:tcW w:w="5437" w:type="dxa"/>
            <w:gridSpan w:val="4"/>
            <w:tcBorders>
              <w:top w:val="nil"/>
              <w:left w:val="single" w:color="000000" w:sz="4" w:space="0"/>
              <w:bottom w:val="single" w:color="000000" w:sz="4" w:space="0"/>
              <w:right w:val="single" w:color="000000" w:sz="4" w:space="0"/>
            </w:tcBorders>
            <w:vAlign w:val="center"/>
          </w:tcPr>
          <w:p>
            <w:pPr>
              <w:widowControl/>
              <w:jc w:val="center"/>
              <w:textAlignment w:val="center"/>
              <w:rPr>
                <w:rFonts w:hint="default" w:ascii="宋体"/>
                <w:color w:val="000000"/>
                <w:kern w:val="0"/>
              </w:rPr>
            </w:pPr>
            <w:r>
              <w:rPr>
                <w:rFonts w:ascii="宋体" w:hAnsi="宋体" w:cs="宋体"/>
                <w:color w:val="000000"/>
                <w:kern w:val="0"/>
                <w:szCs w:val="21"/>
              </w:rPr>
              <w:t>栏次</w:t>
            </w:r>
          </w:p>
        </w:tc>
        <w:tc>
          <w:tcPr>
            <w:tcW w:w="1862"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default" w:ascii="宋体"/>
                <w:color w:val="000000"/>
                <w:kern w:val="0"/>
              </w:rPr>
            </w:pPr>
            <w:r>
              <w:rPr>
                <w:rFonts w:ascii="宋体" w:hAnsi="宋体" w:cs="宋体"/>
                <w:color w:val="000000"/>
                <w:kern w:val="0"/>
                <w:szCs w:val="21"/>
              </w:rPr>
              <w:t>1</w:t>
            </w:r>
          </w:p>
        </w:tc>
        <w:tc>
          <w:tcPr>
            <w:tcW w:w="1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default" w:ascii="宋体"/>
                <w:color w:val="000000"/>
                <w:kern w:val="0"/>
              </w:rPr>
            </w:pPr>
            <w:r>
              <w:rPr>
                <w:rFonts w:ascii="宋体" w:hAnsi="宋体" w:cs="宋体"/>
                <w:color w:val="000000"/>
                <w:kern w:val="0"/>
                <w:szCs w:val="21"/>
              </w:rPr>
              <w:t>2</w:t>
            </w:r>
          </w:p>
        </w:tc>
        <w:tc>
          <w:tcPr>
            <w:tcW w:w="1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default" w:ascii="宋体"/>
                <w:color w:val="000000"/>
                <w:kern w:val="0"/>
              </w:rPr>
            </w:pPr>
            <w:r>
              <w:rPr>
                <w:rFonts w:ascii="宋体" w:hAnsi="宋体" w:cs="宋体"/>
                <w:color w:val="000000"/>
                <w:kern w:val="0"/>
                <w:szCs w:val="21"/>
              </w:rPr>
              <w:t>3</w:t>
            </w:r>
          </w:p>
        </w:tc>
        <w:tc>
          <w:tcPr>
            <w:tcW w:w="1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default" w:ascii="宋体"/>
                <w:color w:val="000000"/>
                <w:kern w:val="0"/>
              </w:rPr>
            </w:pPr>
            <w:r>
              <w:rPr>
                <w:rFonts w:ascii="宋体" w:hAnsi="宋体" w:cs="宋体"/>
                <w:color w:val="000000"/>
                <w:kern w:val="0"/>
                <w:szCs w:val="21"/>
              </w:rPr>
              <w:t>4</w:t>
            </w:r>
          </w:p>
        </w:tc>
        <w:tc>
          <w:tcPr>
            <w:tcW w:w="128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default" w:ascii="宋体"/>
                <w:color w:val="000000"/>
                <w:kern w:val="0"/>
              </w:rPr>
            </w:pPr>
            <w:r>
              <w:rPr>
                <w:rFonts w:ascii="宋体" w:hAnsi="宋体" w:cs="宋体"/>
                <w:color w:val="000000"/>
                <w:kern w:val="0"/>
                <w:szCs w:val="21"/>
              </w:rPr>
              <w:t>5</w:t>
            </w:r>
          </w:p>
        </w:tc>
        <w:tc>
          <w:tcPr>
            <w:tcW w:w="128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default" w:ascii="宋体"/>
                <w:color w:val="000000"/>
                <w:kern w:val="0"/>
              </w:rPr>
            </w:pPr>
            <w:r>
              <w:rPr>
                <w:rFonts w:ascii="宋体" w:hAnsi="宋体" w:cs="宋体"/>
                <w:color w:val="000000"/>
                <w:kern w:val="0"/>
                <w:szCs w:val="21"/>
              </w:rPr>
              <w:t>6</w:t>
            </w:r>
          </w:p>
        </w:tc>
      </w:tr>
      <w:tr>
        <w:tblPrEx>
          <w:tblCellMar>
            <w:top w:w="0" w:type="dxa"/>
            <w:left w:w="108" w:type="dxa"/>
            <w:bottom w:w="0" w:type="dxa"/>
            <w:right w:w="108" w:type="dxa"/>
          </w:tblCellMar>
        </w:tblPrEx>
        <w:trPr>
          <w:trHeight w:val="480" w:hRule="atLeast"/>
          <w:jc w:val="center"/>
        </w:trPr>
        <w:tc>
          <w:tcPr>
            <w:tcW w:w="5437" w:type="dxa"/>
            <w:gridSpan w:val="4"/>
            <w:tcBorders>
              <w:top w:val="nil"/>
              <w:left w:val="single" w:color="000000" w:sz="4" w:space="0"/>
              <w:bottom w:val="single" w:color="000000" w:sz="4" w:space="0"/>
              <w:right w:val="single" w:color="000000" w:sz="4" w:space="0"/>
            </w:tcBorders>
            <w:vAlign w:val="center"/>
          </w:tcPr>
          <w:p>
            <w:pPr>
              <w:widowControl/>
              <w:jc w:val="center"/>
              <w:textAlignment w:val="center"/>
              <w:rPr>
                <w:rFonts w:hint="default" w:ascii="宋体"/>
                <w:color w:val="000000"/>
                <w:kern w:val="0"/>
              </w:rPr>
            </w:pPr>
            <w:r>
              <w:rPr>
                <w:rFonts w:ascii="宋体" w:hAnsi="宋体" w:cs="宋体"/>
                <w:color w:val="000000"/>
                <w:kern w:val="0"/>
                <w:szCs w:val="21"/>
              </w:rPr>
              <w:t>合计</w:t>
            </w:r>
          </w:p>
        </w:tc>
        <w:tc>
          <w:tcPr>
            <w:tcW w:w="1862"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5"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5"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5"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6"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6"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r>
      <w:tr>
        <w:tblPrEx>
          <w:tblCellMar>
            <w:top w:w="0" w:type="dxa"/>
            <w:left w:w="108" w:type="dxa"/>
            <w:bottom w:w="0" w:type="dxa"/>
            <w:right w:w="108" w:type="dxa"/>
          </w:tblCellMar>
        </w:tblPrEx>
        <w:trPr>
          <w:trHeight w:val="480" w:hRule="atLeast"/>
          <w:jc w:val="center"/>
        </w:trPr>
        <w:tc>
          <w:tcPr>
            <w:tcW w:w="282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default" w:ascii="宋体"/>
                <w:color w:val="000000"/>
                <w:kern w:val="0"/>
              </w:rPr>
            </w:pPr>
          </w:p>
        </w:tc>
        <w:tc>
          <w:tcPr>
            <w:tcW w:w="2613" w:type="dxa"/>
            <w:gridSpan w:val="2"/>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862"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5"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5"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5"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6"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6"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r>
      <w:tr>
        <w:tblPrEx>
          <w:tblCellMar>
            <w:top w:w="0" w:type="dxa"/>
            <w:left w:w="108" w:type="dxa"/>
            <w:bottom w:w="0" w:type="dxa"/>
            <w:right w:w="108" w:type="dxa"/>
          </w:tblCellMar>
        </w:tblPrEx>
        <w:trPr>
          <w:trHeight w:val="480" w:hRule="atLeast"/>
          <w:jc w:val="center"/>
        </w:trPr>
        <w:tc>
          <w:tcPr>
            <w:tcW w:w="282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default" w:ascii="宋体"/>
                <w:color w:val="000000"/>
                <w:kern w:val="0"/>
              </w:rPr>
            </w:pPr>
          </w:p>
        </w:tc>
        <w:tc>
          <w:tcPr>
            <w:tcW w:w="2613" w:type="dxa"/>
            <w:gridSpan w:val="2"/>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862"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5"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5"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5"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6"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6"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r>
      <w:tr>
        <w:tblPrEx>
          <w:tblCellMar>
            <w:top w:w="0" w:type="dxa"/>
            <w:left w:w="108" w:type="dxa"/>
            <w:bottom w:w="0" w:type="dxa"/>
            <w:right w:w="108" w:type="dxa"/>
          </w:tblCellMar>
        </w:tblPrEx>
        <w:trPr>
          <w:trHeight w:val="480" w:hRule="atLeast"/>
          <w:jc w:val="center"/>
        </w:trPr>
        <w:tc>
          <w:tcPr>
            <w:tcW w:w="282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default" w:ascii="宋体"/>
                <w:color w:val="000000"/>
                <w:kern w:val="0"/>
              </w:rPr>
            </w:pPr>
          </w:p>
        </w:tc>
        <w:tc>
          <w:tcPr>
            <w:tcW w:w="2613" w:type="dxa"/>
            <w:gridSpan w:val="2"/>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862"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5"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5"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5"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6"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6"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r>
      <w:tr>
        <w:tblPrEx>
          <w:tblCellMar>
            <w:top w:w="0" w:type="dxa"/>
            <w:left w:w="108" w:type="dxa"/>
            <w:bottom w:w="0" w:type="dxa"/>
            <w:right w:w="108" w:type="dxa"/>
          </w:tblCellMar>
        </w:tblPrEx>
        <w:trPr>
          <w:trHeight w:val="480" w:hRule="atLeast"/>
          <w:jc w:val="center"/>
        </w:trPr>
        <w:tc>
          <w:tcPr>
            <w:tcW w:w="282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default" w:ascii="宋体"/>
                <w:color w:val="000000"/>
                <w:kern w:val="0"/>
              </w:rPr>
            </w:pPr>
          </w:p>
        </w:tc>
        <w:tc>
          <w:tcPr>
            <w:tcW w:w="2613" w:type="dxa"/>
            <w:gridSpan w:val="2"/>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862"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5"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5"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5"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6"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6"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r>
      <w:tr>
        <w:tblPrEx>
          <w:tblCellMar>
            <w:top w:w="0" w:type="dxa"/>
            <w:left w:w="108" w:type="dxa"/>
            <w:bottom w:w="0" w:type="dxa"/>
            <w:right w:w="108" w:type="dxa"/>
          </w:tblCellMar>
        </w:tblPrEx>
        <w:trPr>
          <w:trHeight w:val="480" w:hRule="atLeast"/>
          <w:jc w:val="center"/>
        </w:trPr>
        <w:tc>
          <w:tcPr>
            <w:tcW w:w="282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default" w:ascii="宋体"/>
                <w:color w:val="000000"/>
                <w:kern w:val="0"/>
              </w:rPr>
            </w:pPr>
          </w:p>
        </w:tc>
        <w:tc>
          <w:tcPr>
            <w:tcW w:w="2613" w:type="dxa"/>
            <w:gridSpan w:val="2"/>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862"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5"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5"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5"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6"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6"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r>
      <w:tr>
        <w:tblPrEx>
          <w:tblCellMar>
            <w:top w:w="0" w:type="dxa"/>
            <w:left w:w="108" w:type="dxa"/>
            <w:bottom w:w="0" w:type="dxa"/>
            <w:right w:w="108" w:type="dxa"/>
          </w:tblCellMar>
        </w:tblPrEx>
        <w:trPr>
          <w:trHeight w:val="480" w:hRule="atLeast"/>
          <w:jc w:val="center"/>
        </w:trPr>
        <w:tc>
          <w:tcPr>
            <w:tcW w:w="282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default" w:ascii="宋体"/>
                <w:color w:val="000000"/>
                <w:kern w:val="0"/>
              </w:rPr>
            </w:pPr>
          </w:p>
        </w:tc>
        <w:tc>
          <w:tcPr>
            <w:tcW w:w="2613" w:type="dxa"/>
            <w:gridSpan w:val="2"/>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862"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5"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5"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5"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6"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1286"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r>
    </w:tbl>
    <w:p>
      <w:pPr>
        <w:widowControl/>
        <w:spacing w:line="560" w:lineRule="atLeast"/>
        <w:jc w:val="left"/>
        <w:rPr>
          <w:rFonts w:hint="default" w:ascii="宋体" w:hAnsi="宋体" w:cs="宋体"/>
          <w:kern w:val="0"/>
          <w:szCs w:val="21"/>
        </w:rPr>
      </w:pPr>
    </w:p>
    <w:p>
      <w:pPr>
        <w:widowControl/>
        <w:spacing w:line="560" w:lineRule="atLeast"/>
        <w:jc w:val="left"/>
        <w:rPr>
          <w:rFonts w:ascii="仿宋_GB2312" w:hAnsi="宋体" w:eastAsia="仿宋_GB2312"/>
          <w:kern w:val="0"/>
          <w:sz w:val="24"/>
        </w:rPr>
      </w:pPr>
      <w:r>
        <w:rPr>
          <w:rFonts w:ascii="宋体" w:hAnsi="宋体" w:cs="宋体"/>
          <w:kern w:val="0"/>
          <w:szCs w:val="21"/>
        </w:rPr>
        <w:t>注：1.本表反映部门本年度政府性基金预算财政拨款收入、支出及结转和结余情况。2.本套报表金额单位转换时可能存在尾数误差。3.如本表为空，则我部门本年度无此类资金收支余。</w:t>
      </w:r>
    </w:p>
    <w:p>
      <w:pPr>
        <w:widowControl/>
        <w:spacing w:line="560" w:lineRule="atLeast"/>
        <w:rPr>
          <w:rFonts w:ascii="仿宋_GB2312" w:hAnsi="宋体" w:eastAsia="仿宋_GB2312"/>
          <w:kern w:val="0"/>
          <w:sz w:val="24"/>
        </w:rPr>
      </w:pPr>
    </w:p>
    <w:p>
      <w:pPr>
        <w:widowControl/>
        <w:spacing w:line="560" w:lineRule="atLeast"/>
        <w:rPr>
          <w:rFonts w:ascii="仿宋_GB2312" w:hAnsi="宋体" w:eastAsia="仿宋_GB2312"/>
          <w:kern w:val="0"/>
          <w:sz w:val="24"/>
        </w:rPr>
      </w:pPr>
    </w:p>
    <w:p>
      <w:pPr>
        <w:widowControl/>
        <w:spacing w:line="560" w:lineRule="atLeast"/>
        <w:rPr>
          <w:rFonts w:hint="default" w:ascii="仿宋_GB2312" w:hAnsi="宋体" w:eastAsia="仿宋_GB2312"/>
          <w:kern w:val="0"/>
          <w:sz w:val="24"/>
        </w:rPr>
      </w:pPr>
      <w:r>
        <w:rPr>
          <w:rFonts w:ascii="仿宋_GB2312" w:hAnsi="宋体" w:eastAsia="仿宋_GB2312"/>
          <w:kern w:val="0"/>
          <w:sz w:val="24"/>
        </w:rPr>
        <w:t>附件1-7</w:t>
      </w:r>
    </w:p>
    <w:tbl>
      <w:tblPr>
        <w:tblStyle w:val="5"/>
        <w:tblW w:w="12860" w:type="dxa"/>
        <w:jc w:val="center"/>
        <w:tblLayout w:type="fixed"/>
        <w:tblCellMar>
          <w:top w:w="0" w:type="dxa"/>
          <w:left w:w="108" w:type="dxa"/>
          <w:bottom w:w="0" w:type="dxa"/>
          <w:right w:w="108" w:type="dxa"/>
        </w:tblCellMar>
      </w:tblPr>
      <w:tblGrid>
        <w:gridCol w:w="5087"/>
        <w:gridCol w:w="4143"/>
        <w:gridCol w:w="3630"/>
      </w:tblGrid>
      <w:tr>
        <w:tblPrEx>
          <w:tblCellMar>
            <w:top w:w="0" w:type="dxa"/>
            <w:left w:w="108" w:type="dxa"/>
            <w:bottom w:w="0" w:type="dxa"/>
            <w:right w:w="108" w:type="dxa"/>
          </w:tblCellMar>
        </w:tblPrEx>
        <w:trPr>
          <w:trHeight w:val="495" w:hRule="atLeast"/>
          <w:jc w:val="center"/>
        </w:trPr>
        <w:tc>
          <w:tcPr>
            <w:tcW w:w="12860" w:type="dxa"/>
            <w:gridSpan w:val="3"/>
            <w:tcBorders>
              <w:top w:val="nil"/>
              <w:left w:val="nil"/>
              <w:bottom w:val="nil"/>
              <w:right w:val="nil"/>
            </w:tcBorders>
            <w:vAlign w:val="center"/>
          </w:tcPr>
          <w:p>
            <w:pPr>
              <w:widowControl/>
              <w:jc w:val="center"/>
              <w:rPr>
                <w:rFonts w:hint="default" w:ascii="宋体"/>
                <w:b/>
                <w:color w:val="000000"/>
                <w:kern w:val="0"/>
                <w:sz w:val="32"/>
              </w:rPr>
            </w:pPr>
            <w:r>
              <w:rPr>
                <w:rFonts w:ascii="宋体" w:hAnsi="宋体"/>
                <w:b/>
                <w:color w:val="000000"/>
                <w:kern w:val="0"/>
                <w:sz w:val="32"/>
              </w:rPr>
              <w:t>一般公共预算财政拨款“三公”经费支出决算表</w:t>
            </w:r>
          </w:p>
        </w:tc>
      </w:tr>
      <w:tr>
        <w:tblPrEx>
          <w:tblCellMar>
            <w:top w:w="0" w:type="dxa"/>
            <w:left w:w="108" w:type="dxa"/>
            <w:bottom w:w="0" w:type="dxa"/>
            <w:right w:w="108" w:type="dxa"/>
          </w:tblCellMar>
        </w:tblPrEx>
        <w:trPr>
          <w:trHeight w:val="300" w:hRule="atLeast"/>
          <w:jc w:val="center"/>
        </w:trPr>
        <w:tc>
          <w:tcPr>
            <w:tcW w:w="5087" w:type="dxa"/>
            <w:tcBorders>
              <w:top w:val="nil"/>
              <w:left w:val="nil"/>
              <w:bottom w:val="nil"/>
              <w:right w:val="nil"/>
            </w:tcBorders>
            <w:shd w:val="clear" w:color="auto" w:fill="FFFFFF"/>
            <w:vAlign w:val="center"/>
          </w:tcPr>
          <w:p>
            <w:pPr>
              <w:widowControl/>
              <w:shd w:val="clear" w:color="auto" w:fill="FFFFFF"/>
              <w:jc w:val="center"/>
              <w:rPr>
                <w:rFonts w:hint="default" w:ascii="宋体"/>
                <w:color w:val="000000"/>
                <w:kern w:val="0"/>
                <w:sz w:val="20"/>
                <w:shd w:val="clear" w:color="auto" w:fill="FFFFFF"/>
              </w:rPr>
            </w:pPr>
          </w:p>
        </w:tc>
        <w:tc>
          <w:tcPr>
            <w:tcW w:w="4143" w:type="dxa"/>
            <w:tcBorders>
              <w:top w:val="nil"/>
              <w:left w:val="nil"/>
              <w:bottom w:val="nil"/>
              <w:right w:val="nil"/>
            </w:tcBorders>
            <w:shd w:val="clear" w:color="auto" w:fill="FFFFFF"/>
            <w:vAlign w:val="center"/>
          </w:tcPr>
          <w:p>
            <w:pPr>
              <w:widowControl/>
              <w:shd w:val="clear" w:color="auto" w:fill="FFFFFF"/>
              <w:jc w:val="center"/>
              <w:rPr>
                <w:rFonts w:hint="default" w:ascii="宋体"/>
                <w:color w:val="000000"/>
                <w:kern w:val="0"/>
                <w:sz w:val="20"/>
                <w:shd w:val="clear" w:color="auto" w:fill="FFFFFF"/>
              </w:rPr>
            </w:pPr>
          </w:p>
        </w:tc>
        <w:tc>
          <w:tcPr>
            <w:tcW w:w="3630"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24"/>
                <w:shd w:val="clear" w:color="auto" w:fill="FFFFFF"/>
              </w:rPr>
            </w:pPr>
            <w:r>
              <w:rPr>
                <w:rFonts w:ascii="宋体" w:hAnsi="宋体"/>
                <w:color w:val="000000"/>
                <w:kern w:val="0"/>
                <w:sz w:val="24"/>
                <w:shd w:val="clear" w:color="auto" w:fill="FFFFFF"/>
              </w:rPr>
              <w:t>公开07表</w:t>
            </w:r>
          </w:p>
        </w:tc>
      </w:tr>
      <w:tr>
        <w:tblPrEx>
          <w:tblCellMar>
            <w:top w:w="0" w:type="dxa"/>
            <w:left w:w="108" w:type="dxa"/>
            <w:bottom w:w="0" w:type="dxa"/>
            <w:right w:w="108" w:type="dxa"/>
          </w:tblCellMar>
        </w:tblPrEx>
        <w:trPr>
          <w:trHeight w:val="300" w:hRule="atLeast"/>
          <w:jc w:val="center"/>
        </w:trPr>
        <w:tc>
          <w:tcPr>
            <w:tcW w:w="5087" w:type="dxa"/>
            <w:tcBorders>
              <w:top w:val="nil"/>
              <w:left w:val="nil"/>
              <w:bottom w:val="nil"/>
              <w:right w:val="nil"/>
            </w:tcBorders>
            <w:shd w:val="clear" w:color="auto" w:fill="FFFFFF"/>
            <w:vAlign w:val="center"/>
          </w:tcPr>
          <w:p>
            <w:pPr>
              <w:widowControl/>
              <w:shd w:val="clear" w:color="auto" w:fill="FFFFFF"/>
              <w:jc w:val="left"/>
              <w:rPr>
                <w:rFonts w:hint="default" w:ascii="宋体"/>
                <w:color w:val="000000"/>
                <w:kern w:val="0"/>
                <w:sz w:val="22"/>
                <w:shd w:val="clear" w:color="auto" w:fill="FFFFFF"/>
              </w:rPr>
            </w:pPr>
            <w:r>
              <w:rPr>
                <w:rFonts w:ascii="宋体" w:hAnsi="宋体"/>
                <w:color w:val="000000"/>
                <w:kern w:val="0"/>
                <w:sz w:val="22"/>
                <w:shd w:val="clear" w:color="auto" w:fill="FFFFFF"/>
              </w:rPr>
              <w:t>部门名称：</w:t>
            </w:r>
          </w:p>
        </w:tc>
        <w:tc>
          <w:tcPr>
            <w:tcW w:w="4143" w:type="dxa"/>
            <w:tcBorders>
              <w:top w:val="nil"/>
              <w:left w:val="nil"/>
              <w:bottom w:val="nil"/>
              <w:right w:val="nil"/>
            </w:tcBorders>
            <w:shd w:val="clear" w:color="auto" w:fill="FFFFFF"/>
            <w:vAlign w:val="center"/>
          </w:tcPr>
          <w:p>
            <w:pPr>
              <w:widowControl/>
              <w:shd w:val="clear" w:color="auto" w:fill="FFFFFF"/>
              <w:jc w:val="center"/>
              <w:rPr>
                <w:rFonts w:hint="default" w:ascii="宋体"/>
                <w:color w:val="000000"/>
                <w:kern w:val="0"/>
                <w:sz w:val="22"/>
                <w:shd w:val="clear" w:color="auto" w:fill="FFFFFF"/>
              </w:rPr>
            </w:pPr>
          </w:p>
        </w:tc>
        <w:tc>
          <w:tcPr>
            <w:tcW w:w="3630" w:type="dxa"/>
            <w:tcBorders>
              <w:top w:val="nil"/>
              <w:left w:val="nil"/>
              <w:bottom w:val="nil"/>
              <w:right w:val="nil"/>
            </w:tcBorders>
            <w:shd w:val="clear" w:color="auto" w:fill="FFFFFF"/>
            <w:vAlign w:val="center"/>
          </w:tcPr>
          <w:p>
            <w:pPr>
              <w:widowControl/>
              <w:shd w:val="clear" w:color="auto" w:fill="FFFFFF"/>
              <w:jc w:val="right"/>
              <w:rPr>
                <w:rFonts w:hint="default" w:ascii="宋体"/>
                <w:color w:val="000000"/>
                <w:kern w:val="0"/>
                <w:sz w:val="24"/>
                <w:shd w:val="clear" w:color="auto" w:fill="FFFFFF"/>
              </w:rPr>
            </w:pPr>
            <w:r>
              <w:rPr>
                <w:rFonts w:ascii="宋体" w:hAnsi="宋体"/>
                <w:color w:val="000000"/>
                <w:kern w:val="0"/>
                <w:sz w:val="24"/>
                <w:shd w:val="clear" w:color="auto" w:fill="FFFFFF"/>
              </w:rPr>
              <w:t>单位：万元</w:t>
            </w:r>
          </w:p>
        </w:tc>
      </w:tr>
      <w:tr>
        <w:tblPrEx>
          <w:tblCellMar>
            <w:top w:w="0" w:type="dxa"/>
            <w:left w:w="108" w:type="dxa"/>
            <w:bottom w:w="0" w:type="dxa"/>
            <w:right w:w="108" w:type="dxa"/>
          </w:tblCellMar>
        </w:tblPrEx>
        <w:trPr>
          <w:trHeight w:val="600" w:hRule="atLeast"/>
          <w:jc w:val="center"/>
        </w:trPr>
        <w:tc>
          <w:tcPr>
            <w:tcW w:w="508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黑体" w:hAnsi="宋体" w:eastAsia="黑体"/>
                <w:color w:val="000000"/>
                <w:kern w:val="0"/>
                <w:sz w:val="24"/>
              </w:rPr>
            </w:pPr>
            <w:r>
              <w:rPr>
                <w:rFonts w:ascii="黑体" w:hAnsi="宋体" w:eastAsia="黑体"/>
                <w:color w:val="000000"/>
                <w:kern w:val="0"/>
                <w:sz w:val="24"/>
              </w:rPr>
              <w:t>项    目</w:t>
            </w:r>
          </w:p>
        </w:tc>
        <w:tc>
          <w:tcPr>
            <w:tcW w:w="4143" w:type="dxa"/>
            <w:tcBorders>
              <w:top w:val="single" w:color="000000" w:sz="4" w:space="0"/>
              <w:left w:val="nil"/>
              <w:bottom w:val="single" w:color="000000" w:sz="4" w:space="0"/>
              <w:right w:val="single" w:color="000000" w:sz="4" w:space="0"/>
            </w:tcBorders>
            <w:vAlign w:val="center"/>
          </w:tcPr>
          <w:p>
            <w:pPr>
              <w:widowControl/>
              <w:jc w:val="center"/>
              <w:rPr>
                <w:rFonts w:hint="default" w:ascii="黑体" w:hAnsi="宋体" w:eastAsia="黑体"/>
                <w:color w:val="000000"/>
                <w:kern w:val="0"/>
                <w:sz w:val="24"/>
              </w:rPr>
            </w:pPr>
            <w:r>
              <w:rPr>
                <w:rFonts w:ascii="黑体" w:hAnsi="宋体" w:eastAsia="黑体"/>
                <w:color w:val="000000"/>
                <w:kern w:val="0"/>
                <w:sz w:val="24"/>
              </w:rPr>
              <w:t>预算数</w:t>
            </w:r>
          </w:p>
        </w:tc>
        <w:tc>
          <w:tcPr>
            <w:tcW w:w="3630" w:type="dxa"/>
            <w:tcBorders>
              <w:top w:val="single" w:color="000000" w:sz="4" w:space="0"/>
              <w:left w:val="nil"/>
              <w:bottom w:val="single" w:color="000000" w:sz="4" w:space="0"/>
              <w:right w:val="single" w:color="000000" w:sz="4" w:space="0"/>
            </w:tcBorders>
            <w:vAlign w:val="center"/>
          </w:tcPr>
          <w:p>
            <w:pPr>
              <w:widowControl/>
              <w:jc w:val="center"/>
              <w:rPr>
                <w:rFonts w:hint="default" w:ascii="黑体" w:hAnsi="宋体" w:eastAsia="黑体"/>
                <w:color w:val="000000"/>
                <w:kern w:val="0"/>
                <w:sz w:val="24"/>
              </w:rPr>
            </w:pPr>
            <w:r>
              <w:rPr>
                <w:rFonts w:ascii="黑体" w:hAnsi="宋体" w:eastAsia="黑体"/>
                <w:color w:val="000000"/>
                <w:kern w:val="0"/>
                <w:sz w:val="24"/>
              </w:rPr>
              <w:t>决算数</w:t>
            </w:r>
          </w:p>
        </w:tc>
      </w:tr>
      <w:tr>
        <w:tblPrEx>
          <w:tblCellMar>
            <w:top w:w="0" w:type="dxa"/>
            <w:left w:w="108" w:type="dxa"/>
            <w:bottom w:w="0" w:type="dxa"/>
            <w:right w:w="108" w:type="dxa"/>
          </w:tblCellMar>
        </w:tblPrEx>
        <w:trPr>
          <w:trHeight w:val="600" w:hRule="atLeast"/>
          <w:jc w:val="center"/>
        </w:trPr>
        <w:tc>
          <w:tcPr>
            <w:tcW w:w="508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宋体"/>
                <w:color w:val="000000"/>
                <w:kern w:val="0"/>
                <w:sz w:val="24"/>
              </w:rPr>
            </w:pPr>
            <w:r>
              <w:rPr>
                <w:rFonts w:ascii="宋体" w:hAnsi="宋体"/>
                <w:color w:val="000000"/>
                <w:kern w:val="0"/>
                <w:sz w:val="24"/>
              </w:rPr>
              <w:t>合    计</w:t>
            </w:r>
          </w:p>
        </w:tc>
        <w:tc>
          <w:tcPr>
            <w:tcW w:w="4143"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b/>
                <w:bCs/>
                <w:i w:val="0"/>
                <w:iCs w:val="0"/>
                <w:color w:val="000000"/>
                <w:kern w:val="2"/>
                <w:sz w:val="24"/>
                <w:szCs w:val="24"/>
                <w:u w:val="none"/>
                <w:lang w:val="en-US" w:eastAsia="zh-CN" w:bidi="ar-SA"/>
              </w:rPr>
            </w:pPr>
            <w:r>
              <w:rPr>
                <w:rFonts w:hint="eastAsia" w:ascii="宋体" w:hAnsi="宋体" w:eastAsia="宋体" w:cs="宋体"/>
                <w:b/>
                <w:i w:val="0"/>
                <w:color w:val="000000"/>
                <w:kern w:val="0"/>
                <w:sz w:val="24"/>
                <w:szCs w:val="24"/>
                <w:u w:val="none"/>
                <w:lang w:val="en-US" w:eastAsia="zh-CN" w:bidi="ar"/>
              </w:rPr>
              <w:t>50.83</w:t>
            </w:r>
          </w:p>
        </w:tc>
        <w:tc>
          <w:tcPr>
            <w:tcW w:w="363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b/>
                <w:bCs/>
                <w:i w:val="0"/>
                <w:iCs w:val="0"/>
                <w:color w:val="000000"/>
                <w:kern w:val="2"/>
                <w:sz w:val="24"/>
                <w:szCs w:val="24"/>
                <w:u w:val="none"/>
                <w:lang w:val="en-US" w:eastAsia="zh-CN" w:bidi="ar-SA"/>
              </w:rPr>
            </w:pPr>
            <w:r>
              <w:rPr>
                <w:rFonts w:hint="eastAsia" w:ascii="宋体" w:hAnsi="宋体" w:eastAsia="宋体" w:cs="宋体"/>
                <w:b/>
                <w:i w:val="0"/>
                <w:color w:val="000000"/>
                <w:kern w:val="0"/>
                <w:sz w:val="24"/>
                <w:szCs w:val="24"/>
                <w:u w:val="none"/>
                <w:lang w:val="en-US" w:eastAsia="zh-CN" w:bidi="ar"/>
              </w:rPr>
              <w:t>21.52</w:t>
            </w:r>
          </w:p>
        </w:tc>
      </w:tr>
      <w:tr>
        <w:tblPrEx>
          <w:tblCellMar>
            <w:top w:w="0" w:type="dxa"/>
            <w:left w:w="108" w:type="dxa"/>
            <w:bottom w:w="0" w:type="dxa"/>
            <w:right w:w="108" w:type="dxa"/>
          </w:tblCellMar>
        </w:tblPrEx>
        <w:trPr>
          <w:trHeight w:val="600" w:hRule="atLeast"/>
          <w:jc w:val="center"/>
        </w:trPr>
        <w:tc>
          <w:tcPr>
            <w:tcW w:w="5087"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24"/>
              </w:rPr>
            </w:pPr>
            <w:r>
              <w:rPr>
                <w:rFonts w:ascii="宋体" w:hAnsi="宋体"/>
                <w:color w:val="000000"/>
                <w:kern w:val="0"/>
                <w:sz w:val="24"/>
              </w:rPr>
              <w:t>1、因公出国（境）费</w:t>
            </w:r>
          </w:p>
        </w:tc>
        <w:tc>
          <w:tcPr>
            <w:tcW w:w="4143"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sz w:val="24"/>
                <w:szCs w:val="24"/>
                <w:u w:val="none"/>
              </w:rPr>
            </w:pPr>
          </w:p>
        </w:tc>
        <w:tc>
          <w:tcPr>
            <w:tcW w:w="3630" w:type="dxa"/>
            <w:tcBorders>
              <w:top w:val="single" w:color="000000" w:sz="4" w:space="0"/>
              <w:left w:val="nil"/>
              <w:bottom w:val="single" w:color="000000" w:sz="4" w:space="0"/>
              <w:right w:val="single" w:color="000000" w:sz="4" w:space="0"/>
            </w:tcBorders>
            <w:vAlign w:val="center"/>
          </w:tcPr>
          <w:p>
            <w:pPr>
              <w:jc w:val="right"/>
              <w:rPr>
                <w:rFonts w:hint="default"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600" w:hRule="atLeast"/>
          <w:jc w:val="center"/>
        </w:trPr>
        <w:tc>
          <w:tcPr>
            <w:tcW w:w="5087"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24"/>
              </w:rPr>
            </w:pPr>
            <w:r>
              <w:rPr>
                <w:rFonts w:ascii="宋体" w:hAnsi="宋体"/>
                <w:color w:val="000000"/>
                <w:kern w:val="0"/>
                <w:sz w:val="24"/>
              </w:rPr>
              <w:t>2、公务接待费</w:t>
            </w:r>
          </w:p>
        </w:tc>
        <w:tc>
          <w:tcPr>
            <w:tcW w:w="4143"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color w:val="000000"/>
                <w:kern w:val="0"/>
                <w:sz w:val="24"/>
                <w:szCs w:val="24"/>
                <w:u w:val="none"/>
                <w:lang w:val="en-US" w:eastAsia="zh-CN" w:bidi="ar"/>
              </w:rPr>
              <w:t>4.63</w:t>
            </w:r>
          </w:p>
        </w:tc>
        <w:tc>
          <w:tcPr>
            <w:tcW w:w="363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color w:val="000000"/>
                <w:kern w:val="0"/>
                <w:sz w:val="24"/>
                <w:szCs w:val="24"/>
                <w:u w:val="none"/>
                <w:lang w:val="en-US" w:eastAsia="zh-CN" w:bidi="ar"/>
              </w:rPr>
              <w:t>0.56</w:t>
            </w:r>
          </w:p>
        </w:tc>
      </w:tr>
      <w:tr>
        <w:tblPrEx>
          <w:tblCellMar>
            <w:top w:w="0" w:type="dxa"/>
            <w:left w:w="108" w:type="dxa"/>
            <w:bottom w:w="0" w:type="dxa"/>
            <w:right w:w="108" w:type="dxa"/>
          </w:tblCellMar>
        </w:tblPrEx>
        <w:trPr>
          <w:trHeight w:val="600" w:hRule="atLeast"/>
          <w:jc w:val="center"/>
        </w:trPr>
        <w:tc>
          <w:tcPr>
            <w:tcW w:w="5087"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24"/>
              </w:rPr>
            </w:pPr>
            <w:r>
              <w:rPr>
                <w:rFonts w:ascii="宋体" w:hAnsi="宋体"/>
                <w:color w:val="000000"/>
                <w:kern w:val="0"/>
                <w:sz w:val="24"/>
              </w:rPr>
              <w:t>3、公务用车购置及运行费</w:t>
            </w:r>
          </w:p>
        </w:tc>
        <w:tc>
          <w:tcPr>
            <w:tcW w:w="4143"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color w:val="000000"/>
                <w:kern w:val="0"/>
                <w:sz w:val="24"/>
                <w:szCs w:val="24"/>
                <w:u w:val="none"/>
                <w:lang w:val="en-US" w:eastAsia="zh-CN" w:bidi="ar"/>
              </w:rPr>
              <w:t>46.20</w:t>
            </w:r>
          </w:p>
        </w:tc>
        <w:tc>
          <w:tcPr>
            <w:tcW w:w="363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color w:val="000000"/>
                <w:kern w:val="0"/>
                <w:sz w:val="24"/>
                <w:szCs w:val="24"/>
                <w:u w:val="none"/>
                <w:lang w:val="en-US" w:eastAsia="zh-CN" w:bidi="ar"/>
              </w:rPr>
              <w:t>20.96</w:t>
            </w:r>
          </w:p>
        </w:tc>
      </w:tr>
      <w:tr>
        <w:tblPrEx>
          <w:tblCellMar>
            <w:top w:w="0" w:type="dxa"/>
            <w:left w:w="108" w:type="dxa"/>
            <w:bottom w:w="0" w:type="dxa"/>
            <w:right w:w="108" w:type="dxa"/>
          </w:tblCellMar>
        </w:tblPrEx>
        <w:trPr>
          <w:trHeight w:val="600" w:hRule="atLeast"/>
          <w:jc w:val="center"/>
        </w:trPr>
        <w:tc>
          <w:tcPr>
            <w:tcW w:w="5087"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24"/>
              </w:rPr>
            </w:pPr>
            <w:r>
              <w:rPr>
                <w:rFonts w:ascii="宋体" w:hAnsi="宋体"/>
                <w:color w:val="000000"/>
                <w:kern w:val="0"/>
                <w:sz w:val="24"/>
              </w:rPr>
              <w:t>其中: （1）公务用车购置费</w:t>
            </w:r>
          </w:p>
        </w:tc>
        <w:tc>
          <w:tcPr>
            <w:tcW w:w="4143"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color w:val="000000"/>
                <w:kern w:val="0"/>
                <w:sz w:val="24"/>
                <w:szCs w:val="24"/>
                <w:u w:val="none"/>
                <w:lang w:val="en-US" w:eastAsia="zh-CN" w:bidi="ar"/>
              </w:rPr>
              <w:t>13.20</w:t>
            </w:r>
          </w:p>
        </w:tc>
        <w:tc>
          <w:tcPr>
            <w:tcW w:w="363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color w:val="000000"/>
                <w:kern w:val="0"/>
                <w:sz w:val="24"/>
                <w:szCs w:val="24"/>
                <w:u w:val="none"/>
                <w:lang w:val="en-US" w:eastAsia="zh-CN" w:bidi="ar"/>
              </w:rPr>
              <w:t>11.97</w:t>
            </w:r>
          </w:p>
        </w:tc>
      </w:tr>
      <w:tr>
        <w:tblPrEx>
          <w:tblCellMar>
            <w:top w:w="0" w:type="dxa"/>
            <w:left w:w="108" w:type="dxa"/>
            <w:bottom w:w="0" w:type="dxa"/>
            <w:right w:w="108" w:type="dxa"/>
          </w:tblCellMar>
        </w:tblPrEx>
        <w:trPr>
          <w:trHeight w:val="600" w:hRule="atLeast"/>
          <w:jc w:val="center"/>
        </w:trPr>
        <w:tc>
          <w:tcPr>
            <w:tcW w:w="5087"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default" w:ascii="宋体"/>
                <w:color w:val="000000"/>
                <w:kern w:val="0"/>
                <w:sz w:val="24"/>
              </w:rPr>
            </w:pPr>
            <w:r>
              <w:rPr>
                <w:rFonts w:ascii="宋体" w:hAnsi="宋体"/>
                <w:color w:val="000000"/>
                <w:kern w:val="0"/>
                <w:sz w:val="24"/>
              </w:rPr>
              <w:t xml:space="preserve">      （2）公务用车运行维护费</w:t>
            </w:r>
          </w:p>
        </w:tc>
        <w:tc>
          <w:tcPr>
            <w:tcW w:w="4143"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b/>
                <w:color w:val="000000"/>
                <w:kern w:val="0"/>
                <w:sz w:val="22"/>
              </w:rPr>
            </w:pPr>
            <w:r>
              <w:rPr>
                <w:rFonts w:hint="eastAsia" w:ascii="宋体" w:hAnsi="宋体" w:eastAsia="宋体" w:cs="宋体"/>
                <w:i w:val="0"/>
                <w:color w:val="000000"/>
                <w:kern w:val="0"/>
                <w:sz w:val="24"/>
                <w:szCs w:val="24"/>
                <w:u w:val="none"/>
                <w:lang w:val="en-US" w:eastAsia="zh-CN" w:bidi="ar"/>
              </w:rPr>
              <w:t>33.00</w:t>
            </w:r>
          </w:p>
        </w:tc>
        <w:tc>
          <w:tcPr>
            <w:tcW w:w="3630"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jc w:val="right"/>
              <w:textAlignment w:val="center"/>
              <w:rPr>
                <w:rFonts w:hint="default" w:ascii="宋体"/>
                <w:color w:val="000000"/>
                <w:kern w:val="0"/>
                <w:sz w:val="22"/>
              </w:rPr>
            </w:pPr>
            <w:r>
              <w:rPr>
                <w:rFonts w:hint="eastAsia" w:ascii="宋体" w:hAnsi="宋体" w:eastAsia="宋体" w:cs="宋体"/>
                <w:i w:val="0"/>
                <w:color w:val="000000"/>
                <w:kern w:val="0"/>
                <w:sz w:val="24"/>
                <w:szCs w:val="24"/>
                <w:u w:val="none"/>
                <w:lang w:val="en-US" w:eastAsia="zh-CN" w:bidi="ar"/>
              </w:rPr>
              <w:t>8.99</w:t>
            </w:r>
          </w:p>
        </w:tc>
      </w:tr>
    </w:tbl>
    <w:p>
      <w:pPr>
        <w:widowControl/>
        <w:spacing w:line="560" w:lineRule="atLeast"/>
        <w:jc w:val="left"/>
        <w:rPr>
          <w:rFonts w:hint="default" w:ascii="宋体" w:hAnsi="宋体" w:cs="宋体"/>
          <w:kern w:val="0"/>
          <w:szCs w:val="21"/>
        </w:rPr>
      </w:pPr>
      <w:r>
        <w:rPr>
          <w:rFonts w:ascii="宋体" w:hAnsi="宋体" w:cs="宋体"/>
          <w:kern w:val="0"/>
          <w:szCs w:val="21"/>
        </w:rPr>
        <w:t>注：1.本表反映部门本年度“三公”经费支出预决算情况。其中：预算数为“三公”经费年初预算数；决算数是包括当年一般公共预算财政拨款和以前年度结转资金安排的实际支出。2.本套报表金额单位转换时可能存在尾数误差。3.如本表为空，则我部门本年度无此类资金收支余。</w:t>
      </w:r>
    </w:p>
    <w:p>
      <w:pPr>
        <w:widowControl/>
        <w:spacing w:line="560" w:lineRule="atLeast"/>
        <w:rPr>
          <w:rFonts w:hint="default" w:ascii="仿宋_GB2312" w:hAnsi="宋体" w:eastAsia="仿宋_GB2312"/>
          <w:kern w:val="0"/>
          <w:sz w:val="24"/>
        </w:rPr>
      </w:pPr>
    </w:p>
    <w:p>
      <w:pPr>
        <w:widowControl/>
        <w:spacing w:line="560" w:lineRule="atLeast"/>
        <w:rPr>
          <w:rFonts w:hint="default" w:ascii="仿宋_GB2312" w:hAnsi="宋体" w:eastAsia="仿宋_GB2312"/>
          <w:kern w:val="0"/>
          <w:sz w:val="24"/>
        </w:rPr>
      </w:pPr>
    </w:p>
    <w:p>
      <w:pPr>
        <w:widowControl/>
        <w:spacing w:line="560" w:lineRule="atLeast"/>
        <w:rPr>
          <w:rFonts w:hint="default" w:ascii="仿宋_GB2312" w:hAnsi="宋体" w:eastAsia="仿宋_GB2312"/>
          <w:kern w:val="0"/>
          <w:sz w:val="24"/>
        </w:rPr>
      </w:pPr>
      <w:r>
        <w:rPr>
          <w:rFonts w:ascii="仿宋_GB2312" w:hAnsi="宋体" w:eastAsia="仿宋_GB2312"/>
          <w:kern w:val="0"/>
          <w:sz w:val="24"/>
        </w:rPr>
        <w:t>附件1-9</w:t>
      </w:r>
    </w:p>
    <w:tbl>
      <w:tblPr>
        <w:tblStyle w:val="5"/>
        <w:tblW w:w="14174" w:type="dxa"/>
        <w:jc w:val="center"/>
        <w:tblLayout w:type="fixed"/>
        <w:tblCellMar>
          <w:top w:w="0" w:type="dxa"/>
          <w:left w:w="108" w:type="dxa"/>
          <w:bottom w:w="0" w:type="dxa"/>
          <w:right w:w="108" w:type="dxa"/>
        </w:tblCellMar>
      </w:tblPr>
      <w:tblGrid>
        <w:gridCol w:w="2532"/>
        <w:gridCol w:w="1266"/>
        <w:gridCol w:w="1266"/>
        <w:gridCol w:w="1266"/>
        <w:gridCol w:w="1266"/>
        <w:gridCol w:w="1266"/>
        <w:gridCol w:w="1266"/>
        <w:gridCol w:w="2044"/>
        <w:gridCol w:w="2002"/>
      </w:tblGrid>
      <w:tr>
        <w:tblPrEx>
          <w:tblCellMar>
            <w:top w:w="0" w:type="dxa"/>
            <w:left w:w="108" w:type="dxa"/>
            <w:bottom w:w="0" w:type="dxa"/>
            <w:right w:w="108" w:type="dxa"/>
          </w:tblCellMar>
        </w:tblPrEx>
        <w:trPr>
          <w:trHeight w:val="370" w:hRule="atLeast"/>
          <w:jc w:val="center"/>
        </w:trPr>
        <w:tc>
          <w:tcPr>
            <w:tcW w:w="14174" w:type="dxa"/>
            <w:gridSpan w:val="9"/>
            <w:tcBorders>
              <w:top w:val="nil"/>
              <w:left w:val="nil"/>
              <w:bottom w:val="nil"/>
              <w:right w:val="nil"/>
            </w:tcBorders>
            <w:shd w:val="clear" w:color="auto" w:fill="FFFFFF"/>
            <w:vAlign w:val="center"/>
          </w:tcPr>
          <w:p>
            <w:pPr>
              <w:widowControl/>
              <w:jc w:val="center"/>
              <w:textAlignment w:val="center"/>
              <w:rPr>
                <w:rFonts w:hint="default" w:ascii="宋体"/>
                <w:b/>
                <w:color w:val="000000"/>
                <w:kern w:val="0"/>
                <w:shd w:val="clear" w:color="auto" w:fill="FFFFFF"/>
              </w:rPr>
            </w:pPr>
            <w:r>
              <w:rPr>
                <w:rFonts w:ascii="宋体" w:hAnsi="宋体" w:cs="宋体"/>
                <w:b/>
                <w:color w:val="000000"/>
                <w:kern w:val="0"/>
                <w:sz w:val="28"/>
                <w:szCs w:val="28"/>
              </w:rPr>
              <w:t>国有资本经营预算财政拨款支出决算表</w:t>
            </w:r>
          </w:p>
        </w:tc>
      </w:tr>
      <w:tr>
        <w:tblPrEx>
          <w:tblCellMar>
            <w:top w:w="0" w:type="dxa"/>
            <w:left w:w="108" w:type="dxa"/>
            <w:bottom w:w="0" w:type="dxa"/>
            <w:right w:w="108" w:type="dxa"/>
          </w:tblCellMar>
        </w:tblPrEx>
        <w:trPr>
          <w:trHeight w:val="175" w:hRule="atLeast"/>
          <w:jc w:val="center"/>
        </w:trPr>
        <w:tc>
          <w:tcPr>
            <w:tcW w:w="2532" w:type="dxa"/>
            <w:tcBorders>
              <w:top w:val="nil"/>
              <w:left w:val="nil"/>
              <w:bottom w:val="nil"/>
              <w:right w:val="nil"/>
            </w:tcBorders>
            <w:shd w:val="clear" w:color="auto" w:fill="FFFFFF"/>
            <w:vAlign w:val="bottom"/>
          </w:tcPr>
          <w:p>
            <w:pPr>
              <w:jc w:val="left"/>
              <w:rPr>
                <w:rFonts w:hint="default" w:ascii="宋体"/>
                <w:color w:val="000000"/>
                <w:kern w:val="0"/>
                <w:sz w:val="18"/>
                <w:shd w:val="clear" w:color="auto" w:fill="FFFFFF"/>
              </w:rPr>
            </w:pPr>
          </w:p>
        </w:tc>
        <w:tc>
          <w:tcPr>
            <w:tcW w:w="1266" w:type="dxa"/>
            <w:tcBorders>
              <w:top w:val="nil"/>
              <w:left w:val="nil"/>
              <w:bottom w:val="nil"/>
              <w:right w:val="nil"/>
            </w:tcBorders>
            <w:shd w:val="clear" w:color="auto" w:fill="FFFFFF"/>
            <w:vAlign w:val="bottom"/>
          </w:tcPr>
          <w:p>
            <w:pPr>
              <w:jc w:val="left"/>
              <w:rPr>
                <w:rFonts w:hint="default" w:ascii="宋体"/>
                <w:color w:val="000000"/>
                <w:kern w:val="0"/>
                <w:sz w:val="18"/>
                <w:shd w:val="clear" w:color="auto" w:fill="FFFFFF"/>
              </w:rPr>
            </w:pPr>
          </w:p>
        </w:tc>
        <w:tc>
          <w:tcPr>
            <w:tcW w:w="1266" w:type="dxa"/>
            <w:tcBorders>
              <w:top w:val="nil"/>
              <w:left w:val="nil"/>
              <w:bottom w:val="nil"/>
              <w:right w:val="nil"/>
            </w:tcBorders>
            <w:shd w:val="clear" w:color="auto" w:fill="FFFFFF"/>
            <w:vAlign w:val="bottom"/>
          </w:tcPr>
          <w:p>
            <w:pPr>
              <w:jc w:val="left"/>
              <w:rPr>
                <w:rFonts w:hint="default" w:ascii="宋体"/>
                <w:color w:val="000000"/>
                <w:kern w:val="0"/>
                <w:sz w:val="18"/>
                <w:shd w:val="clear" w:color="auto" w:fill="FFFFFF"/>
              </w:rPr>
            </w:pPr>
          </w:p>
        </w:tc>
        <w:tc>
          <w:tcPr>
            <w:tcW w:w="1266" w:type="dxa"/>
            <w:tcBorders>
              <w:top w:val="nil"/>
              <w:left w:val="nil"/>
              <w:bottom w:val="nil"/>
              <w:right w:val="nil"/>
            </w:tcBorders>
            <w:shd w:val="clear" w:color="auto" w:fill="FFFFFF"/>
            <w:vAlign w:val="bottom"/>
          </w:tcPr>
          <w:p>
            <w:pPr>
              <w:jc w:val="left"/>
              <w:rPr>
                <w:rFonts w:hint="default" w:ascii="宋体"/>
                <w:color w:val="000000"/>
                <w:kern w:val="0"/>
                <w:sz w:val="18"/>
                <w:shd w:val="clear" w:color="auto" w:fill="FFFFFF"/>
              </w:rPr>
            </w:pPr>
          </w:p>
        </w:tc>
        <w:tc>
          <w:tcPr>
            <w:tcW w:w="1266" w:type="dxa"/>
            <w:tcBorders>
              <w:top w:val="nil"/>
              <w:left w:val="nil"/>
              <w:bottom w:val="nil"/>
              <w:right w:val="nil"/>
            </w:tcBorders>
            <w:shd w:val="clear" w:color="auto" w:fill="FFFFFF"/>
            <w:vAlign w:val="bottom"/>
          </w:tcPr>
          <w:p>
            <w:pPr>
              <w:jc w:val="left"/>
              <w:rPr>
                <w:rFonts w:hint="default" w:ascii="宋体"/>
                <w:color w:val="000000"/>
                <w:kern w:val="0"/>
                <w:sz w:val="18"/>
                <w:shd w:val="clear" w:color="auto" w:fill="FFFFFF"/>
              </w:rPr>
            </w:pPr>
          </w:p>
        </w:tc>
        <w:tc>
          <w:tcPr>
            <w:tcW w:w="1266" w:type="dxa"/>
            <w:tcBorders>
              <w:top w:val="nil"/>
              <w:left w:val="nil"/>
              <w:bottom w:val="nil"/>
              <w:right w:val="nil"/>
            </w:tcBorders>
            <w:shd w:val="clear" w:color="auto" w:fill="FFFFFF"/>
            <w:vAlign w:val="bottom"/>
          </w:tcPr>
          <w:p>
            <w:pPr>
              <w:jc w:val="left"/>
              <w:rPr>
                <w:rFonts w:hint="default" w:ascii="宋体"/>
                <w:color w:val="000000"/>
                <w:kern w:val="0"/>
                <w:sz w:val="18"/>
                <w:shd w:val="clear" w:color="auto" w:fill="FFFFFF"/>
              </w:rPr>
            </w:pPr>
          </w:p>
        </w:tc>
        <w:tc>
          <w:tcPr>
            <w:tcW w:w="1266" w:type="dxa"/>
            <w:tcBorders>
              <w:top w:val="nil"/>
              <w:left w:val="nil"/>
              <w:bottom w:val="nil"/>
              <w:right w:val="nil"/>
            </w:tcBorders>
            <w:shd w:val="clear" w:color="auto" w:fill="FFFFFF"/>
            <w:vAlign w:val="bottom"/>
          </w:tcPr>
          <w:p>
            <w:pPr>
              <w:jc w:val="left"/>
              <w:rPr>
                <w:rFonts w:hint="default" w:ascii="宋体"/>
                <w:color w:val="000000"/>
                <w:kern w:val="0"/>
                <w:sz w:val="18"/>
                <w:shd w:val="clear" w:color="auto" w:fill="FFFFFF"/>
              </w:rPr>
            </w:pPr>
          </w:p>
        </w:tc>
        <w:tc>
          <w:tcPr>
            <w:tcW w:w="2044" w:type="dxa"/>
            <w:tcBorders>
              <w:top w:val="nil"/>
              <w:left w:val="nil"/>
              <w:bottom w:val="nil"/>
              <w:right w:val="nil"/>
            </w:tcBorders>
            <w:shd w:val="clear" w:color="auto" w:fill="FFFFFF"/>
            <w:vAlign w:val="bottom"/>
          </w:tcPr>
          <w:p>
            <w:pPr>
              <w:rPr>
                <w:rFonts w:hint="default" w:ascii="宋体"/>
                <w:color w:val="000000"/>
                <w:kern w:val="0"/>
                <w:shd w:val="clear" w:color="auto" w:fill="FFFFFF"/>
              </w:rPr>
            </w:pPr>
          </w:p>
        </w:tc>
        <w:tc>
          <w:tcPr>
            <w:tcW w:w="2002" w:type="dxa"/>
            <w:tcBorders>
              <w:top w:val="nil"/>
              <w:left w:val="nil"/>
              <w:bottom w:val="nil"/>
              <w:right w:val="nil"/>
            </w:tcBorders>
            <w:shd w:val="clear" w:color="auto" w:fill="FFFFFF"/>
            <w:vAlign w:val="bottom"/>
          </w:tcPr>
          <w:p>
            <w:pPr>
              <w:widowControl/>
              <w:jc w:val="center"/>
              <w:textAlignment w:val="bottom"/>
              <w:rPr>
                <w:rFonts w:hint="default"/>
              </w:rPr>
            </w:pPr>
            <w:r>
              <w:rPr>
                <w:rFonts w:ascii="宋体" w:hAnsi="宋体" w:cs="宋体"/>
                <w:color w:val="000000"/>
                <w:kern w:val="0"/>
                <w:szCs w:val="21"/>
              </w:rPr>
              <w:t>公开09表</w:t>
            </w:r>
          </w:p>
        </w:tc>
      </w:tr>
      <w:tr>
        <w:tblPrEx>
          <w:tblCellMar>
            <w:top w:w="0" w:type="dxa"/>
            <w:left w:w="108" w:type="dxa"/>
            <w:bottom w:w="0" w:type="dxa"/>
            <w:right w:w="108" w:type="dxa"/>
          </w:tblCellMar>
        </w:tblPrEx>
        <w:trPr>
          <w:trHeight w:val="285" w:hRule="atLeast"/>
          <w:jc w:val="center"/>
        </w:trPr>
        <w:tc>
          <w:tcPr>
            <w:tcW w:w="2532" w:type="dxa"/>
            <w:tcBorders>
              <w:top w:val="nil"/>
              <w:left w:val="nil"/>
              <w:bottom w:val="nil"/>
              <w:right w:val="nil"/>
            </w:tcBorders>
            <w:shd w:val="clear" w:color="auto" w:fill="FFFFFF"/>
            <w:vAlign w:val="bottom"/>
          </w:tcPr>
          <w:p>
            <w:pPr>
              <w:widowControl/>
              <w:jc w:val="left"/>
              <w:textAlignment w:val="bottom"/>
              <w:rPr>
                <w:rFonts w:hint="default" w:ascii="宋体"/>
                <w:color w:val="000000"/>
                <w:kern w:val="0"/>
                <w:shd w:val="clear" w:color="auto" w:fill="FFFFFF"/>
              </w:rPr>
            </w:pPr>
            <w:r>
              <w:rPr>
                <w:rFonts w:ascii="宋体" w:hAnsi="宋体" w:cs="宋体"/>
                <w:color w:val="000000"/>
                <w:kern w:val="0"/>
                <w:szCs w:val="21"/>
              </w:rPr>
              <w:t>部门：</w:t>
            </w:r>
          </w:p>
        </w:tc>
        <w:tc>
          <w:tcPr>
            <w:tcW w:w="1266" w:type="dxa"/>
            <w:tcBorders>
              <w:top w:val="nil"/>
              <w:left w:val="nil"/>
              <w:bottom w:val="nil"/>
              <w:right w:val="nil"/>
            </w:tcBorders>
            <w:shd w:val="clear" w:color="auto" w:fill="FFFFFF"/>
            <w:vAlign w:val="bottom"/>
          </w:tcPr>
          <w:p>
            <w:pPr>
              <w:jc w:val="left"/>
              <w:rPr>
                <w:rFonts w:hint="default" w:ascii="宋体"/>
                <w:color w:val="000000"/>
                <w:kern w:val="0"/>
                <w:shd w:val="clear" w:color="auto" w:fill="FFFFFF"/>
              </w:rPr>
            </w:pPr>
          </w:p>
        </w:tc>
        <w:tc>
          <w:tcPr>
            <w:tcW w:w="2532" w:type="dxa"/>
            <w:gridSpan w:val="2"/>
            <w:tcBorders>
              <w:top w:val="nil"/>
              <w:left w:val="nil"/>
              <w:bottom w:val="nil"/>
              <w:right w:val="nil"/>
            </w:tcBorders>
            <w:shd w:val="clear" w:color="auto" w:fill="FFFFFF"/>
            <w:vAlign w:val="bottom"/>
          </w:tcPr>
          <w:p>
            <w:pPr>
              <w:jc w:val="left"/>
              <w:rPr>
                <w:rFonts w:hint="default" w:ascii="宋体"/>
                <w:color w:val="000000"/>
                <w:kern w:val="0"/>
                <w:shd w:val="clear" w:color="auto" w:fill="FFFFFF"/>
              </w:rPr>
            </w:pPr>
          </w:p>
        </w:tc>
        <w:tc>
          <w:tcPr>
            <w:tcW w:w="1266" w:type="dxa"/>
            <w:tcBorders>
              <w:top w:val="nil"/>
              <w:left w:val="nil"/>
              <w:bottom w:val="nil"/>
              <w:right w:val="nil"/>
            </w:tcBorders>
            <w:shd w:val="clear" w:color="auto" w:fill="FFFFFF"/>
            <w:vAlign w:val="bottom"/>
          </w:tcPr>
          <w:p>
            <w:pPr>
              <w:jc w:val="left"/>
              <w:rPr>
                <w:rFonts w:hint="default" w:ascii="宋体"/>
                <w:color w:val="000000"/>
                <w:kern w:val="0"/>
                <w:shd w:val="clear" w:color="auto" w:fill="FFFFFF"/>
              </w:rPr>
            </w:pPr>
          </w:p>
        </w:tc>
        <w:tc>
          <w:tcPr>
            <w:tcW w:w="1266" w:type="dxa"/>
            <w:tcBorders>
              <w:top w:val="nil"/>
              <w:left w:val="nil"/>
              <w:bottom w:val="nil"/>
              <w:right w:val="nil"/>
            </w:tcBorders>
            <w:shd w:val="clear" w:color="auto" w:fill="FFFFFF"/>
            <w:vAlign w:val="bottom"/>
          </w:tcPr>
          <w:p>
            <w:pPr>
              <w:jc w:val="left"/>
              <w:rPr>
                <w:rFonts w:hint="default" w:ascii="宋体"/>
                <w:color w:val="000000"/>
                <w:kern w:val="0"/>
                <w:shd w:val="clear" w:color="auto" w:fill="FFFFFF"/>
              </w:rPr>
            </w:pPr>
          </w:p>
        </w:tc>
        <w:tc>
          <w:tcPr>
            <w:tcW w:w="1266" w:type="dxa"/>
            <w:tcBorders>
              <w:top w:val="nil"/>
              <w:left w:val="nil"/>
              <w:bottom w:val="nil"/>
              <w:right w:val="nil"/>
            </w:tcBorders>
            <w:shd w:val="clear" w:color="auto" w:fill="FFFFFF"/>
            <w:vAlign w:val="bottom"/>
          </w:tcPr>
          <w:p>
            <w:pPr>
              <w:jc w:val="left"/>
              <w:rPr>
                <w:rFonts w:hint="default" w:ascii="宋体"/>
                <w:color w:val="000000"/>
                <w:kern w:val="0"/>
                <w:shd w:val="clear" w:color="auto" w:fill="FFFFFF"/>
              </w:rPr>
            </w:pPr>
          </w:p>
        </w:tc>
        <w:tc>
          <w:tcPr>
            <w:tcW w:w="2044" w:type="dxa"/>
            <w:tcBorders>
              <w:top w:val="nil"/>
              <w:left w:val="nil"/>
              <w:bottom w:val="nil"/>
              <w:right w:val="nil"/>
            </w:tcBorders>
            <w:shd w:val="clear" w:color="auto" w:fill="FFFFFF"/>
            <w:vAlign w:val="bottom"/>
          </w:tcPr>
          <w:p>
            <w:pPr>
              <w:rPr>
                <w:rFonts w:hint="default" w:ascii="宋体"/>
                <w:color w:val="000000"/>
                <w:kern w:val="0"/>
                <w:shd w:val="clear" w:color="auto" w:fill="FFFFFF"/>
              </w:rPr>
            </w:pPr>
          </w:p>
        </w:tc>
        <w:tc>
          <w:tcPr>
            <w:tcW w:w="2002" w:type="dxa"/>
            <w:tcBorders>
              <w:top w:val="nil"/>
              <w:left w:val="nil"/>
              <w:bottom w:val="nil"/>
              <w:right w:val="nil"/>
            </w:tcBorders>
            <w:shd w:val="clear" w:color="auto" w:fill="FFFFFF"/>
            <w:vAlign w:val="bottom"/>
          </w:tcPr>
          <w:p>
            <w:pPr>
              <w:widowControl/>
              <w:jc w:val="center"/>
              <w:textAlignment w:val="bottom"/>
              <w:rPr>
                <w:rFonts w:hint="default"/>
              </w:rPr>
            </w:pPr>
            <w:r>
              <w:rPr>
                <w:rFonts w:ascii="宋体" w:hAnsi="宋体" w:cs="宋体"/>
                <w:color w:val="000000"/>
                <w:kern w:val="0"/>
                <w:szCs w:val="21"/>
              </w:rPr>
              <w:t>单位：万元</w:t>
            </w:r>
          </w:p>
        </w:tc>
      </w:tr>
      <w:tr>
        <w:tblPrEx>
          <w:tblCellMar>
            <w:top w:w="0" w:type="dxa"/>
            <w:left w:w="108" w:type="dxa"/>
            <w:bottom w:w="0" w:type="dxa"/>
            <w:right w:w="108" w:type="dxa"/>
          </w:tblCellMar>
        </w:tblPrEx>
        <w:trPr>
          <w:trHeight w:val="600" w:hRule="atLeast"/>
          <w:jc w:val="center"/>
        </w:trPr>
        <w:tc>
          <w:tcPr>
            <w:tcW w:w="7596"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宋体"/>
                <w:color w:val="000000"/>
                <w:kern w:val="0"/>
              </w:rPr>
            </w:pPr>
            <w:r>
              <w:rPr>
                <w:rFonts w:ascii="宋体" w:hAnsi="宋体" w:cs="宋体"/>
                <w:color w:val="000000"/>
                <w:kern w:val="0"/>
                <w:szCs w:val="21"/>
              </w:rPr>
              <w:t>项目</w:t>
            </w:r>
          </w:p>
        </w:tc>
        <w:tc>
          <w:tcPr>
            <w:tcW w:w="6578" w:type="dxa"/>
            <w:gridSpan w:val="4"/>
            <w:tcBorders>
              <w:top w:val="single" w:color="000000" w:sz="4" w:space="0"/>
              <w:left w:val="nil"/>
              <w:bottom w:val="single" w:color="000000" w:sz="4" w:space="0"/>
              <w:right w:val="single" w:color="000000" w:sz="4" w:space="0"/>
            </w:tcBorders>
            <w:vAlign w:val="center"/>
          </w:tcPr>
          <w:p>
            <w:pPr>
              <w:widowControl/>
              <w:jc w:val="center"/>
              <w:textAlignment w:val="center"/>
              <w:rPr>
                <w:rFonts w:hint="default" w:ascii="宋体"/>
                <w:color w:val="000000"/>
                <w:kern w:val="0"/>
              </w:rPr>
            </w:pPr>
            <w:r>
              <w:rPr>
                <w:rFonts w:ascii="宋体" w:hAnsi="宋体" w:cs="宋体"/>
                <w:color w:val="000000"/>
                <w:kern w:val="0"/>
                <w:szCs w:val="21"/>
              </w:rPr>
              <w:t>本年支出</w:t>
            </w:r>
          </w:p>
        </w:tc>
      </w:tr>
      <w:tr>
        <w:tblPrEx>
          <w:tblCellMar>
            <w:top w:w="0" w:type="dxa"/>
            <w:left w:w="108" w:type="dxa"/>
            <w:bottom w:w="0" w:type="dxa"/>
            <w:right w:w="108" w:type="dxa"/>
          </w:tblCellMar>
        </w:tblPrEx>
        <w:trPr>
          <w:trHeight w:val="635" w:hRule="atLeast"/>
          <w:jc w:val="center"/>
        </w:trPr>
        <w:tc>
          <w:tcPr>
            <w:tcW w:w="3798" w:type="dxa"/>
            <w:gridSpan w:val="2"/>
            <w:tcBorders>
              <w:top w:val="single" w:color="000000" w:sz="4" w:space="0"/>
              <w:left w:val="single" w:color="000000" w:sz="4" w:space="0"/>
              <w:bottom w:val="single" w:color="000000" w:sz="4" w:space="0"/>
              <w:right w:val="single" w:color="auto" w:sz="4" w:space="0"/>
            </w:tcBorders>
            <w:vAlign w:val="center"/>
          </w:tcPr>
          <w:p>
            <w:pPr>
              <w:jc w:val="center"/>
              <w:rPr>
                <w:rFonts w:hint="default" w:ascii="宋体"/>
                <w:color w:val="000000"/>
                <w:kern w:val="0"/>
              </w:rPr>
            </w:pPr>
            <w:r>
              <w:rPr>
                <w:rFonts w:ascii="宋体"/>
                <w:color w:val="000000"/>
                <w:kern w:val="0"/>
              </w:rPr>
              <w:t>功能分类科目编码</w:t>
            </w:r>
          </w:p>
        </w:tc>
        <w:tc>
          <w:tcPr>
            <w:tcW w:w="3798"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宋体"/>
                <w:color w:val="000000"/>
                <w:kern w:val="0"/>
              </w:rPr>
            </w:pPr>
            <w:r>
              <w:rPr>
                <w:rFonts w:ascii="宋体"/>
                <w:color w:val="000000"/>
                <w:kern w:val="0"/>
              </w:rPr>
              <w:t>科目名称</w:t>
            </w:r>
          </w:p>
        </w:tc>
        <w:tc>
          <w:tcPr>
            <w:tcW w:w="2532" w:type="dxa"/>
            <w:gridSpan w:val="2"/>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hint="default" w:ascii="宋体"/>
                <w:color w:val="000000"/>
                <w:kern w:val="0"/>
              </w:rPr>
            </w:pPr>
            <w:r>
              <w:rPr>
                <w:rFonts w:ascii="宋体" w:hAnsi="宋体" w:cs="宋体"/>
                <w:color w:val="000000"/>
                <w:kern w:val="0"/>
                <w:szCs w:val="21"/>
              </w:rPr>
              <w:t>合计</w:t>
            </w:r>
          </w:p>
        </w:tc>
        <w:tc>
          <w:tcPr>
            <w:tcW w:w="204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default" w:ascii="宋体"/>
                <w:color w:val="000000"/>
                <w:kern w:val="0"/>
              </w:rPr>
            </w:pPr>
            <w:r>
              <w:rPr>
                <w:rFonts w:ascii="宋体" w:hAnsi="宋体" w:cs="宋体"/>
                <w:color w:val="000000"/>
                <w:kern w:val="0"/>
                <w:szCs w:val="21"/>
              </w:rPr>
              <w:t>基本支出</w:t>
            </w:r>
          </w:p>
        </w:tc>
        <w:tc>
          <w:tcPr>
            <w:tcW w:w="2002"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default" w:ascii="宋体"/>
                <w:color w:val="000000"/>
                <w:kern w:val="0"/>
              </w:rPr>
            </w:pPr>
            <w:r>
              <w:rPr>
                <w:rFonts w:ascii="宋体" w:hAnsi="宋体" w:cs="宋体"/>
                <w:color w:val="000000"/>
                <w:kern w:val="0"/>
                <w:szCs w:val="21"/>
              </w:rPr>
              <w:t>项目支出</w:t>
            </w:r>
          </w:p>
        </w:tc>
      </w:tr>
      <w:tr>
        <w:tblPrEx>
          <w:tblCellMar>
            <w:top w:w="0" w:type="dxa"/>
            <w:left w:w="108" w:type="dxa"/>
            <w:bottom w:w="0" w:type="dxa"/>
            <w:right w:w="108" w:type="dxa"/>
          </w:tblCellMar>
        </w:tblPrEx>
        <w:trPr>
          <w:trHeight w:val="390" w:hRule="atLeast"/>
          <w:jc w:val="center"/>
        </w:trPr>
        <w:tc>
          <w:tcPr>
            <w:tcW w:w="7596" w:type="dxa"/>
            <w:gridSpan w:val="5"/>
            <w:tcBorders>
              <w:top w:val="nil"/>
              <w:left w:val="single" w:color="000000" w:sz="4" w:space="0"/>
              <w:bottom w:val="single" w:color="000000" w:sz="4" w:space="0"/>
              <w:right w:val="single" w:color="000000" w:sz="4" w:space="0"/>
            </w:tcBorders>
            <w:vAlign w:val="center"/>
          </w:tcPr>
          <w:p>
            <w:pPr>
              <w:widowControl/>
              <w:jc w:val="center"/>
              <w:textAlignment w:val="center"/>
              <w:rPr>
                <w:rFonts w:hint="default" w:ascii="宋体"/>
                <w:color w:val="000000"/>
                <w:kern w:val="0"/>
              </w:rPr>
            </w:pPr>
            <w:r>
              <w:rPr>
                <w:rFonts w:ascii="宋体" w:hAnsi="宋体" w:cs="宋体"/>
                <w:color w:val="000000"/>
                <w:kern w:val="0"/>
                <w:szCs w:val="21"/>
              </w:rPr>
              <w:t>栏次</w:t>
            </w:r>
          </w:p>
        </w:tc>
        <w:tc>
          <w:tcPr>
            <w:tcW w:w="2532" w:type="dxa"/>
            <w:gridSpan w:val="2"/>
            <w:tcBorders>
              <w:top w:val="single" w:color="000000" w:sz="4" w:space="0"/>
              <w:left w:val="nil"/>
              <w:bottom w:val="single" w:color="000000" w:sz="4" w:space="0"/>
              <w:right w:val="single" w:color="000000" w:sz="4" w:space="0"/>
            </w:tcBorders>
            <w:vAlign w:val="center"/>
          </w:tcPr>
          <w:p>
            <w:pPr>
              <w:widowControl/>
              <w:jc w:val="center"/>
              <w:textAlignment w:val="center"/>
              <w:rPr>
                <w:rFonts w:hint="default" w:ascii="宋体"/>
                <w:color w:val="000000"/>
                <w:kern w:val="0"/>
              </w:rPr>
            </w:pPr>
            <w:r>
              <w:rPr>
                <w:rFonts w:ascii="宋体" w:hAnsi="宋体" w:cs="宋体"/>
                <w:color w:val="000000"/>
                <w:kern w:val="0"/>
                <w:szCs w:val="21"/>
              </w:rPr>
              <w:t>1</w:t>
            </w:r>
          </w:p>
        </w:tc>
        <w:tc>
          <w:tcPr>
            <w:tcW w:w="204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default" w:ascii="宋体"/>
                <w:color w:val="000000"/>
                <w:kern w:val="0"/>
              </w:rPr>
            </w:pPr>
            <w:r>
              <w:rPr>
                <w:rFonts w:ascii="宋体" w:hAnsi="宋体" w:cs="宋体"/>
                <w:color w:val="000000"/>
                <w:kern w:val="0"/>
                <w:szCs w:val="21"/>
              </w:rPr>
              <w:t>2</w:t>
            </w:r>
          </w:p>
        </w:tc>
        <w:tc>
          <w:tcPr>
            <w:tcW w:w="2002"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default" w:ascii="宋体"/>
                <w:color w:val="000000"/>
                <w:kern w:val="0"/>
              </w:rPr>
            </w:pPr>
            <w:r>
              <w:rPr>
                <w:rFonts w:ascii="宋体" w:hAnsi="宋体" w:cs="宋体"/>
                <w:color w:val="000000"/>
                <w:kern w:val="0"/>
                <w:szCs w:val="21"/>
              </w:rPr>
              <w:t>3</w:t>
            </w:r>
          </w:p>
        </w:tc>
      </w:tr>
      <w:tr>
        <w:tblPrEx>
          <w:tblCellMar>
            <w:top w:w="0" w:type="dxa"/>
            <w:left w:w="108" w:type="dxa"/>
            <w:bottom w:w="0" w:type="dxa"/>
            <w:right w:w="108" w:type="dxa"/>
          </w:tblCellMar>
        </w:tblPrEx>
        <w:trPr>
          <w:trHeight w:val="480" w:hRule="atLeast"/>
          <w:jc w:val="center"/>
        </w:trPr>
        <w:tc>
          <w:tcPr>
            <w:tcW w:w="7596" w:type="dxa"/>
            <w:gridSpan w:val="5"/>
            <w:tcBorders>
              <w:top w:val="nil"/>
              <w:left w:val="single" w:color="000000" w:sz="4" w:space="0"/>
              <w:bottom w:val="single" w:color="000000" w:sz="4" w:space="0"/>
              <w:right w:val="single" w:color="000000" w:sz="4" w:space="0"/>
            </w:tcBorders>
            <w:vAlign w:val="center"/>
          </w:tcPr>
          <w:p>
            <w:pPr>
              <w:widowControl/>
              <w:jc w:val="center"/>
              <w:textAlignment w:val="center"/>
              <w:rPr>
                <w:rFonts w:hint="default" w:ascii="宋体"/>
                <w:color w:val="000000"/>
                <w:kern w:val="0"/>
              </w:rPr>
            </w:pPr>
            <w:r>
              <w:rPr>
                <w:rFonts w:ascii="宋体" w:hAnsi="宋体" w:cs="宋体"/>
                <w:color w:val="000000"/>
                <w:kern w:val="0"/>
                <w:szCs w:val="21"/>
              </w:rPr>
              <w:t>合计</w:t>
            </w:r>
          </w:p>
        </w:tc>
        <w:tc>
          <w:tcPr>
            <w:tcW w:w="2532" w:type="dxa"/>
            <w:gridSpan w:val="2"/>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2044"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2002"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r>
      <w:tr>
        <w:tblPrEx>
          <w:tblCellMar>
            <w:top w:w="0" w:type="dxa"/>
            <w:left w:w="108" w:type="dxa"/>
            <w:bottom w:w="0" w:type="dxa"/>
            <w:right w:w="108" w:type="dxa"/>
          </w:tblCellMar>
        </w:tblPrEx>
        <w:trPr>
          <w:trHeight w:val="480" w:hRule="atLeast"/>
          <w:jc w:val="center"/>
        </w:trPr>
        <w:tc>
          <w:tcPr>
            <w:tcW w:w="3798"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default" w:ascii="宋体"/>
                <w:color w:val="000000"/>
                <w:kern w:val="0"/>
              </w:rPr>
            </w:pPr>
          </w:p>
        </w:tc>
        <w:tc>
          <w:tcPr>
            <w:tcW w:w="3798" w:type="dxa"/>
            <w:gridSpan w:val="3"/>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2532" w:type="dxa"/>
            <w:gridSpan w:val="2"/>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2044"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2002"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r>
      <w:tr>
        <w:tblPrEx>
          <w:tblCellMar>
            <w:top w:w="0" w:type="dxa"/>
            <w:left w:w="108" w:type="dxa"/>
            <w:bottom w:w="0" w:type="dxa"/>
            <w:right w:w="108" w:type="dxa"/>
          </w:tblCellMar>
        </w:tblPrEx>
        <w:trPr>
          <w:trHeight w:val="480" w:hRule="atLeast"/>
          <w:jc w:val="center"/>
        </w:trPr>
        <w:tc>
          <w:tcPr>
            <w:tcW w:w="3798"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default" w:ascii="宋体"/>
                <w:color w:val="000000"/>
                <w:kern w:val="0"/>
              </w:rPr>
            </w:pPr>
          </w:p>
        </w:tc>
        <w:tc>
          <w:tcPr>
            <w:tcW w:w="3798" w:type="dxa"/>
            <w:gridSpan w:val="3"/>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2532" w:type="dxa"/>
            <w:gridSpan w:val="2"/>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2044"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2002"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r>
      <w:tr>
        <w:tblPrEx>
          <w:tblCellMar>
            <w:top w:w="0" w:type="dxa"/>
            <w:left w:w="108" w:type="dxa"/>
            <w:bottom w:w="0" w:type="dxa"/>
            <w:right w:w="108" w:type="dxa"/>
          </w:tblCellMar>
        </w:tblPrEx>
        <w:trPr>
          <w:trHeight w:val="480" w:hRule="atLeast"/>
          <w:jc w:val="center"/>
        </w:trPr>
        <w:tc>
          <w:tcPr>
            <w:tcW w:w="3798"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default" w:ascii="宋体"/>
                <w:color w:val="000000"/>
                <w:kern w:val="0"/>
              </w:rPr>
            </w:pPr>
          </w:p>
        </w:tc>
        <w:tc>
          <w:tcPr>
            <w:tcW w:w="3798" w:type="dxa"/>
            <w:gridSpan w:val="3"/>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2532" w:type="dxa"/>
            <w:gridSpan w:val="2"/>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2044"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2002"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r>
      <w:tr>
        <w:tblPrEx>
          <w:tblCellMar>
            <w:top w:w="0" w:type="dxa"/>
            <w:left w:w="108" w:type="dxa"/>
            <w:bottom w:w="0" w:type="dxa"/>
            <w:right w:w="108" w:type="dxa"/>
          </w:tblCellMar>
        </w:tblPrEx>
        <w:trPr>
          <w:trHeight w:val="480" w:hRule="atLeast"/>
          <w:jc w:val="center"/>
        </w:trPr>
        <w:tc>
          <w:tcPr>
            <w:tcW w:w="3798"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default" w:ascii="宋体"/>
                <w:color w:val="000000"/>
                <w:kern w:val="0"/>
              </w:rPr>
            </w:pPr>
          </w:p>
        </w:tc>
        <w:tc>
          <w:tcPr>
            <w:tcW w:w="3798" w:type="dxa"/>
            <w:gridSpan w:val="3"/>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2532" w:type="dxa"/>
            <w:gridSpan w:val="2"/>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2044"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2002"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r>
      <w:tr>
        <w:tblPrEx>
          <w:tblCellMar>
            <w:top w:w="0" w:type="dxa"/>
            <w:left w:w="108" w:type="dxa"/>
            <w:bottom w:w="0" w:type="dxa"/>
            <w:right w:w="108" w:type="dxa"/>
          </w:tblCellMar>
        </w:tblPrEx>
        <w:trPr>
          <w:trHeight w:val="480" w:hRule="atLeast"/>
          <w:jc w:val="center"/>
        </w:trPr>
        <w:tc>
          <w:tcPr>
            <w:tcW w:w="3798"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default" w:ascii="宋体"/>
                <w:color w:val="000000"/>
                <w:kern w:val="0"/>
              </w:rPr>
            </w:pPr>
          </w:p>
        </w:tc>
        <w:tc>
          <w:tcPr>
            <w:tcW w:w="3798" w:type="dxa"/>
            <w:gridSpan w:val="3"/>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2532" w:type="dxa"/>
            <w:gridSpan w:val="2"/>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2044"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2002"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r>
      <w:tr>
        <w:tblPrEx>
          <w:tblCellMar>
            <w:top w:w="0" w:type="dxa"/>
            <w:left w:w="108" w:type="dxa"/>
            <w:bottom w:w="0" w:type="dxa"/>
            <w:right w:w="108" w:type="dxa"/>
          </w:tblCellMar>
        </w:tblPrEx>
        <w:trPr>
          <w:trHeight w:val="480" w:hRule="atLeast"/>
          <w:jc w:val="center"/>
        </w:trPr>
        <w:tc>
          <w:tcPr>
            <w:tcW w:w="3798"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default" w:ascii="宋体"/>
                <w:color w:val="000000"/>
                <w:kern w:val="0"/>
              </w:rPr>
            </w:pPr>
          </w:p>
        </w:tc>
        <w:tc>
          <w:tcPr>
            <w:tcW w:w="3798" w:type="dxa"/>
            <w:gridSpan w:val="3"/>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2532" w:type="dxa"/>
            <w:gridSpan w:val="2"/>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2044"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c>
          <w:tcPr>
            <w:tcW w:w="2002" w:type="dxa"/>
            <w:tcBorders>
              <w:top w:val="single" w:color="000000" w:sz="4" w:space="0"/>
              <w:left w:val="nil"/>
              <w:bottom w:val="single" w:color="000000" w:sz="4" w:space="0"/>
              <w:right w:val="single" w:color="000000" w:sz="4" w:space="0"/>
            </w:tcBorders>
            <w:vAlign w:val="center"/>
          </w:tcPr>
          <w:p>
            <w:pPr>
              <w:jc w:val="center"/>
              <w:rPr>
                <w:rFonts w:hint="default" w:ascii="宋体"/>
                <w:color w:val="000000"/>
                <w:kern w:val="0"/>
              </w:rPr>
            </w:pPr>
          </w:p>
        </w:tc>
      </w:tr>
    </w:tbl>
    <w:p>
      <w:pPr>
        <w:widowControl/>
        <w:spacing w:line="560" w:lineRule="atLeast"/>
        <w:jc w:val="left"/>
        <w:rPr>
          <w:rFonts w:hint="default" w:ascii="宋体" w:hAnsi="宋体" w:cs="宋体"/>
          <w:kern w:val="0"/>
          <w:szCs w:val="21"/>
        </w:rPr>
      </w:pPr>
      <w:r>
        <w:rPr>
          <w:rFonts w:ascii="宋体" w:hAnsi="宋体" w:cs="宋体"/>
          <w:kern w:val="0"/>
          <w:szCs w:val="21"/>
        </w:rPr>
        <w:t>注：1.本表反映部门本年度国有资本经营预算财政拨款支出情况。2.本套报表金额单位转换时可能存在尾数误差。3.如本表为空，则我部门本年度无此类资金收支余。</w:t>
      </w:r>
    </w:p>
    <w:p>
      <w:pPr>
        <w:rPr>
          <w:rFonts w:hint="default"/>
        </w:rPr>
      </w:pPr>
    </w:p>
    <w:p>
      <w:pPr>
        <w:rPr>
          <w:rFonts w:hint="default"/>
        </w:rPr>
      </w:pPr>
    </w:p>
    <w:sectPr>
      <w:headerReference r:id="rId3" w:type="default"/>
      <w:footerReference r:id="rId4" w:type="default"/>
      <w:pgSz w:w="16783" w:h="11850" w:orient="landscape"/>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default"/>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88022F"/>
    <w:multiLevelType w:val="singleLevel"/>
    <w:tmpl w:val="8688022F"/>
    <w:lvl w:ilvl="0" w:tentative="0">
      <w:start w:val="5"/>
      <w:numFmt w:val="decimal"/>
      <w:suff w:val="nothing"/>
      <w:lvlText w:val="（%1）"/>
      <w:lvlJc w:val="left"/>
    </w:lvl>
  </w:abstractNum>
  <w:abstractNum w:abstractNumId="1">
    <w:nsid w:val="AFFD0980"/>
    <w:multiLevelType w:val="singleLevel"/>
    <w:tmpl w:val="AFFD0980"/>
    <w:lvl w:ilvl="0" w:tentative="0">
      <w:start w:val="1"/>
      <w:numFmt w:val="decimal"/>
      <w:suff w:val="nothing"/>
      <w:lvlText w:val="（%1）"/>
      <w:lvlJc w:val="left"/>
    </w:lvl>
  </w:abstractNum>
  <w:abstractNum w:abstractNumId="2">
    <w:nsid w:val="614D78AC"/>
    <w:multiLevelType w:val="singleLevel"/>
    <w:tmpl w:val="614D78AC"/>
    <w:lvl w:ilvl="0" w:tentative="0">
      <w:start w:val="18"/>
      <w:numFmt w:val="decimal"/>
      <w:lvlText w:val="%1."/>
      <w:lvlJc w:val="left"/>
      <w:pPr>
        <w:tabs>
          <w:tab w:val="left" w:pos="312"/>
        </w:tabs>
      </w:pPr>
      <w:rPr>
        <w:rFonts w:hint="default"/>
        <w:b/>
        <w:bCs/>
      </w:rPr>
    </w:lvl>
  </w:abstractNum>
  <w:abstractNum w:abstractNumId="3">
    <w:nsid w:val="632C2848"/>
    <w:multiLevelType w:val="singleLevel"/>
    <w:tmpl w:val="632C2848"/>
    <w:lvl w:ilvl="0" w:tentative="0">
      <w:start w:val="4"/>
      <w:numFmt w:val="chineseCounting"/>
      <w:suff w:val="nothing"/>
      <w:lvlText w:val="第%1部"/>
      <w:lvlJc w:val="left"/>
    </w:lvl>
  </w:abstractNum>
  <w:abstractNum w:abstractNumId="4">
    <w:nsid w:val="632D1E19"/>
    <w:multiLevelType w:val="singleLevel"/>
    <w:tmpl w:val="632D1E19"/>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Q4YTRkZTBiYzE0N2U2ODYxOGY3MTk2OGFmZTIyYzUifQ=="/>
  </w:docVars>
  <w:rsids>
    <w:rsidRoot w:val="1C635C29"/>
    <w:rsid w:val="00060165"/>
    <w:rsid w:val="000B596F"/>
    <w:rsid w:val="00100607"/>
    <w:rsid w:val="001D0B4A"/>
    <w:rsid w:val="00320394"/>
    <w:rsid w:val="00342E31"/>
    <w:rsid w:val="0038444A"/>
    <w:rsid w:val="00387684"/>
    <w:rsid w:val="0044142C"/>
    <w:rsid w:val="00485722"/>
    <w:rsid w:val="00505889"/>
    <w:rsid w:val="005812D3"/>
    <w:rsid w:val="005814A4"/>
    <w:rsid w:val="00590A8D"/>
    <w:rsid w:val="005C4DCE"/>
    <w:rsid w:val="00753B9D"/>
    <w:rsid w:val="00756329"/>
    <w:rsid w:val="007F77B9"/>
    <w:rsid w:val="008040A1"/>
    <w:rsid w:val="00954778"/>
    <w:rsid w:val="00A17144"/>
    <w:rsid w:val="00A5357A"/>
    <w:rsid w:val="00A57A14"/>
    <w:rsid w:val="00B54181"/>
    <w:rsid w:val="00BC09C4"/>
    <w:rsid w:val="00DC3915"/>
    <w:rsid w:val="00E4305D"/>
    <w:rsid w:val="00F16B2B"/>
    <w:rsid w:val="00F67249"/>
    <w:rsid w:val="00F724E9"/>
    <w:rsid w:val="01451EDB"/>
    <w:rsid w:val="0308140F"/>
    <w:rsid w:val="09C4782E"/>
    <w:rsid w:val="0CC05762"/>
    <w:rsid w:val="0F205C25"/>
    <w:rsid w:val="13951624"/>
    <w:rsid w:val="1C3B1B7B"/>
    <w:rsid w:val="1C635C29"/>
    <w:rsid w:val="1E4E2B9D"/>
    <w:rsid w:val="27D9546C"/>
    <w:rsid w:val="2AC03192"/>
    <w:rsid w:val="2DE53309"/>
    <w:rsid w:val="3024598C"/>
    <w:rsid w:val="3037459A"/>
    <w:rsid w:val="309C7C5B"/>
    <w:rsid w:val="31406160"/>
    <w:rsid w:val="33A04957"/>
    <w:rsid w:val="33C564C3"/>
    <w:rsid w:val="358D1F34"/>
    <w:rsid w:val="36230505"/>
    <w:rsid w:val="389F3BAE"/>
    <w:rsid w:val="38F518A7"/>
    <w:rsid w:val="3AEE50A2"/>
    <w:rsid w:val="423F1E90"/>
    <w:rsid w:val="443A7198"/>
    <w:rsid w:val="4660363C"/>
    <w:rsid w:val="46C049E8"/>
    <w:rsid w:val="4A9A4FFB"/>
    <w:rsid w:val="4CE44ADF"/>
    <w:rsid w:val="505F3A04"/>
    <w:rsid w:val="54F6469B"/>
    <w:rsid w:val="56497E10"/>
    <w:rsid w:val="5CC85CD2"/>
    <w:rsid w:val="5E347EBC"/>
    <w:rsid w:val="5E4E093F"/>
    <w:rsid w:val="63AD401E"/>
    <w:rsid w:val="673C6F2C"/>
    <w:rsid w:val="685843F4"/>
    <w:rsid w:val="6F710804"/>
    <w:rsid w:val="71022A40"/>
    <w:rsid w:val="73263BFB"/>
    <w:rsid w:val="74723C2F"/>
    <w:rsid w:val="75355D21"/>
    <w:rsid w:val="76011B14"/>
    <w:rsid w:val="7D024843"/>
    <w:rsid w:val="7E60086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hint="eastAsia" w:ascii="Times New Roman" w:hAnsi="Times New Roman" w:eastAsia="宋体" w:cstheme="minorBidi"/>
      <w:kern w:val="2"/>
      <w:sz w:val="21"/>
      <w:szCs w:val="22"/>
      <w:lang w:val="en-US" w:eastAsia="zh-CN" w:bidi="ar-SA"/>
    </w:rPr>
  </w:style>
  <w:style w:type="character" w:default="1" w:styleId="6">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footer"/>
    <w:basedOn w:val="1"/>
    <w:link w:val="9"/>
    <w:qFormat/>
    <w:uiPriority w:val="0"/>
    <w:pPr>
      <w:tabs>
        <w:tab w:val="center" w:pos="4153"/>
        <w:tab w:val="right" w:pos="8306"/>
      </w:tabs>
      <w:snapToGrid w:val="0"/>
      <w:jc w:val="left"/>
    </w:pPr>
    <w:rPr>
      <w:sz w:val="18"/>
      <w:szCs w:val="18"/>
    </w:rPr>
  </w:style>
  <w:style w:type="paragraph" w:styleId="3">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7">
    <w:name w:val="p0"/>
    <w:basedOn w:val="1"/>
    <w:qFormat/>
    <w:uiPriority w:val="0"/>
    <w:pPr>
      <w:widowControl/>
    </w:pPr>
    <w:rPr>
      <w:rFonts w:ascii="宋体" w:hAnsi="宋体"/>
    </w:rPr>
  </w:style>
  <w:style w:type="character" w:customStyle="1" w:styleId="8">
    <w:name w:val="页眉 Char"/>
    <w:basedOn w:val="6"/>
    <w:link w:val="3"/>
    <w:qFormat/>
    <w:uiPriority w:val="0"/>
    <w:rPr>
      <w:rFonts w:ascii="Times New Roman" w:hAnsi="Times New Roman" w:eastAsia="宋体"/>
      <w:kern w:val="2"/>
      <w:sz w:val="18"/>
      <w:szCs w:val="18"/>
    </w:rPr>
  </w:style>
  <w:style w:type="character" w:customStyle="1" w:styleId="9">
    <w:name w:val="页脚 Char"/>
    <w:basedOn w:val="6"/>
    <w:link w:val="2"/>
    <w:qFormat/>
    <w:uiPriority w:val="0"/>
    <w:rPr>
      <w:rFonts w:ascii="Times New Roman" w:hAnsi="Times New Roman" w:eastAsia="宋体"/>
      <w:kern w:val="2"/>
      <w:sz w:val="18"/>
      <w:szCs w:val="18"/>
    </w:rPr>
  </w:style>
  <w:style w:type="paragraph" w:customStyle="1" w:styleId="10">
    <w:name w:val="p15"/>
    <w:basedOn w:val="1"/>
    <w:qFormat/>
    <w:uiPriority w:val="0"/>
    <w:pPr>
      <w:widowControl/>
    </w:pPr>
    <w:rPr>
      <w:rFonts w:hint="default" w:ascii="宋体" w:hAnsi="宋体" w:cs="宋体"/>
      <w:kern w:val="0"/>
      <w:szCs w:val="21"/>
    </w:rPr>
  </w:style>
  <w:style w:type="character" w:customStyle="1" w:styleId="11">
    <w:name w:val="font11"/>
    <w:basedOn w:val="6"/>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83</Pages>
  <Words>20929</Words>
  <Characters>25023</Characters>
  <Lines>37</Lines>
  <Paragraphs>10</Paragraphs>
  <TotalTime>0</TotalTime>
  <ScaleCrop>false</ScaleCrop>
  <LinksUpToDate>false</LinksUpToDate>
  <CharactersWithSpaces>25784</CharactersWithSpaces>
  <Application>WPS Office_12.1.0.15398_F1E327BC-269C-435d-A152-05C5408002CA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2022-09-16T02:31:00Z</dcterms:created>
  <dc:creator>国库处-王艳秋</dc:creator>
  <cp:lastModifiedBy>大马</cp:lastModifiedBy>
  <cp:lastPrinted>2022-09-27T08:40:00Z</cp:lastPrinted>
  <dcterms:modified xsi:type="dcterms:W3CDTF">2023-10-18T08:13:29Z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39B2C8D542104BA283748C0CC7F42BBF</vt:lpwstr>
  </property>
</Properties>
</file>