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6A247"/>
    <w:p w14:paraId="5CA460FB"/>
    <w:p w14:paraId="29F2DF47"/>
    <w:p w14:paraId="796238EF"/>
    <w:p w14:paraId="66F59D0A"/>
    <w:p w14:paraId="6F196551"/>
    <w:p w14:paraId="3B09A070"/>
    <w:p w14:paraId="4DB12097"/>
    <w:p w14:paraId="1D432EAA"/>
    <w:p w14:paraId="6EE8CBFF"/>
    <w:p w14:paraId="4FBF0711">
      <w:pPr>
        <w:jc w:val="center"/>
        <w:rPr>
          <w:rFonts w:hint="eastAsia" w:ascii="方正小标宋_GBK" w:hAnsi="仿宋" w:eastAsia="方正小标宋_GBK"/>
          <w:b w:val="0"/>
          <w:bCs/>
          <w:spacing w:val="28"/>
          <w:sz w:val="48"/>
          <w:szCs w:val="44"/>
        </w:rPr>
      </w:pPr>
      <w:r>
        <w:rPr>
          <w:rFonts w:hint="eastAsia" w:ascii="方正小标宋_GBK" w:hAnsi="仿宋" w:eastAsia="方正小标宋_GBK"/>
          <w:b w:val="0"/>
          <w:bCs/>
          <w:spacing w:val="28"/>
          <w:sz w:val="48"/>
          <w:szCs w:val="44"/>
        </w:rPr>
        <w:t>202</w:t>
      </w:r>
      <w:r>
        <w:rPr>
          <w:rFonts w:hint="eastAsia" w:ascii="方正小标宋_GBK" w:hAnsi="仿宋" w:eastAsia="方正小标宋_GBK"/>
          <w:b w:val="0"/>
          <w:bCs/>
          <w:spacing w:val="28"/>
          <w:sz w:val="48"/>
          <w:szCs w:val="44"/>
          <w:lang w:val="en-US" w:eastAsia="zh-CN"/>
        </w:rPr>
        <w:t>5</w:t>
      </w:r>
      <w:r>
        <w:rPr>
          <w:rFonts w:hint="eastAsia" w:ascii="方正小标宋_GBK" w:hAnsi="仿宋" w:eastAsia="方正小标宋_GBK"/>
          <w:b w:val="0"/>
          <w:bCs/>
          <w:spacing w:val="28"/>
          <w:sz w:val="48"/>
          <w:szCs w:val="44"/>
        </w:rPr>
        <w:t>年沈阳市国有企业工资价位和</w:t>
      </w:r>
    </w:p>
    <w:p w14:paraId="49C32376">
      <w:pPr>
        <w:jc w:val="center"/>
        <w:rPr>
          <w:rFonts w:ascii="方正小标宋_GBK" w:hAnsi="仿宋" w:eastAsia="方正小标宋_GBK"/>
          <w:b w:val="0"/>
          <w:bCs/>
          <w:spacing w:val="28"/>
          <w:sz w:val="48"/>
          <w:szCs w:val="44"/>
        </w:rPr>
      </w:pPr>
      <w:r>
        <w:rPr>
          <w:rFonts w:hint="eastAsia" w:ascii="方正小标宋_GBK" w:hAnsi="仿宋" w:eastAsia="方正小标宋_GBK"/>
          <w:b w:val="0"/>
          <w:bCs/>
          <w:spacing w:val="28"/>
          <w:sz w:val="48"/>
          <w:szCs w:val="44"/>
        </w:rPr>
        <w:t>人工成本信息报告</w:t>
      </w:r>
    </w:p>
    <w:p w14:paraId="29AAC661"/>
    <w:p w14:paraId="6FB76046"/>
    <w:p w14:paraId="7386F1BA">
      <w:pPr>
        <w:jc w:val="center"/>
      </w:pPr>
    </w:p>
    <w:p w14:paraId="61E0A44D"/>
    <w:p w14:paraId="7C4821C9"/>
    <w:p w14:paraId="4A055CBC"/>
    <w:p w14:paraId="7D038D87"/>
    <w:p w14:paraId="4A588A20"/>
    <w:p w14:paraId="6047D6F7"/>
    <w:p w14:paraId="7BE15FB7"/>
    <w:p w14:paraId="0C320EC9"/>
    <w:p w14:paraId="2A123A04"/>
    <w:p w14:paraId="1C767762"/>
    <w:p w14:paraId="05C75F72"/>
    <w:p w14:paraId="6CD361B3"/>
    <w:p w14:paraId="5B9182EF"/>
    <w:p w14:paraId="5BE9CBEF"/>
    <w:p w14:paraId="18930C5D"/>
    <w:p w14:paraId="4B196FD2"/>
    <w:p w14:paraId="01C9AA6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588947"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沈阳市人力资源和社会保障局</w:t>
      </w:r>
    </w:p>
    <w:p w14:paraId="58C5C467"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202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</w:p>
    <w:p w14:paraId="31A940C0"/>
    <w:p w14:paraId="5DC7AAFC"/>
    <w:p w14:paraId="4C2FA18D">
      <w:p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sdt>
      <w:sdtPr>
        <w:rPr>
          <w:rFonts w:hint="eastAsia" w:ascii="黑体" w:hAnsi="黑体" w:eastAsia="黑体"/>
          <w:sz w:val="28"/>
          <w:szCs w:val="40"/>
        </w:rPr>
        <w:id w:val="147475119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/>
          <w:sz w:val="21"/>
          <w:szCs w:val="22"/>
        </w:rPr>
      </w:sdtEndPr>
      <w:sdtContent>
        <w:p w14:paraId="5F4DB584">
          <w:pPr>
            <w:spacing w:line="360" w:lineRule="auto"/>
            <w:jc w:val="center"/>
            <w:rPr>
              <w:rFonts w:ascii="黑体" w:hAnsi="黑体" w:eastAsia="黑体"/>
              <w:sz w:val="28"/>
              <w:szCs w:val="40"/>
            </w:rPr>
          </w:pPr>
          <w:r>
            <w:rPr>
              <w:rFonts w:hint="eastAsia" w:ascii="黑体" w:hAnsi="黑体" w:eastAsia="黑体"/>
              <w:sz w:val="28"/>
              <w:szCs w:val="40"/>
            </w:rPr>
            <w:t>目 录</w:t>
          </w:r>
        </w:p>
        <w:p w14:paraId="1F54DBEB">
          <w:pPr>
            <w:pStyle w:val="10"/>
            <w:tabs>
              <w:tab w:val="right" w:leader="dot" w:pos="9638"/>
            </w:tabs>
            <w:spacing w:line="360" w:lineRule="auto"/>
          </w:pPr>
          <w:r>
            <w:rPr>
              <w:rFonts w:ascii="Arial" w:hAnsi="Arial" w:cs="Arial"/>
              <w:sz w:val="22"/>
            </w:rPr>
            <w:fldChar w:fldCharType="begin"/>
          </w:r>
          <w:r>
            <w:rPr>
              <w:rFonts w:ascii="Arial" w:hAnsi="Arial" w:cs="Arial"/>
              <w:sz w:val="22"/>
            </w:rPr>
            <w:instrText xml:space="preserve">TOC \o "1-3" \h \u </w:instrText>
          </w:r>
          <w:r>
            <w:rPr>
              <w:rFonts w:ascii="Arial" w:hAnsi="Arial" w:cs="Arial"/>
              <w:sz w:val="22"/>
            </w:rPr>
            <w:fldChar w:fldCharType="separate"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HYPERLINK \l _Toc6692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hint="eastAsia" w:ascii="黑体" w:hAnsi="黑体" w:eastAsia="黑体"/>
              <w:bCs w:val="0"/>
              <w:kern w:val="2"/>
              <w:szCs w:val="40"/>
            </w:rPr>
            <w:t>第一部分 202</w:t>
          </w:r>
          <w:r>
            <w:rPr>
              <w:rFonts w:hint="eastAsia" w:ascii="黑体" w:hAnsi="黑体"/>
              <w:bCs w:val="0"/>
              <w:kern w:val="2"/>
              <w:szCs w:val="40"/>
              <w:lang w:val="en-US" w:eastAsia="zh-CN"/>
            </w:rPr>
            <w:t>5</w:t>
          </w:r>
          <w:r>
            <w:rPr>
              <w:rFonts w:hint="eastAsia" w:ascii="黑体" w:hAnsi="黑体" w:eastAsia="黑体"/>
              <w:bCs w:val="0"/>
              <w:kern w:val="2"/>
              <w:szCs w:val="40"/>
            </w:rPr>
            <w:t>年沈阳市国有企业工资价位信息</w:t>
          </w:r>
          <w: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_Toc6692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4FA82574">
          <w:pPr>
            <w:pStyle w:val="12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  <w:sz w:val="24"/>
              <w:szCs w:val="24"/>
            </w:rPr>
          </w:pP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HYPERLINK \l _Toc24844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 w:val="24"/>
              <w:szCs w:val="24"/>
            </w:rPr>
            <w:t>一、国有企业从业人员工资价位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PAGEREF _Toc24844 \h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1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</w:p>
        <w:p w14:paraId="50E84EF8">
          <w:pPr>
            <w:pStyle w:val="6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  <w:sz w:val="24"/>
              <w:szCs w:val="24"/>
            </w:rPr>
          </w:pP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HYPERLINK \l _Toc25770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（一）全行业分职业小类工资价位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PAGEREF _Toc25770 \h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1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</w:p>
        <w:p w14:paraId="3D69B300">
          <w:pPr>
            <w:pStyle w:val="6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  <w:sz w:val="24"/>
              <w:szCs w:val="24"/>
            </w:rPr>
          </w:pP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HYPERLINK \l _Toc7745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（二）分学历工资价位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tab/>
          </w:r>
          <w:bookmarkStart w:id="20" w:name="_GoBack"/>
          <w:bookmarkEnd w:id="20"/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PAGEREF _Toc7745 \h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3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</w:p>
        <w:p w14:paraId="45010BF2">
          <w:pPr>
            <w:pStyle w:val="6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  <w:sz w:val="24"/>
              <w:szCs w:val="24"/>
            </w:rPr>
          </w:pP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HYPERLINK \l _Toc31701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（三）分岗位等级工资价位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PAGEREF _Toc31701 \h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4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</w:p>
        <w:p w14:paraId="0D009940">
          <w:pPr>
            <w:pStyle w:val="12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  <w:sz w:val="24"/>
              <w:szCs w:val="24"/>
            </w:rPr>
          </w:pP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HYPERLINK \l _Toc31999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 w:val="24"/>
              <w:szCs w:val="24"/>
            </w:rPr>
            <w:t>二、国有企业从业人员工资结构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PAGEREF _Toc31999 \h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5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</w:p>
        <w:p w14:paraId="37CA50D6">
          <w:pPr>
            <w:pStyle w:val="10"/>
            <w:tabs>
              <w:tab w:val="right" w:leader="dot" w:pos="9638"/>
            </w:tabs>
            <w:spacing w:line="360" w:lineRule="auto"/>
          </w:pPr>
          <w:r>
            <w:rPr>
              <w:rFonts w:ascii="Arial" w:hAnsi="Arial" w:cs="Arial"/>
              <w:szCs w:val="28"/>
            </w:rPr>
            <w:fldChar w:fldCharType="begin"/>
          </w:r>
          <w:r>
            <w:rPr>
              <w:rFonts w:ascii="Arial" w:hAnsi="Arial" w:cs="Arial"/>
              <w:szCs w:val="28"/>
            </w:rPr>
            <w:instrText xml:space="preserve"> HYPERLINK \l _Toc16646 </w:instrText>
          </w:r>
          <w:r>
            <w:rPr>
              <w:rFonts w:ascii="Arial" w:hAnsi="Arial" w:cs="Arial"/>
              <w:szCs w:val="28"/>
            </w:rPr>
            <w:fldChar w:fldCharType="separate"/>
          </w:r>
          <w:r>
            <w:rPr>
              <w:rFonts w:hint="eastAsia" w:ascii="黑体" w:hAnsi="黑体" w:eastAsia="黑体"/>
              <w:bCs w:val="0"/>
              <w:kern w:val="2"/>
              <w:szCs w:val="40"/>
            </w:rPr>
            <w:t>第二部分 202</w:t>
          </w:r>
          <w:r>
            <w:rPr>
              <w:rFonts w:hint="eastAsia" w:ascii="黑体" w:hAnsi="黑体"/>
              <w:bCs w:val="0"/>
              <w:kern w:val="2"/>
              <w:szCs w:val="40"/>
              <w:lang w:val="en-US" w:eastAsia="zh-CN"/>
            </w:rPr>
            <w:t>5</w:t>
          </w:r>
          <w:r>
            <w:rPr>
              <w:rFonts w:hint="eastAsia" w:ascii="黑体" w:hAnsi="黑体" w:eastAsia="黑体"/>
              <w:bCs w:val="0"/>
              <w:kern w:val="2"/>
              <w:szCs w:val="40"/>
            </w:rPr>
            <w:t>年沈阳市国有企业人工成本信息</w:t>
          </w:r>
          <w: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_Toc16646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ascii="Arial" w:hAnsi="Arial" w:cs="Arial"/>
              <w:szCs w:val="28"/>
            </w:rPr>
            <w:fldChar w:fldCharType="end"/>
          </w:r>
        </w:p>
        <w:p w14:paraId="74DC34DF">
          <w:pPr>
            <w:pStyle w:val="12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Cs w:val="28"/>
            </w:rPr>
            <w:instrText xml:space="preserve"> HYPERLINK \l _Toc7888 </w:instrText>
          </w:r>
          <w:r>
            <w:rPr>
              <w:rFonts w:hint="default" w:ascii="Times New Roman" w:hAnsi="Times New Roman" w:cs="Times New Roman"/>
              <w:szCs w:val="28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</w:rPr>
            <w:t>一、国有企业人均人工成本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_Toc7888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  <w:szCs w:val="28"/>
            </w:rPr>
            <w:fldChar w:fldCharType="end"/>
          </w:r>
        </w:p>
        <w:p w14:paraId="1541D7AF">
          <w:pPr>
            <w:pStyle w:val="12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Cs w:val="28"/>
            </w:rPr>
            <w:instrText xml:space="preserve"> HYPERLINK \l _Toc18050 </w:instrText>
          </w:r>
          <w:r>
            <w:rPr>
              <w:rFonts w:hint="default" w:ascii="Times New Roman" w:hAnsi="Times New Roman" w:cs="Times New Roman"/>
              <w:szCs w:val="28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</w:rPr>
            <w:t>二、国有企业人工成本结构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_Toc18050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  <w:szCs w:val="28"/>
            </w:rPr>
            <w:fldChar w:fldCharType="end"/>
          </w:r>
        </w:p>
        <w:p w14:paraId="7B18600B">
          <w:pPr>
            <w:pStyle w:val="12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Cs w:val="28"/>
            </w:rPr>
            <w:instrText xml:space="preserve"> HYPERLINK \l _Toc4140 </w:instrText>
          </w:r>
          <w:r>
            <w:rPr>
              <w:rFonts w:hint="default" w:ascii="Times New Roman" w:hAnsi="Times New Roman" w:cs="Times New Roman"/>
              <w:szCs w:val="28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</w:rPr>
            <w:t>三、国有企业人工成本效益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_Toc4140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  <w:szCs w:val="28"/>
            </w:rPr>
            <w:fldChar w:fldCharType="end"/>
          </w:r>
        </w:p>
        <w:p w14:paraId="02672311">
          <w:pPr>
            <w:spacing w:line="360" w:lineRule="auto"/>
          </w:pPr>
          <w:r>
            <w:rPr>
              <w:rFonts w:ascii="Arial" w:hAnsi="Arial" w:cs="Arial"/>
              <w:szCs w:val="28"/>
            </w:rPr>
            <w:fldChar w:fldCharType="end"/>
          </w:r>
        </w:p>
      </w:sdtContent>
    </w:sdt>
    <w:p w14:paraId="69BF04F5"/>
    <w:p w14:paraId="70AF9B60"/>
    <w:p w14:paraId="3FD67D8B"/>
    <w:p w14:paraId="3C5A34B4"/>
    <w:p w14:paraId="290F396E"/>
    <w:p w14:paraId="4F3C1E91"/>
    <w:p w14:paraId="5D860E01"/>
    <w:p w14:paraId="2A7B094F"/>
    <w:p w14:paraId="24BBE01C"/>
    <w:p w14:paraId="28C90599"/>
    <w:p w14:paraId="7F9C14CC"/>
    <w:p w14:paraId="7661CF36"/>
    <w:p w14:paraId="269A1C69"/>
    <w:p w14:paraId="28FEEFFF"/>
    <w:p w14:paraId="750215FE"/>
    <w:p w14:paraId="013498D9"/>
    <w:p w14:paraId="2B9C371A"/>
    <w:p w14:paraId="3CDE99F8"/>
    <w:p w14:paraId="507A770F"/>
    <w:p w14:paraId="1FA75728"/>
    <w:p w14:paraId="44963AA3">
      <w:pPr>
        <w:sectPr>
          <w:footerReference r:id="rId3" w:type="default"/>
          <w:pgSz w:w="11906" w:h="16838"/>
          <w:pgMar w:top="1440" w:right="1134" w:bottom="1440" w:left="1134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2AFE872C">
      <w:pPr>
        <w:pStyle w:val="2"/>
        <w:spacing w:line="480" w:lineRule="auto"/>
        <w:ind w:firstLine="0" w:firstLineChars="0"/>
        <w:jc w:val="center"/>
        <w:rPr>
          <w:rFonts w:ascii="黑体" w:hAnsi="黑体" w:eastAsia="黑体"/>
          <w:b w:val="0"/>
          <w:bCs w:val="0"/>
          <w:kern w:val="2"/>
          <w:sz w:val="40"/>
          <w:szCs w:val="40"/>
        </w:rPr>
      </w:pPr>
      <w:bookmarkStart w:id="0" w:name="_Toc90624840"/>
      <w:bookmarkStart w:id="1" w:name="_Toc6692"/>
      <w:r>
        <w:rPr>
          <w:rFonts w:hint="eastAsia" w:ascii="黑体" w:hAnsi="黑体" w:eastAsia="黑体"/>
          <w:b w:val="0"/>
          <w:bCs w:val="0"/>
          <w:kern w:val="2"/>
          <w:sz w:val="40"/>
          <w:szCs w:val="40"/>
        </w:rPr>
        <w:t>第一部分 202</w:t>
      </w:r>
      <w:r>
        <w:rPr>
          <w:rFonts w:hint="eastAsia" w:ascii="黑体" w:hAnsi="黑体" w:eastAsia="黑体"/>
          <w:b w:val="0"/>
          <w:bCs w:val="0"/>
          <w:kern w:val="2"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/>
          <w:b w:val="0"/>
          <w:bCs w:val="0"/>
          <w:kern w:val="2"/>
          <w:sz w:val="40"/>
          <w:szCs w:val="40"/>
        </w:rPr>
        <w:t>年沈阳市国有企业</w:t>
      </w:r>
      <w:bookmarkEnd w:id="0"/>
      <w:r>
        <w:rPr>
          <w:rFonts w:hint="eastAsia" w:ascii="黑体" w:hAnsi="黑体" w:eastAsia="黑体"/>
          <w:b w:val="0"/>
          <w:bCs w:val="0"/>
          <w:kern w:val="2"/>
          <w:sz w:val="40"/>
          <w:szCs w:val="40"/>
        </w:rPr>
        <w:t>工资价位信息</w:t>
      </w:r>
      <w:bookmarkEnd w:id="1"/>
    </w:p>
    <w:p w14:paraId="416D59EF">
      <w:pPr>
        <w:pStyle w:val="3"/>
        <w:bidi w:val="0"/>
      </w:pPr>
      <w:bookmarkStart w:id="2" w:name="_Toc90624841"/>
      <w:bookmarkStart w:id="3" w:name="_Toc24844"/>
      <w:r>
        <w:rPr>
          <w:rFonts w:hint="eastAsia"/>
        </w:rPr>
        <w:t>一、国有企业</w:t>
      </w:r>
      <w:bookmarkEnd w:id="2"/>
      <w:r>
        <w:rPr>
          <w:rFonts w:hint="eastAsia"/>
        </w:rPr>
        <w:t>从业人员工资价位</w:t>
      </w:r>
      <w:bookmarkEnd w:id="3"/>
    </w:p>
    <w:p w14:paraId="1457DDE2">
      <w:pPr>
        <w:pStyle w:val="4"/>
        <w:bidi w:val="0"/>
      </w:pPr>
      <w:bookmarkStart w:id="4" w:name="_Toc90624842"/>
      <w:bookmarkStart w:id="5" w:name="_Toc25770"/>
      <w:r>
        <w:rPr>
          <w:rFonts w:hint="eastAsia"/>
        </w:rPr>
        <w:t>（一）</w:t>
      </w:r>
      <w:bookmarkEnd w:id="4"/>
      <w:r>
        <w:rPr>
          <w:rFonts w:hint="eastAsia"/>
        </w:rPr>
        <w:t>全行业分职业小类工资价位</w:t>
      </w:r>
      <w:bookmarkEnd w:id="5"/>
    </w:p>
    <w:p w14:paraId="4411556D">
      <w:pPr>
        <w:jc w:val="center"/>
        <w:rPr>
          <w:rFonts w:eastAsia="黑体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沈阳市国有企业分职业小类从业人员工资价位（202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33BEAA3A">
      <w:pPr>
        <w:widowControl/>
        <w:wordWrap w:val="0"/>
        <w:spacing w:line="400" w:lineRule="exact"/>
        <w:jc w:val="righ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单位：元/年</w:t>
      </w:r>
    </w:p>
    <w:tbl>
      <w:tblPr>
        <w:tblStyle w:val="1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2"/>
        <w:gridCol w:w="4314"/>
        <w:gridCol w:w="928"/>
        <w:gridCol w:w="928"/>
        <w:gridCol w:w="928"/>
        <w:gridCol w:w="928"/>
        <w:gridCol w:w="938"/>
      </w:tblGrid>
      <w:tr w14:paraId="7A69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1DB6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4023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1257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 w14:paraId="0394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38148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4E92F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27A4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7089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6C77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177C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0434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 w14:paraId="5039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63208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110618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222908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351047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519515 </w:t>
            </w:r>
          </w:p>
        </w:tc>
      </w:tr>
      <w:tr w14:paraId="53AB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哲学研究人员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70286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85384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115540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157288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232201 </w:t>
            </w:r>
          </w:p>
        </w:tc>
      </w:tr>
      <w:tr w14:paraId="5205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地质勘探工程技术人员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75192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97973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134988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180000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264644 </w:t>
            </w:r>
          </w:p>
        </w:tc>
      </w:tr>
      <w:tr w14:paraId="19EB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测绘和地理信息工程技术人员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59548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90066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99846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128737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143757 </w:t>
            </w:r>
          </w:p>
        </w:tc>
      </w:tr>
      <w:tr w14:paraId="6E62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75239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87497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107305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143907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180868 </w:t>
            </w:r>
          </w:p>
        </w:tc>
      </w:tr>
      <w:tr w14:paraId="30FA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66024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96746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109510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134658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191936 </w:t>
            </w:r>
          </w:p>
        </w:tc>
      </w:tr>
      <w:tr w14:paraId="5BF9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58249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71527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88583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112448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160525 </w:t>
            </w:r>
          </w:p>
        </w:tc>
      </w:tr>
      <w:tr w14:paraId="0AF5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39856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65556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112267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152321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230390 </w:t>
            </w:r>
          </w:p>
        </w:tc>
      </w:tr>
      <w:tr w14:paraId="0F93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51530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59153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74629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120009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171456 </w:t>
            </w:r>
          </w:p>
        </w:tc>
      </w:tr>
      <w:tr w14:paraId="48D6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标准化、计量、质量和认证认可工程技术人员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69105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97477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117172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147238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183185 </w:t>
            </w:r>
          </w:p>
        </w:tc>
      </w:tr>
      <w:tr w14:paraId="7DD9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39300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48900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86370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140901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194033 </w:t>
            </w:r>
          </w:p>
        </w:tc>
      </w:tr>
      <w:tr w14:paraId="42A2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检验检疫工程技术人员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58493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78047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90831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107697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124527 </w:t>
            </w:r>
          </w:p>
        </w:tc>
      </w:tr>
      <w:tr w14:paraId="63AD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80626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95080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149688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205955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330184 </w:t>
            </w:r>
          </w:p>
        </w:tc>
      </w:tr>
      <w:tr w14:paraId="4AD4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数字技术工程技术人员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75355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97020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131960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177760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222550 </w:t>
            </w:r>
          </w:p>
        </w:tc>
      </w:tr>
      <w:tr w14:paraId="3F55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38980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66356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131879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170853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207807 </w:t>
            </w:r>
          </w:p>
        </w:tc>
      </w:tr>
      <w:tr w14:paraId="511F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69715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86523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127110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177729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255952 </w:t>
            </w:r>
          </w:p>
        </w:tc>
      </w:tr>
      <w:tr w14:paraId="7AE5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49528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62194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89093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125498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156349 </w:t>
            </w:r>
          </w:p>
        </w:tc>
      </w:tr>
      <w:tr w14:paraId="4B57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59182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80531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119910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152290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197910 </w:t>
            </w:r>
          </w:p>
        </w:tc>
      </w:tr>
      <w:tr w14:paraId="1914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36912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63220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103369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133275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189745 </w:t>
            </w:r>
          </w:p>
        </w:tc>
      </w:tr>
      <w:tr w14:paraId="4A0B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43947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61446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74280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101562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135759 </w:t>
            </w:r>
          </w:p>
        </w:tc>
      </w:tr>
      <w:tr w14:paraId="148D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证券期货基金专业人员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38943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60511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104151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180252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240463 </w:t>
            </w:r>
          </w:p>
        </w:tc>
      </w:tr>
      <w:tr w14:paraId="23C8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其他经济和金融专业人员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59896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72435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109067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152156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199883 </w:t>
            </w:r>
          </w:p>
        </w:tc>
      </w:tr>
      <w:tr w14:paraId="39FF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工艺美术与创意设计专业人员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55932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58944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62240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76719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84600 </w:t>
            </w:r>
          </w:p>
        </w:tc>
      </w:tr>
      <w:tr w14:paraId="35E8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48764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58230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75302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92245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125236 </w:t>
            </w:r>
          </w:p>
        </w:tc>
      </w:tr>
      <w:tr w14:paraId="1375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37591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49632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68838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94616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134434 </w:t>
            </w:r>
          </w:p>
        </w:tc>
      </w:tr>
      <w:tr w14:paraId="7B68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45719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60718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89396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130122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184727 </w:t>
            </w:r>
          </w:p>
        </w:tc>
      </w:tr>
      <w:tr w14:paraId="563D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40600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57319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74486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119786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180788 </w:t>
            </w:r>
          </w:p>
        </w:tc>
      </w:tr>
      <w:tr w14:paraId="2CDA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其他行政办事及辅助人员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52144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75581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94017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134351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173118 </w:t>
            </w:r>
          </w:p>
        </w:tc>
      </w:tr>
      <w:tr w14:paraId="6B01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保卫和警务辅助人员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37135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52377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66276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76153 </w:t>
            </w:r>
          </w:p>
        </w:tc>
      </w:tr>
      <w:tr w14:paraId="064A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消防和应急救援人员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36894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42847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56270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61957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74747 </w:t>
            </w:r>
          </w:p>
        </w:tc>
      </w:tr>
      <w:tr w14:paraId="5B78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其他安全和消防及辅助人员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29993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39541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65041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76710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84376 </w:t>
            </w:r>
          </w:p>
        </w:tc>
      </w:tr>
      <w:tr w14:paraId="5352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购销服务人员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45267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52014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63753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75317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87440 </w:t>
            </w:r>
          </w:p>
        </w:tc>
      </w:tr>
      <w:tr w14:paraId="4ACC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28891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36565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45265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72130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105560 </w:t>
            </w:r>
          </w:p>
        </w:tc>
      </w:tr>
      <w:tr w14:paraId="2942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其他批发与零售服务人员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39191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43304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69067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79917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91283 </w:t>
            </w:r>
          </w:p>
        </w:tc>
      </w:tr>
      <w:tr w14:paraId="0F2E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轨道交通运输服务人员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33216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49272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54720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71404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73551 </w:t>
            </w:r>
          </w:p>
        </w:tc>
      </w:tr>
      <w:tr w14:paraId="5A2E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27489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39666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55596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62548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68958 </w:t>
            </w:r>
          </w:p>
        </w:tc>
      </w:tr>
      <w:tr w14:paraId="055F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28136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36548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50918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65188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95114 </w:t>
            </w:r>
          </w:p>
        </w:tc>
      </w:tr>
      <w:tr w14:paraId="400A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其他交通运输、仓储物流和邮政业服务人员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33651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45262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55027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61123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79762 </w:t>
            </w:r>
          </w:p>
        </w:tc>
      </w:tr>
      <w:tr w14:paraId="464D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34527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44691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56450 </w:t>
            </w:r>
          </w:p>
        </w:tc>
      </w:tr>
      <w:tr w14:paraId="3150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32400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40332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55040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71937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87698 </w:t>
            </w:r>
          </w:p>
        </w:tc>
      </w:tr>
      <w:tr w14:paraId="40D8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其他住宿和餐饮服务人员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29244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33141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46800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80640 </w:t>
            </w:r>
          </w:p>
        </w:tc>
      </w:tr>
      <w:tr w14:paraId="66E7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信息通信网络维护人员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37979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45392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57161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65458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72405 </w:t>
            </w:r>
          </w:p>
        </w:tc>
      </w:tr>
      <w:tr w14:paraId="1BE7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信息通信网络运行管理人员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49386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59825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63140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69830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77244 </w:t>
            </w:r>
          </w:p>
        </w:tc>
      </w:tr>
      <w:tr w14:paraId="3F81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50804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57611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104933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156000 </w:t>
            </w:r>
          </w:p>
        </w:tc>
      </w:tr>
      <w:tr w14:paraId="5239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71279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96868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143774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190094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249052 </w:t>
            </w:r>
          </w:p>
        </w:tc>
      </w:tr>
      <w:tr w14:paraId="38D0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49986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76668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115039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168074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228785 </w:t>
            </w:r>
          </w:p>
        </w:tc>
      </w:tr>
      <w:tr w14:paraId="1418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34800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40766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48125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59703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67139 </w:t>
            </w:r>
          </w:p>
        </w:tc>
      </w:tr>
      <w:tr w14:paraId="434E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租赁和拍卖业务人员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55125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66159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88803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90560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93950 </w:t>
            </w:r>
          </w:p>
        </w:tc>
      </w:tr>
      <w:tr w14:paraId="481A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商务咨询服务人员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45462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52719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63704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73633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86982 </w:t>
            </w:r>
          </w:p>
        </w:tc>
      </w:tr>
      <w:tr w14:paraId="5F6F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32568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34605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57769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74891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85573 </w:t>
            </w:r>
          </w:p>
        </w:tc>
      </w:tr>
      <w:tr w14:paraId="4073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旅游及公共游览场所服务人员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46987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55245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63183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69506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81334 </w:t>
            </w:r>
          </w:p>
        </w:tc>
      </w:tr>
      <w:tr w14:paraId="42C3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29303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40518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42619 </w:t>
            </w:r>
          </w:p>
        </w:tc>
      </w:tr>
      <w:tr w14:paraId="58D7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28025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50717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61693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67047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75122 </w:t>
            </w:r>
          </w:p>
        </w:tc>
      </w:tr>
      <w:tr w14:paraId="30CA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检验、检测和计量服务人员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47959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50916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54884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63187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71549 </w:t>
            </w:r>
          </w:p>
        </w:tc>
      </w:tr>
      <w:tr w14:paraId="1AA6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其他技术辅助服务人员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66165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75232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91800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119964 </w:t>
            </w:r>
          </w:p>
        </w:tc>
      </w:tr>
      <w:tr w14:paraId="7E3F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环境治理服务人员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55223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79208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89093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115885 </w:t>
            </w:r>
          </w:p>
        </w:tc>
      </w:tr>
      <w:tr w14:paraId="2D7E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25664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28005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31745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39243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48349 </w:t>
            </w:r>
          </w:p>
        </w:tc>
      </w:tr>
      <w:tr w14:paraId="7B32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绿化与园艺服务人员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41568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70952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78450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82414 </w:t>
            </w:r>
          </w:p>
        </w:tc>
      </w:tr>
      <w:tr w14:paraId="6357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汽车摩托车修理技术服务人员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31086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32754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34044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50500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65300 </w:t>
            </w:r>
          </w:p>
        </w:tc>
      </w:tr>
      <w:tr w14:paraId="6F70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计算机和办公设备维修人员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41660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50126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52776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62412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67872 </w:t>
            </w:r>
          </w:p>
        </w:tc>
      </w:tr>
      <w:tr w14:paraId="579C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化工产品生产通用工艺人员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67442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74471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81491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90835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101664 </w:t>
            </w:r>
          </w:p>
        </w:tc>
      </w:tr>
      <w:tr w14:paraId="73E5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6" w:name="_Toc90624843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金属轧制人员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49972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88092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110435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141007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178846 </w:t>
            </w:r>
          </w:p>
        </w:tc>
      </w:tr>
      <w:tr w14:paraId="0C7D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机械冷加工人员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48398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68604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80211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94483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106641 </w:t>
            </w:r>
          </w:p>
        </w:tc>
      </w:tr>
      <w:tr w14:paraId="5610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机械热加工人员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63986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76343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92574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110298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133920 </w:t>
            </w:r>
          </w:p>
        </w:tc>
      </w:tr>
      <w:tr w14:paraId="58DD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机械表面处理加工人员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76141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85938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106060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121244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156041 </w:t>
            </w:r>
          </w:p>
        </w:tc>
      </w:tr>
      <w:tr w14:paraId="4605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其他机械制造基础加工人员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88028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102153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119834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140340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163319 </w:t>
            </w:r>
          </w:p>
        </w:tc>
      </w:tr>
      <w:tr w14:paraId="6572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通用基础件装配制造人员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53959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67340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87462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104025 </w:t>
            </w:r>
          </w:p>
        </w:tc>
      </w:tr>
      <w:tr w14:paraId="22DC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电力、热力生产和供应人员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67582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98257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126903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187788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230944 </w:t>
            </w:r>
          </w:p>
        </w:tc>
      </w:tr>
      <w:tr w14:paraId="4017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气体生产、处理和输送人员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29160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40766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62617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67880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83287 </w:t>
            </w:r>
          </w:p>
        </w:tc>
      </w:tr>
      <w:tr w14:paraId="1676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水生产、输排和水处理人员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32676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34512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38796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45484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69324 </w:t>
            </w:r>
          </w:p>
        </w:tc>
      </w:tr>
      <w:tr w14:paraId="64DA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其他电力、热力、气体、水生产和输配人员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65635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75876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95694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179449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245256 </w:t>
            </w:r>
          </w:p>
        </w:tc>
      </w:tr>
      <w:tr w14:paraId="0BF2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专用车辆操作人员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37587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43082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46660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50633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57115 </w:t>
            </w:r>
          </w:p>
        </w:tc>
      </w:tr>
      <w:tr w14:paraId="3A86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通用工程机械操作人员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41342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55095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66883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96032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113049 </w:t>
            </w:r>
          </w:p>
        </w:tc>
      </w:tr>
      <w:tr w14:paraId="5175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47828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59198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82395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113159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145001 </w:t>
            </w:r>
          </w:p>
        </w:tc>
      </w:tr>
      <w:tr w14:paraId="63C4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检验试验人员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51633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74558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99178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126333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142761 </w:t>
            </w:r>
          </w:p>
        </w:tc>
      </w:tr>
      <w:tr w14:paraId="4C52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42960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56993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74998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95171 </w:t>
            </w:r>
          </w:p>
        </w:tc>
      </w:tr>
      <w:tr w14:paraId="0B587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37126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52237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73269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92137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155378 </w:t>
            </w:r>
          </w:p>
        </w:tc>
      </w:tr>
      <w:tr w14:paraId="5B96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37732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56672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68409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102793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141589 </w:t>
            </w:r>
          </w:p>
        </w:tc>
      </w:tr>
    </w:tbl>
    <w:p w14:paraId="3994A2BA">
      <w:pPr>
        <w:pStyle w:val="4"/>
        <w:bidi w:val="0"/>
      </w:pPr>
      <w:bookmarkStart w:id="7" w:name="_Toc7745"/>
      <w:r>
        <w:rPr>
          <w:rFonts w:hint="eastAsia"/>
        </w:rPr>
        <w:t>（二）分学历工资</w:t>
      </w:r>
      <w:bookmarkEnd w:id="6"/>
      <w:r>
        <w:rPr>
          <w:rFonts w:hint="eastAsia"/>
        </w:rPr>
        <w:t>价位</w:t>
      </w:r>
      <w:bookmarkEnd w:id="7"/>
    </w:p>
    <w:p w14:paraId="0A02F8B6">
      <w:pPr>
        <w:keepNext/>
        <w:keepLines/>
        <w:widowControl/>
        <w:spacing w:line="600" w:lineRule="exact"/>
        <w:jc w:val="center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沈阳市国有企业分学历从业人员工资价位（202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6B4CEDB5">
      <w:pPr>
        <w:keepNext/>
        <w:widowControl/>
        <w:wordWrap w:val="0"/>
        <w:spacing w:line="400" w:lineRule="exact"/>
        <w:jc w:val="righ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单位：元/年</w:t>
      </w:r>
    </w:p>
    <w:tbl>
      <w:tblPr>
        <w:tblStyle w:val="1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1"/>
        <w:gridCol w:w="3997"/>
        <w:gridCol w:w="982"/>
        <w:gridCol w:w="982"/>
        <w:gridCol w:w="982"/>
        <w:gridCol w:w="982"/>
        <w:gridCol w:w="992"/>
      </w:tblGrid>
      <w:tr w14:paraId="1D61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36C5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3C88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4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4A11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 w14:paraId="2973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01AAD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2E611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7B95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67F6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46D7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7285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5C85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 w14:paraId="270E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80960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115885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162113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248822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400905 </w:t>
            </w:r>
          </w:p>
        </w:tc>
      </w:tr>
      <w:tr w14:paraId="4FF4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55800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78231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108380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178242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271925 </w:t>
            </w:r>
          </w:p>
        </w:tc>
      </w:tr>
      <w:tr w14:paraId="74AE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51600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78122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118487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162773 </w:t>
            </w:r>
          </w:p>
        </w:tc>
      </w:tr>
      <w:tr w14:paraId="4D07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高中、中专或技校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28960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35988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49570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82818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125589 </w:t>
            </w:r>
          </w:p>
        </w:tc>
      </w:tr>
      <w:tr w14:paraId="594D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26375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31929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46952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68219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103179 </w:t>
            </w:r>
          </w:p>
        </w:tc>
      </w:tr>
    </w:tbl>
    <w:p w14:paraId="7E913B90">
      <w:pPr>
        <w:pStyle w:val="4"/>
        <w:bidi w:val="0"/>
      </w:pPr>
      <w:bookmarkStart w:id="8" w:name="_Toc90624844"/>
      <w:bookmarkStart w:id="9" w:name="_Toc31701"/>
      <w:r>
        <w:rPr>
          <w:rFonts w:hint="eastAsia"/>
        </w:rPr>
        <w:t>（三）分岗位等级</w:t>
      </w:r>
      <w:bookmarkEnd w:id="8"/>
      <w:r>
        <w:rPr>
          <w:rFonts w:hint="eastAsia"/>
        </w:rPr>
        <w:t>工资价位</w:t>
      </w:r>
      <w:bookmarkEnd w:id="9"/>
    </w:p>
    <w:p w14:paraId="73CBB342">
      <w:pPr>
        <w:widowControl/>
        <w:spacing w:line="600" w:lineRule="exact"/>
        <w:jc w:val="center"/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沈阳市国有企业分岗位等级从业人员工资价位（202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1AB218B3">
      <w:pPr>
        <w:widowControl/>
        <w:wordWrap w:val="0"/>
        <w:spacing w:line="400" w:lineRule="exact"/>
        <w:jc w:val="righ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单位：元/年</w:t>
      </w:r>
    </w:p>
    <w:tbl>
      <w:tblPr>
        <w:tblStyle w:val="1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1"/>
        <w:gridCol w:w="3974"/>
        <w:gridCol w:w="986"/>
        <w:gridCol w:w="986"/>
        <w:gridCol w:w="986"/>
        <w:gridCol w:w="986"/>
        <w:gridCol w:w="999"/>
      </w:tblGrid>
      <w:tr w14:paraId="1CA6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1970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3669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5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66A4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 w14:paraId="4A06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617DC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4B439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59B0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6846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6DE4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07A1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7269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 w14:paraId="6495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4438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56A0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544E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53399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17D2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70552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065E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117524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4894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236077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5353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392386 </w:t>
            </w:r>
          </w:p>
        </w:tc>
      </w:tr>
      <w:tr w14:paraId="0D39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高层管理岗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86323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141896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280209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450207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678099 </w:t>
            </w:r>
          </w:p>
        </w:tc>
      </w:tr>
      <w:tr w14:paraId="240A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中层管理岗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73041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118773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189960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325239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491231 </w:t>
            </w:r>
          </w:p>
        </w:tc>
      </w:tr>
      <w:tr w14:paraId="0EA8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基层管理岗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49155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69924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121817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249210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317942 </w:t>
            </w:r>
          </w:p>
        </w:tc>
      </w:tr>
      <w:tr w14:paraId="48EF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管理类员工岗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46875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53626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81832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114341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177730 </w:t>
            </w:r>
          </w:p>
        </w:tc>
      </w:tr>
      <w:tr w14:paraId="2187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2CAA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3F3B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18F9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53165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6F7E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80246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00BF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110887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7331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159066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4CA2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235772 </w:t>
            </w:r>
          </w:p>
        </w:tc>
      </w:tr>
      <w:tr w14:paraId="3E70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74390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115495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156296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221726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367848 </w:t>
            </w:r>
          </w:p>
        </w:tc>
      </w:tr>
      <w:tr w14:paraId="0757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66937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88961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118765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168899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238979 </w:t>
            </w:r>
          </w:p>
        </w:tc>
      </w:tr>
      <w:tr w14:paraId="3F03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51223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75909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104278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147867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210326 </w:t>
            </w:r>
          </w:p>
        </w:tc>
      </w:tr>
      <w:tr w14:paraId="7B17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没有取得专业技术职称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45276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65599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90863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127816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171764 </w:t>
            </w:r>
          </w:p>
        </w:tc>
      </w:tr>
      <w:tr w14:paraId="6A14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21AE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17C3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41D2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30170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1D28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40010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3A95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360D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101223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7F4B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150579 </w:t>
            </w:r>
          </w:p>
        </w:tc>
      </w:tr>
      <w:tr w14:paraId="6F45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高级技师及以上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78323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102597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130376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179472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238410 </w:t>
            </w:r>
          </w:p>
        </w:tc>
      </w:tr>
      <w:tr w14:paraId="1EA5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72964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95601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122006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161594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219760 </w:t>
            </w:r>
          </w:p>
        </w:tc>
      </w:tr>
      <w:tr w14:paraId="4133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高级技能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68752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89055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112966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148947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200566 </w:t>
            </w:r>
          </w:p>
        </w:tc>
      </w:tr>
      <w:tr w14:paraId="4BFF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中级技能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58171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77742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97467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125670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162751 </w:t>
            </w:r>
          </w:p>
        </w:tc>
      </w:tr>
      <w:tr w14:paraId="167D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初级技能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29670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37857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53020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76948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122656 </w:t>
            </w:r>
          </w:p>
        </w:tc>
      </w:tr>
      <w:tr w14:paraId="384B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没有取得资格证书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28152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34434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44520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54960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89095 </w:t>
            </w:r>
          </w:p>
        </w:tc>
      </w:tr>
    </w:tbl>
    <w:p w14:paraId="58DD91E4">
      <w:pPr>
        <w:rPr>
          <w:rFonts w:hint="eastAsia"/>
        </w:rPr>
      </w:pPr>
      <w:bookmarkStart w:id="10" w:name="_Toc90624845"/>
      <w:bookmarkStart w:id="11" w:name="_Toc31999"/>
      <w:r>
        <w:rPr>
          <w:rFonts w:hint="eastAsia"/>
        </w:rPr>
        <w:br w:type="page"/>
      </w:r>
    </w:p>
    <w:p w14:paraId="62DDB1D4">
      <w:pPr>
        <w:pStyle w:val="3"/>
        <w:bidi w:val="0"/>
      </w:pPr>
      <w:r>
        <w:rPr>
          <w:rFonts w:hint="eastAsia"/>
        </w:rPr>
        <w:t>二、国有企业</w:t>
      </w:r>
      <w:bookmarkEnd w:id="10"/>
      <w:r>
        <w:rPr>
          <w:rFonts w:hint="eastAsia"/>
        </w:rPr>
        <w:t>从业人员工资结构</w:t>
      </w:r>
      <w:bookmarkEnd w:id="11"/>
    </w:p>
    <w:p w14:paraId="24A9333F">
      <w:pPr>
        <w:keepNext/>
        <w:keepLines/>
        <w:jc w:val="center"/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沈阳市国有企业从业人员工资结构（202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30DFC29E">
      <w:pPr>
        <w:keepNext/>
        <w:keepLines/>
        <w:widowControl/>
        <w:spacing w:line="400" w:lineRule="exact"/>
        <w:jc w:val="right"/>
        <w:textAlignment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%</w:t>
      </w:r>
    </w:p>
    <w:tbl>
      <w:tblPr>
        <w:tblStyle w:val="14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4"/>
        <w:gridCol w:w="1527"/>
        <w:gridCol w:w="1527"/>
        <w:gridCol w:w="1527"/>
        <w:gridCol w:w="1533"/>
      </w:tblGrid>
      <w:tr w14:paraId="00CAF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813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bookmarkStart w:id="12" w:name="_Toc90624846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登记注册类型</w:t>
            </w:r>
          </w:p>
        </w:tc>
        <w:tc>
          <w:tcPr>
            <w:tcW w:w="310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99C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工资结构</w:t>
            </w:r>
          </w:p>
        </w:tc>
      </w:tr>
      <w:tr w14:paraId="4BA80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1E4B6">
            <w:pPr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682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基本工资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DA6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绩效工资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22D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津补贴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B7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加班加点工资</w:t>
            </w:r>
          </w:p>
        </w:tc>
      </w:tr>
      <w:tr w14:paraId="0FE5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D1A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国有企业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D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9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47.71 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2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38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1.39 </w:t>
            </w:r>
          </w:p>
        </w:tc>
      </w:tr>
    </w:tbl>
    <w:p w14:paraId="2D9C7D3D">
      <w:pPr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br w:type="page"/>
      </w:r>
    </w:p>
    <w:p w14:paraId="0C9796E2">
      <w:pPr>
        <w:pStyle w:val="2"/>
        <w:spacing w:line="480" w:lineRule="auto"/>
        <w:ind w:firstLine="0" w:firstLineChars="0"/>
        <w:jc w:val="center"/>
        <w:rPr>
          <w:rFonts w:ascii="黑体" w:hAnsi="黑体" w:eastAsia="黑体"/>
          <w:b w:val="0"/>
          <w:bCs w:val="0"/>
          <w:kern w:val="2"/>
          <w:sz w:val="40"/>
          <w:szCs w:val="40"/>
        </w:rPr>
      </w:pPr>
      <w:bookmarkStart w:id="13" w:name="_Toc16646"/>
      <w:r>
        <w:rPr>
          <w:rFonts w:hint="eastAsia" w:ascii="黑体" w:hAnsi="黑体" w:eastAsia="黑体"/>
          <w:b w:val="0"/>
          <w:bCs w:val="0"/>
          <w:kern w:val="2"/>
          <w:sz w:val="40"/>
          <w:szCs w:val="40"/>
        </w:rPr>
        <w:t>第二部分 202</w:t>
      </w:r>
      <w:r>
        <w:rPr>
          <w:rFonts w:hint="eastAsia" w:ascii="黑体" w:hAnsi="黑体" w:eastAsia="黑体"/>
          <w:b w:val="0"/>
          <w:bCs w:val="0"/>
          <w:kern w:val="2"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/>
          <w:b w:val="0"/>
          <w:bCs w:val="0"/>
          <w:kern w:val="2"/>
          <w:sz w:val="40"/>
          <w:szCs w:val="40"/>
        </w:rPr>
        <w:t>年沈阳市国有企业人工成本信息</w:t>
      </w:r>
      <w:bookmarkEnd w:id="12"/>
      <w:bookmarkEnd w:id="13"/>
    </w:p>
    <w:p w14:paraId="08F1F811">
      <w:pPr>
        <w:pStyle w:val="3"/>
        <w:bidi w:val="0"/>
      </w:pPr>
      <w:bookmarkStart w:id="14" w:name="_Toc7888"/>
      <w:bookmarkStart w:id="15" w:name="_Toc90624847"/>
      <w:r>
        <w:rPr>
          <w:rFonts w:hint="eastAsia"/>
        </w:rPr>
        <w:t>一、国有企业人均人工成本</w:t>
      </w:r>
      <w:bookmarkEnd w:id="14"/>
      <w:bookmarkEnd w:id="15"/>
    </w:p>
    <w:p w14:paraId="5F4DAAD7">
      <w:pPr>
        <w:jc w:val="center"/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沈阳市国有企业人均人工成本（202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25581C56">
      <w:pPr>
        <w:widowControl/>
        <w:spacing w:line="400" w:lineRule="exact"/>
        <w:jc w:val="right"/>
        <w:textAlignment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单位：万元/年</w:t>
      </w:r>
    </w:p>
    <w:tbl>
      <w:tblPr>
        <w:tblStyle w:val="1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1122"/>
        <w:gridCol w:w="1122"/>
        <w:gridCol w:w="1122"/>
        <w:gridCol w:w="1122"/>
        <w:gridCol w:w="1134"/>
      </w:tblGrid>
      <w:tr w14:paraId="52D7B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DC6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登记注册类型</w:t>
            </w:r>
          </w:p>
        </w:tc>
        <w:tc>
          <w:tcPr>
            <w:tcW w:w="285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68D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分位数</w:t>
            </w:r>
          </w:p>
        </w:tc>
      </w:tr>
      <w:tr w14:paraId="2FB3F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7C72F">
            <w:pPr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9D4FD">
            <w:pPr>
              <w:widowControl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szCs w:val="21"/>
              </w:rPr>
            </w:pPr>
            <w:r>
              <w:rPr>
                <w:rFonts w:ascii="Arial" w:hAnsi="Arial" w:eastAsia="宋体" w:cs="Arial"/>
                <w:b w:val="0"/>
                <w:bCs w:val="0"/>
                <w:kern w:val="0"/>
                <w:szCs w:val="21"/>
                <w:lang w:bidi="ar"/>
              </w:rPr>
              <w:t>10%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29A62">
            <w:pPr>
              <w:widowControl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szCs w:val="21"/>
              </w:rPr>
            </w:pPr>
            <w:r>
              <w:rPr>
                <w:rFonts w:ascii="Arial" w:hAnsi="Arial" w:eastAsia="宋体" w:cs="Arial"/>
                <w:b w:val="0"/>
                <w:bCs w:val="0"/>
                <w:kern w:val="0"/>
                <w:szCs w:val="21"/>
                <w:lang w:bidi="ar"/>
              </w:rPr>
              <w:t>25%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8A0C3">
            <w:pPr>
              <w:widowControl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szCs w:val="21"/>
              </w:rPr>
            </w:pPr>
            <w:r>
              <w:rPr>
                <w:rFonts w:ascii="Arial" w:hAnsi="Arial" w:eastAsia="宋体" w:cs="Arial"/>
                <w:b w:val="0"/>
                <w:bCs w:val="0"/>
                <w:kern w:val="0"/>
                <w:szCs w:val="21"/>
                <w:lang w:bidi="ar"/>
              </w:rPr>
              <w:t>50%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73DB8">
            <w:pPr>
              <w:widowControl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szCs w:val="21"/>
              </w:rPr>
            </w:pPr>
            <w:r>
              <w:rPr>
                <w:rFonts w:ascii="Arial" w:hAnsi="Arial" w:eastAsia="宋体" w:cs="Arial"/>
                <w:b w:val="0"/>
                <w:bCs w:val="0"/>
                <w:kern w:val="0"/>
                <w:szCs w:val="21"/>
                <w:lang w:bidi="ar"/>
              </w:rPr>
              <w:t>75%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AA361">
            <w:pPr>
              <w:widowControl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szCs w:val="21"/>
              </w:rPr>
            </w:pPr>
            <w:r>
              <w:rPr>
                <w:rFonts w:ascii="Arial" w:hAnsi="Arial" w:eastAsia="宋体" w:cs="Arial"/>
                <w:b w:val="0"/>
                <w:bCs w:val="0"/>
                <w:kern w:val="0"/>
                <w:szCs w:val="21"/>
                <w:lang w:bidi="ar"/>
              </w:rPr>
              <w:t>90%</w:t>
            </w:r>
          </w:p>
        </w:tc>
      </w:tr>
      <w:tr w14:paraId="2B751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EA7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国有企业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7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5.40 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F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7.91 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E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12.73 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A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18.70 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0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29.53 </w:t>
            </w:r>
          </w:p>
        </w:tc>
      </w:tr>
    </w:tbl>
    <w:p w14:paraId="76418DD9">
      <w:pPr>
        <w:pStyle w:val="3"/>
        <w:bidi w:val="0"/>
      </w:pPr>
      <w:bookmarkStart w:id="16" w:name="_Toc90624848"/>
      <w:bookmarkStart w:id="17" w:name="_Toc18050"/>
      <w:r>
        <w:rPr>
          <w:rFonts w:hint="eastAsia"/>
        </w:rPr>
        <w:t>二、国有企业人工成本</w:t>
      </w:r>
      <w:bookmarkEnd w:id="16"/>
      <w:r>
        <w:rPr>
          <w:rFonts w:hint="eastAsia"/>
        </w:rPr>
        <w:t>结构</w:t>
      </w:r>
      <w:bookmarkEnd w:id="17"/>
    </w:p>
    <w:p w14:paraId="701BD99C">
      <w:pPr>
        <w:jc w:val="center"/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沈阳市国有企业人工成本结构（202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49C0C6A9">
      <w:pPr>
        <w:widowControl/>
        <w:spacing w:line="400" w:lineRule="exact"/>
        <w:jc w:val="right"/>
        <w:textAlignment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%</w:t>
      </w:r>
    </w:p>
    <w:tbl>
      <w:tblPr>
        <w:tblStyle w:val="14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3"/>
        <w:gridCol w:w="916"/>
        <w:gridCol w:w="917"/>
        <w:gridCol w:w="917"/>
        <w:gridCol w:w="917"/>
        <w:gridCol w:w="917"/>
        <w:gridCol w:w="917"/>
        <w:gridCol w:w="930"/>
      </w:tblGrid>
      <w:tr w14:paraId="65CC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6C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登记注册类型</w:t>
            </w:r>
          </w:p>
        </w:tc>
        <w:tc>
          <w:tcPr>
            <w:tcW w:w="326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FB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人工成本构成</w:t>
            </w:r>
          </w:p>
        </w:tc>
      </w:tr>
      <w:tr w14:paraId="26F72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C0F0E">
            <w:pPr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6A7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从业人员工资总额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94C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福利</w:t>
            </w:r>
          </w:p>
          <w:p w14:paraId="1F5200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费用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F7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教育</w:t>
            </w:r>
          </w:p>
          <w:p w14:paraId="04D90A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经费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43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保险</w:t>
            </w:r>
          </w:p>
          <w:p w14:paraId="2E8BE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费用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5C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劳动</w:t>
            </w:r>
          </w:p>
          <w:p w14:paraId="0C304D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保护费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42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住房</w:t>
            </w:r>
          </w:p>
          <w:p w14:paraId="449FC1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费用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1AC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其他人工成本</w:t>
            </w:r>
          </w:p>
        </w:tc>
      </w:tr>
      <w:tr w14:paraId="47E8E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3F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国有企业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9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68.44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3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4.46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A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4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E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1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A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2.89</w:t>
            </w:r>
          </w:p>
        </w:tc>
      </w:tr>
    </w:tbl>
    <w:p w14:paraId="1CAC7DA5">
      <w:pPr>
        <w:pStyle w:val="3"/>
        <w:bidi w:val="0"/>
      </w:pPr>
      <w:bookmarkStart w:id="18" w:name="_Toc90624849"/>
      <w:bookmarkStart w:id="19" w:name="_Toc4140"/>
      <w:r>
        <w:rPr>
          <w:rFonts w:hint="eastAsia"/>
        </w:rPr>
        <w:t>三、国有企业人工</w:t>
      </w:r>
      <w:bookmarkEnd w:id="18"/>
      <w:r>
        <w:rPr>
          <w:rFonts w:hint="eastAsia"/>
        </w:rPr>
        <w:t>成本效益</w:t>
      </w:r>
      <w:bookmarkEnd w:id="19"/>
    </w:p>
    <w:p w14:paraId="10A165E9">
      <w:pPr>
        <w:jc w:val="center"/>
        <w:rPr>
          <w:rFonts w:eastAsia="黑体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沈阳市国有企业人工成本效益（202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12AC2D96">
      <w:pPr>
        <w:widowControl/>
        <w:spacing w:line="400" w:lineRule="exact"/>
        <w:jc w:val="right"/>
        <w:textAlignment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%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、元</w:t>
      </w:r>
    </w:p>
    <w:tbl>
      <w:tblPr>
        <w:tblStyle w:val="14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2"/>
        <w:gridCol w:w="1382"/>
        <w:gridCol w:w="1382"/>
        <w:gridCol w:w="1382"/>
        <w:gridCol w:w="1386"/>
      </w:tblGrid>
      <w:tr w14:paraId="4F269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85B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登记注册类型</w:t>
            </w:r>
          </w:p>
        </w:tc>
        <w:tc>
          <w:tcPr>
            <w:tcW w:w="7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067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人工成本占</w:t>
            </w:r>
          </w:p>
          <w:p w14:paraId="18709E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总成本比重</w:t>
            </w:r>
          </w:p>
        </w:tc>
        <w:tc>
          <w:tcPr>
            <w:tcW w:w="7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C7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人事费用率</w:t>
            </w:r>
          </w:p>
        </w:tc>
        <w:tc>
          <w:tcPr>
            <w:tcW w:w="7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B9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百元人工成本销售收入</w:t>
            </w:r>
          </w:p>
        </w:tc>
        <w:tc>
          <w:tcPr>
            <w:tcW w:w="7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BA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百元人工成本利润</w:t>
            </w:r>
          </w:p>
        </w:tc>
      </w:tr>
      <w:tr w14:paraId="66AAD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3DAB0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B9B6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3CFC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1E01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E1DD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 w14:paraId="71009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F47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国有企业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5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B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C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669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0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-28 </w:t>
            </w:r>
          </w:p>
        </w:tc>
      </w:tr>
    </w:tbl>
    <w:p w14:paraId="01BA7E56"/>
    <w:p w14:paraId="1B619A7F"/>
    <w:p w14:paraId="5A3C84CA"/>
    <w:p w14:paraId="6930D4F5"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795B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CE004D"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CE004D"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C26BE63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912A3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63C95"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963C95"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1BD3915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OWViZTU1Y2FjZWZhOGUxZTNhYzcyOTUyZmJmOTgifQ=="/>
  </w:docVars>
  <w:rsids>
    <w:rsidRoot w:val="00C44375"/>
    <w:rsid w:val="0001098A"/>
    <w:rsid w:val="00012316"/>
    <w:rsid w:val="00022185"/>
    <w:rsid w:val="000758DA"/>
    <w:rsid w:val="000B1ACD"/>
    <w:rsid w:val="003051A4"/>
    <w:rsid w:val="00374CD1"/>
    <w:rsid w:val="00410971"/>
    <w:rsid w:val="004A7DF4"/>
    <w:rsid w:val="005F113A"/>
    <w:rsid w:val="008F1DD3"/>
    <w:rsid w:val="009415F1"/>
    <w:rsid w:val="009C1CFA"/>
    <w:rsid w:val="009D06FD"/>
    <w:rsid w:val="009E4595"/>
    <w:rsid w:val="00BC2A34"/>
    <w:rsid w:val="00BE1411"/>
    <w:rsid w:val="00C44375"/>
    <w:rsid w:val="00D77C6D"/>
    <w:rsid w:val="00DD71DF"/>
    <w:rsid w:val="00F7481E"/>
    <w:rsid w:val="00FE369E"/>
    <w:rsid w:val="057C620E"/>
    <w:rsid w:val="08DC6146"/>
    <w:rsid w:val="0E8C3D90"/>
    <w:rsid w:val="137C541A"/>
    <w:rsid w:val="156016E7"/>
    <w:rsid w:val="194121A2"/>
    <w:rsid w:val="19745D0A"/>
    <w:rsid w:val="1D3635F6"/>
    <w:rsid w:val="211C7E96"/>
    <w:rsid w:val="28D30D0F"/>
    <w:rsid w:val="390645DC"/>
    <w:rsid w:val="3CC47BD6"/>
    <w:rsid w:val="3D46150F"/>
    <w:rsid w:val="3F9E13D6"/>
    <w:rsid w:val="445B695E"/>
    <w:rsid w:val="4A764671"/>
    <w:rsid w:val="4E7C597D"/>
    <w:rsid w:val="518C5ACC"/>
    <w:rsid w:val="546614D6"/>
    <w:rsid w:val="55A5300A"/>
    <w:rsid w:val="56DE6C69"/>
    <w:rsid w:val="577E31CE"/>
    <w:rsid w:val="5EB80A56"/>
    <w:rsid w:val="5F4222CC"/>
    <w:rsid w:val="5FE35622"/>
    <w:rsid w:val="608542CF"/>
    <w:rsid w:val="6192144C"/>
    <w:rsid w:val="628004E6"/>
    <w:rsid w:val="633C294E"/>
    <w:rsid w:val="651746AD"/>
    <w:rsid w:val="6A0D5D78"/>
    <w:rsid w:val="6FB57463"/>
    <w:rsid w:val="73321829"/>
    <w:rsid w:val="736F4B65"/>
    <w:rsid w:val="77005A83"/>
    <w:rsid w:val="793E3D10"/>
    <w:rsid w:val="79C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qFormat="1"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360" w:lineRule="auto"/>
      <w:ind w:firstLine="200" w:firstLineChars="20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ascii="Times New Roman" w:hAnsi="Times New Roman" w:eastAsia="黑体" w:cstheme="majorBidi"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600" w:lineRule="exact"/>
      <w:ind w:firstLine="420" w:firstLineChars="200"/>
      <w:outlineLvl w:val="2"/>
    </w:pPr>
    <w:rPr>
      <w:rFonts w:ascii="Times New Roman" w:hAnsi="Times New Roman" w:eastAsia="楷体_GB2312"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toc 3"/>
    <w:basedOn w:val="1"/>
    <w:next w:val="1"/>
    <w:semiHidden/>
    <w:unhideWhenUsed/>
    <w:qFormat/>
    <w:uiPriority w:val="39"/>
    <w:pPr>
      <w:spacing w:line="360" w:lineRule="auto"/>
      <w:ind w:left="400" w:leftChars="400"/>
    </w:pPr>
    <w:rPr>
      <w:rFonts w:eastAsia="黑体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spacing w:line="360" w:lineRule="auto"/>
    </w:pPr>
    <w:rPr>
      <w:rFonts w:eastAsia="黑体"/>
      <w:sz w:val="28"/>
    </w:rPr>
  </w:style>
  <w:style w:type="paragraph" w:styleId="11">
    <w:name w:val="toc 4"/>
    <w:basedOn w:val="1"/>
    <w:next w:val="1"/>
    <w:semiHidden/>
    <w:unhideWhenUsed/>
    <w:qFormat/>
    <w:uiPriority w:val="39"/>
    <w:pPr>
      <w:spacing w:line="360" w:lineRule="auto"/>
      <w:ind w:left="400" w:leftChars="400"/>
    </w:pPr>
    <w:rPr>
      <w:rFonts w:eastAsia="黑体"/>
    </w:rPr>
  </w:style>
  <w:style w:type="paragraph" w:styleId="12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="黑体"/>
      <w:sz w:val="24"/>
    </w:rPr>
  </w:style>
  <w:style w:type="paragraph" w:styleId="13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pPr>
        <w:wordWrap/>
        <w:spacing w:line="300" w:lineRule="auto"/>
        <w:ind w:firstLine="0" w:firstLineChars="0"/>
      </w:pPr>
      <w:rPr>
        <w:rFonts w:eastAsia="黑体"/>
        <w:b w:val="0"/>
        <w:i w:val="0"/>
        <w:color w:val="FFFFFF" w:themeColor="background1"/>
        <w:sz w:val="21"/>
        <w14:textFill>
          <w14:solidFill>
            <w14:schemeClr w14:val="bg1"/>
          </w14:solidFill>
        </w14:textFill>
      </w:rPr>
      <w:tcPr>
        <w:shd w:val="clear" w:color="auto" w:fill="000096"/>
        <w:vAlign w:val="center"/>
      </w:tcPr>
    </w:tblStylePr>
    <w:tblStylePr w:type="band1Horz">
      <w:pPr>
        <w:wordWrap/>
        <w:spacing w:line="300" w:lineRule="auto"/>
        <w:ind w:firstLine="0" w:firstLineChars="0"/>
        <w:jc w:val="center"/>
      </w:pPr>
      <w:rPr>
        <w:rFonts w:eastAsiaTheme="minorEastAsia"/>
        <w:sz w:val="21"/>
      </w:rPr>
      <w:tcPr>
        <w:shd w:val="clear" w:color="auto" w:fill="FFC000"/>
        <w:vAlign w:val="center"/>
      </w:tcPr>
    </w:tblStylePr>
    <w:tblStylePr w:type="band2Horz">
      <w:pPr>
        <w:wordWrap/>
        <w:spacing w:line="300" w:lineRule="auto"/>
        <w:ind w:firstLine="0" w:firstLineChars="0"/>
        <w:jc w:val="center"/>
      </w:pPr>
      <w:rPr>
        <w:rFonts w:eastAsiaTheme="minorEastAsia"/>
        <w:sz w:val="21"/>
      </w:rPr>
      <w:tcPr>
        <w:vAlign w:val="center"/>
      </w:tcPr>
    </w:tblStylePr>
  </w:style>
  <w:style w:type="table" w:styleId="16">
    <w:name w:val="Table Web 1"/>
    <w:basedOn w:val="14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7">
    <w:name w:val="Table Professional"/>
    <w:basedOn w:val="14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2 字符"/>
    <w:basedOn w:val="18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table" w:customStyle="1" w:styleId="21">
    <w:name w:val="样式1"/>
    <w:basedOn w:val="14"/>
    <w:qFormat/>
    <w:uiPriority w:val="99"/>
    <w:pPr>
      <w:jc w:val="center"/>
      <w:textAlignment w:val="center"/>
    </w:p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300" w:lineRule="auto"/>
        <w:ind w:firstLine="0" w:firstLineChars="0"/>
        <w:jc w:val="center"/>
      </w:pPr>
      <w:rPr>
        <w:rFonts w:eastAsia="黑体"/>
        <w:b w:val="0"/>
        <w:i w:val="0"/>
        <w:color w:val="FFFFFF" w:themeColor="background1"/>
        <w:sz w:val="21"/>
        <w14:textFill>
          <w14:solidFill>
            <w14:schemeClr w14:val="bg1"/>
          </w14:solidFill>
        </w14:textFill>
      </w:rPr>
      <w:tcPr>
        <w:shd w:val="clear" w:color="auto" w:fill="000096"/>
      </w:tcPr>
    </w:tblStylePr>
    <w:tblStylePr w:type="band1Horz">
      <w:pPr>
        <w:wordWrap/>
        <w:spacing w:line="300" w:lineRule="auto"/>
        <w:ind w:firstLine="0" w:firstLineChars="0"/>
        <w:jc w:val="center"/>
      </w:pPr>
      <w:rPr>
        <w:rFonts w:eastAsiaTheme="minorEastAsia"/>
        <w:sz w:val="21"/>
      </w:rPr>
      <w:tcPr>
        <w:shd w:val="clear" w:color="auto" w:fill="FFC000"/>
      </w:tcPr>
    </w:tblStylePr>
    <w:tblStylePr w:type="band2Horz">
      <w:pPr>
        <w:wordWrap/>
        <w:spacing w:line="300" w:lineRule="auto"/>
        <w:ind w:firstLine="0" w:firstLineChars="0"/>
        <w:jc w:val="center"/>
      </w:pPr>
      <w:rPr>
        <w:rFonts w:eastAsiaTheme="minorEastAsia"/>
        <w:sz w:val="21"/>
      </w:rPr>
    </w:tblStylePr>
  </w:style>
  <w:style w:type="table" w:customStyle="1" w:styleId="22">
    <w:name w:val="模板"/>
    <w:basedOn w:val="17"/>
    <w:qFormat/>
    <w:uiPriority w:val="99"/>
    <w:pPr>
      <w:contextualSpacing/>
      <w:jc w:val="center"/>
      <w:textAlignment w:val="center"/>
    </w:pPr>
    <w:rPr>
      <w:snapToGrid w:val="0"/>
    </w:rPr>
    <w:tblPr>
      <w:jc w:val="center"/>
    </w:tblPr>
    <w:trPr>
      <w:jc w:val="center"/>
    </w:trPr>
    <w:tcPr>
      <w:shd w:val="clear" w:color="auto" w:fill="auto"/>
      <w:vAlign w:val="center"/>
    </w:tcPr>
    <w:tblStylePr w:type="firstRow">
      <w:rPr>
        <w:rFonts w:eastAsia="黑体"/>
        <w:b/>
        <w:bCs/>
        <w:color w:val="auto"/>
        <w:sz w:val="24"/>
      </w:rPr>
      <w:tcPr>
        <w:tcBorders>
          <w:tl2br w:val="nil"/>
          <w:tr2bl w:val="nil"/>
        </w:tcBorders>
        <w:shd w:val="clear" w:color="auto" w:fill="0000C8"/>
      </w:tcPr>
    </w:tblStylePr>
    <w:tblStylePr w:type="band1Horz">
      <w:tcPr>
        <w:shd w:val="clear" w:color="auto" w:fill="FFC000"/>
      </w:tcPr>
    </w:tblStylePr>
  </w:style>
  <w:style w:type="character" w:customStyle="1" w:styleId="23">
    <w:name w:val="标题 1 字符"/>
    <w:basedOn w:val="18"/>
    <w:link w:val="2"/>
    <w:qFormat/>
    <w:uiPriority w:val="9"/>
    <w:rPr>
      <w:b/>
      <w:bCs/>
      <w:kern w:val="44"/>
      <w:sz w:val="32"/>
      <w:szCs w:val="44"/>
    </w:rPr>
  </w:style>
  <w:style w:type="character" w:customStyle="1" w:styleId="24">
    <w:name w:val="文档结构图 字符"/>
    <w:basedOn w:val="18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25">
    <w:name w:val="标题 字符"/>
    <w:basedOn w:val="18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6">
    <w:name w:val="批注框文本 字符"/>
    <w:basedOn w:val="18"/>
    <w:link w:val="7"/>
    <w:semiHidden/>
    <w:qFormat/>
    <w:uiPriority w:val="99"/>
    <w:rPr>
      <w:sz w:val="18"/>
      <w:szCs w:val="18"/>
    </w:rPr>
  </w:style>
  <w:style w:type="character" w:customStyle="1" w:styleId="27">
    <w:name w:val="页眉 字符"/>
    <w:basedOn w:val="18"/>
    <w:link w:val="9"/>
    <w:qFormat/>
    <w:uiPriority w:val="99"/>
    <w:rPr>
      <w:sz w:val="18"/>
      <w:szCs w:val="18"/>
    </w:rPr>
  </w:style>
  <w:style w:type="character" w:customStyle="1" w:styleId="28">
    <w:name w:val="页脚 字符"/>
    <w:basedOn w:val="18"/>
    <w:link w:val="8"/>
    <w:qFormat/>
    <w:uiPriority w:val="99"/>
    <w:rPr>
      <w:sz w:val="18"/>
      <w:szCs w:val="18"/>
    </w:rPr>
  </w:style>
  <w:style w:type="paragraph" w:customStyle="1" w:styleId="2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6C1499-B088-4CE7-9638-86BFE84F6E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2044</Words>
  <Characters>4559</Characters>
  <Lines>38</Lines>
  <Paragraphs>10</Paragraphs>
  <TotalTime>215</TotalTime>
  <ScaleCrop>false</ScaleCrop>
  <LinksUpToDate>false</LinksUpToDate>
  <CharactersWithSpaces>5227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2020-12-18T01:04:00Z</dcterms:created>
  <dc:creator>ganzhihui</dc:creator>
  <cp:lastModifiedBy>user10</cp:lastModifiedBy>
  <dcterms:modified xsi:type="dcterms:W3CDTF">2025-11-26T06:34:52Z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9D6933E035A340669F65B00501C0D280_13</vt:lpwstr>
  </property>
</Properties>
</file>