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沈阳市第二届“舒心传技”职业技能大赛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裁判长（命题专家）、裁判员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保密承诺书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沈阳市第二届“舒心传技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”职业技能大赛工作保密级别高，敏感性强，责任重大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参加此项工作的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裁判长（命题专家）/裁判员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，应遵守国家保密法律法规，严守国家秘密。该项工作需做到具体保密责任如下：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1.严格执行保密制度，不得透露自己裁判长（命题专家）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sz w:val="32"/>
          <w:szCs w:val="32"/>
        </w:rPr>
        <w:t>裁判员的身份，不得泄漏试题和答案内容，确保不发生泄漏考题和答案等恶性事件。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2.在命题期间，不在网络计算机上编辑试卷，试卷打印成稿后应立即销毁草稿并删除电子文档（除提交的电子文档外），清空回收站，不保留副本，命题过程中的草稿等文字材料，要统一集中销毁。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3.试卷印刷、封装过程中必须至少有两人同时在工作现场，完成试卷印刷、封装前不擅自离开现场。出现的废试卷当场销毁。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4.阅卷工作在规定的时间和场所集中进行，杜绝将试卷带出阅卷场所。阅卷期间，上缴一切通信工具直至阅卷结束。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5.如有违反保密法规的行为发生，愿意承担由此引起的相应的行政和法律责任。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2ExMzBjZGRkYTkyZWIwYjkzYmY4NTIwNzI0YzMifQ=="/>
  </w:docVars>
  <w:rsids>
    <w:rsidRoot w:val="1D7742D7"/>
    <w:rsid w:val="1D7742D7"/>
    <w:rsid w:val="20BC367C"/>
    <w:rsid w:val="69982374"/>
    <w:rsid w:val="7FB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2023-10-14T11:20:00Z</dcterms:created>
  <dc:creator>欢乐马</dc:creator>
  <cp:lastModifiedBy>欢乐马</cp:lastModifiedBy>
  <dcterms:modified xsi:type="dcterms:W3CDTF">2023-10-26T05:54:06Z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5CBDEB4AC09E4A91B1437ED0B5276C48_11</vt:lpwstr>
  </property>
</Properties>
</file>