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EF573">
      <w:pPr>
        <w:spacing w:line="600" w:lineRule="exact"/>
        <w:rPr>
          <w:rFonts w:eastAsia="黑体"/>
          <w:color w:val="auto"/>
          <w:szCs w:val="32"/>
        </w:rPr>
      </w:pPr>
      <w:r>
        <w:rPr>
          <w:rFonts w:eastAsia="黑体"/>
          <w:color w:val="auto"/>
          <w:szCs w:val="32"/>
        </w:rPr>
        <w:t>附件1</w:t>
      </w:r>
    </w:p>
    <w:p w14:paraId="229B3916">
      <w:pPr>
        <w:spacing w:line="600" w:lineRule="exact"/>
        <w:rPr>
          <w:color w:val="auto"/>
        </w:rPr>
      </w:pPr>
    </w:p>
    <w:p w14:paraId="37E9C1A8">
      <w:pPr>
        <w:spacing w:line="600" w:lineRule="exact"/>
        <w:jc w:val="center"/>
        <w:rPr>
          <w:rFonts w:eastAsia="宋体"/>
          <w:b/>
          <w:bCs/>
          <w:color w:val="auto"/>
          <w:kern w:val="0"/>
          <w:sz w:val="44"/>
          <w:szCs w:val="44"/>
        </w:rPr>
      </w:pPr>
      <w:r>
        <w:rPr>
          <w:rFonts w:eastAsia="宋体"/>
          <w:b/>
          <w:bCs/>
          <w:color w:val="auto"/>
          <w:kern w:val="0"/>
          <w:sz w:val="44"/>
          <w:szCs w:val="44"/>
        </w:rPr>
        <w:t>沈阳市第四届“舒心传技”职业技能大赛</w:t>
      </w:r>
    </w:p>
    <w:p w14:paraId="1DB71A82">
      <w:pPr>
        <w:spacing w:line="600" w:lineRule="exact"/>
        <w:jc w:val="center"/>
        <w:rPr>
          <w:rFonts w:eastAsia="方正小标宋_GBK"/>
          <w:color w:val="auto"/>
          <w:kern w:val="0"/>
          <w:sz w:val="48"/>
          <w:szCs w:val="48"/>
        </w:rPr>
      </w:pPr>
    </w:p>
    <w:p w14:paraId="1480A3DA">
      <w:pPr>
        <w:spacing w:line="600" w:lineRule="exact"/>
        <w:jc w:val="center"/>
        <w:rPr>
          <w:rFonts w:eastAsia="方正小标宋_GBK"/>
          <w:color w:val="auto"/>
          <w:sz w:val="52"/>
          <w:szCs w:val="52"/>
          <w:lang w:val="en-AU"/>
        </w:rPr>
      </w:pPr>
    </w:p>
    <w:p w14:paraId="261AA5A2">
      <w:pPr>
        <w:spacing w:line="600" w:lineRule="exact"/>
        <w:jc w:val="center"/>
        <w:rPr>
          <w:rFonts w:eastAsia="方正小标宋_GBK"/>
          <w:color w:val="auto"/>
          <w:sz w:val="52"/>
          <w:szCs w:val="52"/>
          <w:lang w:val="en-AU"/>
        </w:rPr>
      </w:pPr>
    </w:p>
    <w:p w14:paraId="6750FD9C">
      <w:pPr>
        <w:spacing w:line="600" w:lineRule="exact"/>
        <w:jc w:val="center"/>
        <w:rPr>
          <w:rFonts w:eastAsia="方正小标宋_GBK"/>
          <w:color w:val="auto"/>
          <w:sz w:val="52"/>
          <w:szCs w:val="52"/>
          <w:lang w:val="en-AU"/>
        </w:rPr>
      </w:pPr>
    </w:p>
    <w:p w14:paraId="291E27A2">
      <w:pPr>
        <w:spacing w:line="600" w:lineRule="exact"/>
        <w:jc w:val="center"/>
        <w:rPr>
          <w:rFonts w:eastAsia="宋体"/>
          <w:b/>
          <w:bCs/>
          <w:color w:val="auto"/>
          <w:kern w:val="0"/>
          <w:sz w:val="44"/>
          <w:szCs w:val="44"/>
        </w:rPr>
      </w:pPr>
      <w:r>
        <w:rPr>
          <w:rFonts w:eastAsia="宋体"/>
          <w:b/>
          <w:bCs/>
          <w:color w:val="auto"/>
          <w:kern w:val="0"/>
          <w:sz w:val="44"/>
          <w:szCs w:val="44"/>
        </w:rPr>
        <w:t>集成电路工程技术项目</w:t>
      </w:r>
    </w:p>
    <w:p w14:paraId="04E34327">
      <w:pPr>
        <w:spacing w:line="600" w:lineRule="exact"/>
        <w:jc w:val="center"/>
        <w:rPr>
          <w:rFonts w:eastAsia="宋体"/>
          <w:b/>
          <w:bCs/>
          <w:color w:val="auto"/>
          <w:kern w:val="0"/>
          <w:sz w:val="44"/>
          <w:szCs w:val="44"/>
          <w:lang w:val="en-AU"/>
        </w:rPr>
      </w:pPr>
      <w:r>
        <w:rPr>
          <w:rFonts w:eastAsia="宋体"/>
          <w:b/>
          <w:bCs/>
          <w:color w:val="auto"/>
          <w:kern w:val="0"/>
          <w:sz w:val="44"/>
          <w:szCs w:val="44"/>
          <w:lang w:val="en-AU"/>
        </w:rPr>
        <w:t>技术工作文件</w:t>
      </w:r>
    </w:p>
    <w:p w14:paraId="1D93E5B8">
      <w:pPr>
        <w:widowControl/>
        <w:spacing w:line="600" w:lineRule="exact"/>
        <w:contextualSpacing/>
        <w:rPr>
          <w:rFonts w:eastAsia="微软雅黑"/>
          <w:color w:val="auto"/>
          <w:spacing w:val="-10"/>
          <w:kern w:val="28"/>
          <w:sz w:val="50"/>
          <w:szCs w:val="56"/>
          <w:lang w:val="en-AU"/>
        </w:rPr>
      </w:pPr>
    </w:p>
    <w:p w14:paraId="4DE0804F">
      <w:pPr>
        <w:pStyle w:val="41"/>
        <w:ind w:firstLine="632"/>
        <w:rPr>
          <w:rFonts w:ascii="Times New Roman" w:hAnsi="Times New Roman"/>
          <w:color w:val="auto"/>
          <w:lang w:val="en-AU"/>
        </w:rPr>
      </w:pPr>
    </w:p>
    <w:p w14:paraId="38A746F1">
      <w:pPr>
        <w:spacing w:line="600" w:lineRule="exact"/>
        <w:rPr>
          <w:color w:val="auto"/>
          <w:lang w:val="en-AU"/>
        </w:rPr>
      </w:pPr>
    </w:p>
    <w:p w14:paraId="04596924">
      <w:pPr>
        <w:spacing w:line="600" w:lineRule="exact"/>
        <w:rPr>
          <w:color w:val="auto"/>
          <w:lang w:val="en-AU"/>
        </w:rPr>
      </w:pPr>
    </w:p>
    <w:p w14:paraId="75233888">
      <w:pPr>
        <w:spacing w:line="600" w:lineRule="exact"/>
        <w:rPr>
          <w:color w:val="auto"/>
          <w:lang w:val="en-AU"/>
        </w:rPr>
      </w:pPr>
    </w:p>
    <w:p w14:paraId="633CAAEC">
      <w:pPr>
        <w:spacing w:line="600" w:lineRule="exact"/>
        <w:rPr>
          <w:color w:val="auto"/>
          <w:lang w:val="en-AU"/>
        </w:rPr>
      </w:pPr>
    </w:p>
    <w:p w14:paraId="297600C5">
      <w:pPr>
        <w:spacing w:line="600" w:lineRule="exact"/>
        <w:rPr>
          <w:color w:val="auto"/>
          <w:lang w:val="en-AU"/>
        </w:rPr>
      </w:pPr>
    </w:p>
    <w:p w14:paraId="2F0841A9">
      <w:pPr>
        <w:spacing w:line="600" w:lineRule="exact"/>
        <w:rPr>
          <w:color w:val="auto"/>
          <w:szCs w:val="24"/>
          <w:lang w:val="en-AU"/>
        </w:rPr>
      </w:pPr>
    </w:p>
    <w:p w14:paraId="6ACBBDCB">
      <w:pPr>
        <w:spacing w:line="600" w:lineRule="exact"/>
        <w:jc w:val="center"/>
        <w:rPr>
          <w:rFonts w:eastAsia="楷体_GB2312"/>
          <w:color w:val="auto"/>
          <w:kern w:val="0"/>
          <w:szCs w:val="32"/>
        </w:rPr>
      </w:pPr>
      <w:r>
        <w:rPr>
          <w:rFonts w:eastAsia="楷体_GB2312"/>
          <w:color w:val="auto"/>
          <w:kern w:val="0"/>
          <w:szCs w:val="32"/>
        </w:rPr>
        <w:t>沈阳市第四届“舒心传技”职业技能大赛</w:t>
      </w:r>
    </w:p>
    <w:p w14:paraId="253D06F0">
      <w:pPr>
        <w:spacing w:line="600" w:lineRule="exact"/>
        <w:jc w:val="center"/>
        <w:rPr>
          <w:rFonts w:eastAsia="楷体_GB2312"/>
          <w:color w:val="auto"/>
          <w:kern w:val="0"/>
          <w:szCs w:val="32"/>
          <w:lang w:val="en-AU"/>
        </w:rPr>
      </w:pPr>
      <w:r>
        <w:rPr>
          <w:rFonts w:eastAsia="楷体_GB2312"/>
          <w:color w:val="auto"/>
          <w:kern w:val="0"/>
          <w:szCs w:val="32"/>
          <w:lang w:val="en-AU"/>
        </w:rPr>
        <w:t>集成电路工程技术</w:t>
      </w:r>
      <w:r>
        <w:rPr>
          <w:rFonts w:eastAsia="楷体_GB2312"/>
          <w:color w:val="auto"/>
          <w:kern w:val="0"/>
          <w:szCs w:val="32"/>
        </w:rPr>
        <w:t>项目执</w:t>
      </w:r>
      <w:r>
        <w:rPr>
          <w:rFonts w:eastAsia="楷体_GB2312"/>
          <w:color w:val="auto"/>
          <w:kern w:val="0"/>
          <w:szCs w:val="32"/>
          <w:lang w:val="en-AU"/>
        </w:rPr>
        <w:t>委会技术工作组</w:t>
      </w:r>
    </w:p>
    <w:p w14:paraId="313FF822">
      <w:pPr>
        <w:spacing w:line="600" w:lineRule="exact"/>
        <w:jc w:val="center"/>
        <w:rPr>
          <w:rFonts w:eastAsia="楷体_GB2312"/>
          <w:color w:val="auto"/>
          <w:kern w:val="0"/>
          <w:szCs w:val="32"/>
          <w:lang w:val="en-AU"/>
        </w:rPr>
      </w:pPr>
      <w:r>
        <w:rPr>
          <w:rFonts w:eastAsia="楷体_GB2312"/>
          <w:color w:val="auto"/>
          <w:kern w:val="0"/>
          <w:szCs w:val="32"/>
          <w:lang w:val="en-AU"/>
        </w:rPr>
        <w:t>202</w:t>
      </w:r>
      <w:r>
        <w:rPr>
          <w:rFonts w:eastAsia="楷体_GB2312"/>
          <w:color w:val="auto"/>
          <w:kern w:val="0"/>
          <w:szCs w:val="32"/>
        </w:rPr>
        <w:t>5</w:t>
      </w:r>
      <w:r>
        <w:rPr>
          <w:rFonts w:eastAsia="楷体_GB2312"/>
          <w:color w:val="auto"/>
          <w:kern w:val="0"/>
          <w:szCs w:val="32"/>
          <w:lang w:val="en-AU"/>
        </w:rPr>
        <w:t>年</w:t>
      </w:r>
      <w:r>
        <w:rPr>
          <w:rFonts w:eastAsia="楷体_GB2312"/>
          <w:color w:val="auto"/>
          <w:kern w:val="0"/>
          <w:szCs w:val="32"/>
        </w:rPr>
        <w:t>10</w:t>
      </w:r>
      <w:r>
        <w:rPr>
          <w:rFonts w:eastAsia="楷体_GB2312"/>
          <w:color w:val="auto"/>
          <w:kern w:val="0"/>
          <w:szCs w:val="32"/>
          <w:lang w:val="en-AU"/>
        </w:rPr>
        <w:t>月</w:t>
      </w:r>
    </w:p>
    <w:p w14:paraId="7E1F0D1C">
      <w:pPr>
        <w:spacing w:line="600" w:lineRule="exact"/>
        <w:jc w:val="center"/>
        <w:rPr>
          <w:rFonts w:hint="eastAsia" w:ascii="宋体" w:hAnsi="宋体" w:eastAsia="宋体" w:cs="宋体"/>
          <w:b/>
          <w:bCs/>
          <w:color w:val="auto"/>
          <w:sz w:val="30"/>
          <w:szCs w:val="30"/>
          <w:lang w:val="en-AU"/>
        </w:rPr>
      </w:pPr>
      <w:r>
        <w:rPr>
          <w:rFonts w:eastAsia="楷体_GB2312"/>
          <w:color w:val="auto"/>
          <w:kern w:val="0"/>
          <w:szCs w:val="32"/>
          <w:lang w:val="en-AU"/>
        </w:rPr>
        <w:br w:type="page"/>
      </w:r>
      <w:r>
        <w:rPr>
          <w:rFonts w:hint="eastAsia" w:ascii="宋体" w:hAnsi="宋体" w:eastAsia="宋体" w:cs="宋体"/>
          <w:b/>
          <w:bCs/>
          <w:color w:val="auto"/>
          <w:sz w:val="30"/>
          <w:szCs w:val="30"/>
        </w:rPr>
        <w:t>目  录</w:t>
      </w:r>
    </w:p>
    <w:p w14:paraId="2E82F20A">
      <w:pPr>
        <w:pStyle w:val="6"/>
        <w:tabs>
          <w:tab w:val="right" w:leader="dot" w:pos="8844"/>
        </w:tabs>
        <w:rPr>
          <w:rFonts w:hint="eastAsia" w:ascii="宋体" w:hAnsi="宋体" w:eastAsia="宋体" w:cs="宋体"/>
          <w:b/>
          <w:bCs/>
          <w:color w:val="auto"/>
          <w:sz w:val="30"/>
          <w:szCs w:val="30"/>
        </w:rPr>
      </w:pPr>
      <w:r>
        <w:rPr>
          <w:rStyle w:val="11"/>
          <w:rFonts w:hint="eastAsia" w:ascii="宋体" w:hAnsi="宋体" w:eastAsia="宋体" w:cs="宋体"/>
          <w:b/>
          <w:bCs/>
          <w:color w:val="auto"/>
          <w:sz w:val="30"/>
          <w:szCs w:val="30"/>
        </w:rPr>
        <w:fldChar w:fldCharType="begin"/>
      </w:r>
      <w:r>
        <w:rPr>
          <w:rStyle w:val="11"/>
          <w:rFonts w:hint="eastAsia" w:ascii="宋体" w:hAnsi="宋体" w:eastAsia="宋体" w:cs="宋体"/>
          <w:b/>
          <w:bCs/>
          <w:color w:val="auto"/>
          <w:sz w:val="30"/>
          <w:szCs w:val="30"/>
        </w:rPr>
        <w:instrText xml:space="preserve"> TOC \o "1-3" \h \z \u </w:instrText>
      </w:r>
      <w:r>
        <w:rPr>
          <w:rStyle w:val="11"/>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HYPERLINK \l _Toc22823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lang w:eastAsia="zh-CN"/>
        </w:rPr>
        <w:t>一、技术描述</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_Toc22823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rPr>
        <w:fldChar w:fldCharType="end"/>
      </w:r>
    </w:p>
    <w:p w14:paraId="64A38CDF">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_Toc32491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（一）项目概要</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_Toc32491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433DB6CC">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_Toc5396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（二）基本知识及能力要求</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_Toc5396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6DF94190">
      <w:pPr>
        <w:pStyle w:val="6"/>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_Toc7848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二、试题及评判标准</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_Toc7848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2</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3ACD4072">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_Toc13938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（一）试题</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_Toc13938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2</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07BDA672">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_Toc18293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（二）比赛时间及试题具体内容</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_Toc18293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3</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2E4A2FCF">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_Toc26998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（三）评判标准</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_Toc26998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4</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26E8283D">
      <w:pPr>
        <w:pStyle w:val="6"/>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_Toc10691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lang w:eastAsia="zh-CN"/>
        </w:rPr>
        <w:t>三、竞赛细则</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_Toc10691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6</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29C9309D">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_Toc17820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（一）竞赛安排</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_Toc17820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6</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47586717">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_Toc11459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（二）赛前准备</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_Toc11459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6</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363533D3">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_Toc5227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（三）裁判长</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_Toc5227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7</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479BBD1A">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_Toc24209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（四）裁判员的条件和组成</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_Toc24209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7</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1A5A65EE">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_Toc13173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（五）裁判员的工作内容</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_Toc13173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8</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3BE92FE4">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_Toc14006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（六）裁判员在评判工作中的任务</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_Toc14006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9</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075AC30A">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_Toc4955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（七）参赛选手须知</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_Toc4955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10</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2AD616F6">
      <w:pPr>
        <w:pStyle w:val="6"/>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_Toc17826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lang w:eastAsia="zh-CN"/>
        </w:rPr>
        <w:t>四、竞赛场地、设施设备等安排</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_Toc17826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13</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5A5A8DD7">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_Toc9173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（一）赛场规格要求</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_Toc9173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13</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5F4E9DFC">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_Toc273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（二）场地布局图</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_Toc273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14</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2357453C">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_Toc15630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（三）基础设施清单</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_Toc15630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14</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7935AFF0">
      <w:pPr>
        <w:pStyle w:val="6"/>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_Toc7286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lang w:eastAsia="zh-CN"/>
        </w:rPr>
        <w:t>五、安全、健康要求</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_Toc7286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16</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4A1D5FC5">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_Toc22742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（一）场地</w:t>
      </w:r>
      <w:bookmarkStart w:id="44" w:name="_GoBack"/>
      <w:bookmarkEnd w:id="44"/>
      <w:r>
        <w:rPr>
          <w:rFonts w:hint="eastAsia" w:ascii="宋体" w:hAnsi="宋体" w:eastAsia="宋体" w:cs="宋体"/>
          <w:b/>
          <w:bCs/>
          <w:color w:val="auto"/>
          <w:sz w:val="30"/>
          <w:szCs w:val="30"/>
        </w:rPr>
        <w:t>消防和逃生要求</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_Toc22742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16</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5D5E5552">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_Toc5599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（二）医疗设备和措施</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_Toc5599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16</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05297DC7">
      <w:pPr>
        <w:pStyle w:val="7"/>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_Toc17018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rPr>
        <w:t>（三）赛场安全</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_Toc17018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17</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32EA5579">
      <w:pPr>
        <w:pStyle w:val="6"/>
        <w:tabs>
          <w:tab w:val="right" w:leader="dot" w:pos="8844"/>
        </w:tabs>
        <w:rPr>
          <w:rFonts w:hint="eastAsia" w:ascii="宋体" w:hAnsi="宋体" w:eastAsia="宋体" w:cs="宋体"/>
          <w:b/>
          <w:bCs/>
          <w:color w:val="auto"/>
          <w:sz w:val="30"/>
          <w:szCs w:val="30"/>
        </w:rPr>
      </w:pPr>
      <w:r>
        <w:rPr>
          <w:rFonts w:hint="eastAsia" w:ascii="宋体" w:hAnsi="宋体" w:eastAsia="宋体" w:cs="宋体"/>
          <w:b/>
          <w:bCs/>
          <w:color w:val="auto"/>
          <w:sz w:val="30"/>
          <w:szCs w:val="30"/>
          <w:lang w:val="zh-CN"/>
        </w:rPr>
        <w:fldChar w:fldCharType="begin"/>
      </w:r>
      <w:r>
        <w:rPr>
          <w:rFonts w:hint="eastAsia" w:ascii="宋体" w:hAnsi="宋体" w:eastAsia="宋体" w:cs="宋体"/>
          <w:b/>
          <w:bCs/>
          <w:color w:val="auto"/>
          <w:sz w:val="30"/>
          <w:szCs w:val="30"/>
          <w:lang w:val="zh-CN"/>
        </w:rPr>
        <w:instrText xml:space="preserve"> HYPERLINK \l _Toc8952 </w:instrText>
      </w:r>
      <w:r>
        <w:rPr>
          <w:rFonts w:hint="eastAsia" w:ascii="宋体" w:hAnsi="宋体" w:eastAsia="宋体" w:cs="宋体"/>
          <w:b/>
          <w:bCs/>
          <w:color w:val="auto"/>
          <w:sz w:val="30"/>
          <w:szCs w:val="30"/>
          <w:lang w:val="zh-CN"/>
        </w:rPr>
        <w:fldChar w:fldCharType="separate"/>
      </w:r>
      <w:r>
        <w:rPr>
          <w:rFonts w:hint="eastAsia" w:ascii="宋体" w:hAnsi="宋体" w:eastAsia="宋体" w:cs="宋体"/>
          <w:b/>
          <w:bCs/>
          <w:color w:val="auto"/>
          <w:sz w:val="30"/>
          <w:szCs w:val="30"/>
          <w:lang w:val="en-US" w:eastAsia="zh-CN"/>
        </w:rPr>
        <w:t>六、附件：样题</w:t>
      </w:r>
      <w:r>
        <w:rPr>
          <w:rFonts w:hint="eastAsia" w:ascii="宋体" w:hAnsi="宋体" w:eastAsia="宋体" w:cs="宋体"/>
          <w:b/>
          <w:bCs/>
          <w:color w:val="auto"/>
          <w:sz w:val="30"/>
          <w:szCs w:val="30"/>
        </w:rPr>
        <w:tab/>
      </w:r>
      <w:r>
        <w:rPr>
          <w:rFonts w:hint="eastAsia" w:ascii="宋体" w:hAnsi="宋体" w:eastAsia="宋体" w:cs="宋体"/>
          <w:b/>
          <w:bCs/>
          <w:color w:val="auto"/>
          <w:sz w:val="30"/>
          <w:szCs w:val="30"/>
        </w:rPr>
        <w:fldChar w:fldCharType="begin"/>
      </w:r>
      <w:r>
        <w:rPr>
          <w:rFonts w:hint="eastAsia" w:ascii="宋体" w:hAnsi="宋体" w:eastAsia="宋体" w:cs="宋体"/>
          <w:b/>
          <w:bCs/>
          <w:color w:val="auto"/>
          <w:sz w:val="30"/>
          <w:szCs w:val="30"/>
        </w:rPr>
        <w:instrText xml:space="preserve"> PAGEREF _Toc8952 \h </w:instrText>
      </w:r>
      <w:r>
        <w:rPr>
          <w:rFonts w:hint="eastAsia" w:ascii="宋体" w:hAnsi="宋体" w:eastAsia="宋体" w:cs="宋体"/>
          <w:b/>
          <w:bCs/>
          <w:color w:val="auto"/>
          <w:sz w:val="30"/>
          <w:szCs w:val="30"/>
        </w:rPr>
        <w:fldChar w:fldCharType="separate"/>
      </w:r>
      <w:r>
        <w:rPr>
          <w:rFonts w:hint="eastAsia" w:ascii="宋体" w:hAnsi="宋体" w:eastAsia="宋体" w:cs="宋体"/>
          <w:b/>
          <w:bCs/>
          <w:color w:val="auto"/>
          <w:sz w:val="30"/>
          <w:szCs w:val="30"/>
        </w:rPr>
        <w:t>19</w:t>
      </w:r>
      <w:r>
        <w:rPr>
          <w:rFonts w:hint="eastAsia" w:ascii="宋体" w:hAnsi="宋体" w:eastAsia="宋体" w:cs="宋体"/>
          <w:b/>
          <w:bCs/>
          <w:color w:val="auto"/>
          <w:sz w:val="30"/>
          <w:szCs w:val="30"/>
        </w:rPr>
        <w:fldChar w:fldCharType="end"/>
      </w:r>
      <w:r>
        <w:rPr>
          <w:rFonts w:hint="eastAsia" w:ascii="宋体" w:hAnsi="宋体" w:eastAsia="宋体" w:cs="宋体"/>
          <w:b/>
          <w:bCs/>
          <w:color w:val="auto"/>
          <w:sz w:val="30"/>
          <w:szCs w:val="30"/>
          <w:lang w:val="zh-CN"/>
        </w:rPr>
        <w:fldChar w:fldCharType="end"/>
      </w:r>
    </w:p>
    <w:p w14:paraId="01D1F903">
      <w:pPr>
        <w:pStyle w:val="7"/>
        <w:tabs>
          <w:tab w:val="right" w:leader="dot" w:pos="8834"/>
        </w:tabs>
        <w:ind w:left="632"/>
        <w:rPr>
          <w:rStyle w:val="11"/>
          <w:rFonts w:hint="eastAsia" w:ascii="宋体" w:hAnsi="宋体" w:eastAsia="宋体" w:cs="宋体"/>
          <w:b/>
          <w:bCs/>
          <w:color w:val="auto"/>
          <w:sz w:val="30"/>
          <w:szCs w:val="30"/>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1701" w:footer="1134" w:gutter="0"/>
          <w:cols w:space="720" w:num="1"/>
          <w:docGrid w:type="linesAndChars" w:linePitch="579" w:charSpace="-849"/>
        </w:sectPr>
      </w:pPr>
      <w:r>
        <w:rPr>
          <w:rFonts w:hint="eastAsia" w:ascii="宋体" w:hAnsi="宋体" w:eastAsia="宋体" w:cs="宋体"/>
          <w:b/>
          <w:bCs/>
          <w:color w:val="auto"/>
          <w:sz w:val="30"/>
          <w:szCs w:val="30"/>
          <w:lang w:val="zh-CN"/>
        </w:rPr>
        <w:fldChar w:fldCharType="end"/>
      </w:r>
    </w:p>
    <w:p w14:paraId="6F4AA8C1">
      <w:pPr>
        <w:pStyle w:val="12"/>
        <w:spacing w:line="600" w:lineRule="exact"/>
        <w:ind w:firstLine="632"/>
        <w:rPr>
          <w:rFonts w:ascii="Times New Roman" w:hAnsi="Times New Roman"/>
          <w:color w:val="auto"/>
          <w:lang w:eastAsia="zh-CN"/>
        </w:rPr>
      </w:pPr>
      <w:bookmarkStart w:id="0" w:name="_Toc22823"/>
      <w:bookmarkStart w:id="1" w:name="_Toc107852887"/>
      <w:r>
        <w:rPr>
          <w:rFonts w:ascii="Times New Roman" w:hAnsi="Times New Roman"/>
          <w:color w:val="auto"/>
          <w:lang w:eastAsia="zh-CN"/>
        </w:rPr>
        <w:t>一、技术描述</w:t>
      </w:r>
      <w:bookmarkEnd w:id="0"/>
      <w:bookmarkEnd w:id="1"/>
    </w:p>
    <w:p w14:paraId="1E38DB96">
      <w:pPr>
        <w:pStyle w:val="13"/>
        <w:tabs>
          <w:tab w:val="clear" w:pos="840"/>
        </w:tabs>
        <w:spacing w:line="600" w:lineRule="exact"/>
        <w:ind w:firstLine="634"/>
        <w:rPr>
          <w:rFonts w:ascii="Times New Roman" w:hAnsi="Times New Roman"/>
          <w:color w:val="auto"/>
        </w:rPr>
      </w:pPr>
      <w:bookmarkStart w:id="2" w:name="_Toc107852888"/>
      <w:bookmarkStart w:id="3" w:name="_Toc32491"/>
      <w:r>
        <w:rPr>
          <w:rFonts w:ascii="Times New Roman" w:hAnsi="Times New Roman"/>
          <w:color w:val="auto"/>
        </w:rPr>
        <w:t>（一）项目概要</w:t>
      </w:r>
      <w:bookmarkEnd w:id="2"/>
      <w:bookmarkEnd w:id="3"/>
    </w:p>
    <w:p w14:paraId="064CD5D9">
      <w:pPr>
        <w:spacing w:line="600" w:lineRule="exact"/>
        <w:ind w:firstLine="632" w:firstLineChars="200"/>
        <w:rPr>
          <w:rFonts w:eastAsia="仿宋"/>
          <w:color w:val="auto"/>
          <w:szCs w:val="32"/>
        </w:rPr>
      </w:pPr>
      <w:r>
        <w:rPr>
          <w:rFonts w:eastAsia="仿宋"/>
          <w:color w:val="auto"/>
          <w:szCs w:val="32"/>
        </w:rPr>
        <w:t>1.项目描述</w:t>
      </w:r>
    </w:p>
    <w:p w14:paraId="4CB49CD4">
      <w:pPr>
        <w:pStyle w:val="41"/>
        <w:spacing w:line="600" w:lineRule="exact"/>
        <w:ind w:firstLine="632"/>
        <w:rPr>
          <w:rFonts w:ascii="Times New Roman" w:hAnsi="Times New Roman" w:eastAsia="仿宋"/>
          <w:color w:val="auto"/>
        </w:rPr>
      </w:pPr>
      <w:r>
        <w:rPr>
          <w:rFonts w:ascii="Times New Roman" w:hAnsi="Times New Roman" w:eastAsia="仿宋"/>
          <w:color w:val="auto"/>
        </w:rPr>
        <w:t>集成电路工程技术项目是指集成电路封测的竞赛项目。比赛中对选手的技能要求主要包括：模拟集成电路设计、数字集成电路设计、集成电路工艺开发与维护等。</w:t>
      </w:r>
    </w:p>
    <w:p w14:paraId="47F1574B">
      <w:pPr>
        <w:pStyle w:val="41"/>
        <w:spacing w:line="600" w:lineRule="exact"/>
        <w:ind w:firstLine="632"/>
        <w:rPr>
          <w:rFonts w:ascii="Times New Roman" w:hAnsi="Times New Roman" w:eastAsia="仿宋"/>
          <w:color w:val="auto"/>
        </w:rPr>
      </w:pPr>
      <w:r>
        <w:rPr>
          <w:rFonts w:ascii="Times New Roman" w:hAnsi="Times New Roman" w:eastAsia="仿宋"/>
          <w:color w:val="auto"/>
        </w:rPr>
        <w:t xml:space="preserve">2. 考核目的 </w:t>
      </w:r>
    </w:p>
    <w:p w14:paraId="10AEAFC4">
      <w:pPr>
        <w:pStyle w:val="41"/>
        <w:spacing w:line="600" w:lineRule="exact"/>
        <w:ind w:firstLine="632"/>
        <w:rPr>
          <w:rFonts w:ascii="Times New Roman" w:hAnsi="Times New Roman" w:eastAsia="仿宋"/>
          <w:color w:val="auto"/>
        </w:rPr>
      </w:pPr>
      <w:r>
        <w:rPr>
          <w:rFonts w:ascii="Times New Roman" w:hAnsi="Times New Roman" w:eastAsia="仿宋"/>
          <w:color w:val="auto"/>
        </w:rPr>
        <w:t>借鉴世界技能大赛（以下简称世赛）使参赛选手、裁判员、赛场工作人员等进一步熟悉世赛、国赛的技术要求，加深对项目技术要求的认识与理解，加深对技能发展趋势的了解与认识。通过</w:t>
      </w:r>
      <w:r>
        <w:rPr>
          <w:rFonts w:hint="eastAsia" w:ascii="Times New Roman" w:hAnsi="Times New Roman" w:eastAsia="仿宋"/>
          <w:color w:val="auto"/>
        </w:rPr>
        <w:t>大赛</w:t>
      </w:r>
      <w:r>
        <w:rPr>
          <w:rFonts w:ascii="Times New Roman" w:hAnsi="Times New Roman" w:eastAsia="仿宋"/>
          <w:color w:val="auto"/>
        </w:rPr>
        <w:t>选拔最优秀选手代表</w:t>
      </w:r>
      <w:r>
        <w:rPr>
          <w:rFonts w:hint="eastAsia" w:ascii="Times New Roman" w:hAnsi="Times New Roman" w:eastAsia="仿宋"/>
          <w:color w:val="auto"/>
        </w:rPr>
        <w:t>沈阳参加国赛和世赛</w:t>
      </w:r>
      <w:r>
        <w:rPr>
          <w:rFonts w:ascii="Times New Roman" w:hAnsi="Times New Roman" w:eastAsia="仿宋"/>
          <w:color w:val="auto"/>
        </w:rPr>
        <w:t>，为争取好成绩奠定基础。</w:t>
      </w:r>
    </w:p>
    <w:p w14:paraId="1899ABAD">
      <w:pPr>
        <w:pStyle w:val="41"/>
        <w:spacing w:line="600" w:lineRule="exact"/>
        <w:ind w:firstLine="632"/>
        <w:rPr>
          <w:rFonts w:ascii="Times New Roman" w:hAnsi="Times New Roman" w:eastAsia="仿宋"/>
          <w:color w:val="auto"/>
        </w:rPr>
      </w:pPr>
      <w:r>
        <w:rPr>
          <w:rFonts w:ascii="Times New Roman" w:hAnsi="Times New Roman" w:eastAsia="仿宋"/>
          <w:color w:val="auto"/>
        </w:rPr>
        <w:t xml:space="preserve">3. 相关文件 </w:t>
      </w:r>
    </w:p>
    <w:p w14:paraId="5A5BCB89">
      <w:pPr>
        <w:pStyle w:val="41"/>
        <w:spacing w:line="600" w:lineRule="exact"/>
        <w:ind w:firstLine="632"/>
        <w:rPr>
          <w:rFonts w:ascii="Times New Roman" w:hAnsi="Times New Roman" w:eastAsia="仿宋"/>
          <w:color w:val="auto"/>
        </w:rPr>
      </w:pPr>
      <w:r>
        <w:rPr>
          <w:rFonts w:ascii="Times New Roman" w:hAnsi="Times New Roman" w:eastAsia="仿宋"/>
          <w:color w:val="auto"/>
        </w:rPr>
        <w:t xml:space="preserve">本项目技术工作文件只包含项目技术工作的相关信息。除阅读本文件外，开展本技能项目竞赛还需配合其它相关文件一同使用。 </w:t>
      </w:r>
    </w:p>
    <w:p w14:paraId="0E9C2FBF">
      <w:pPr>
        <w:pStyle w:val="41"/>
        <w:spacing w:line="600" w:lineRule="exact"/>
        <w:ind w:firstLine="632"/>
        <w:rPr>
          <w:rFonts w:ascii="Times New Roman" w:hAnsi="Times New Roman" w:eastAsia="仿宋"/>
          <w:color w:val="auto"/>
        </w:rPr>
      </w:pPr>
      <w:r>
        <w:rPr>
          <w:rFonts w:ascii="Times New Roman" w:hAnsi="Times New Roman" w:eastAsia="仿宋"/>
          <w:color w:val="auto"/>
        </w:rPr>
        <w:t>相关文件包括：实施方案，样题，竞赛日程安排，参考工具、仪器清单，竞赛模块，专业技术规范，健康、安全及个人防护规定等。</w:t>
      </w:r>
    </w:p>
    <w:p w14:paraId="18E07839">
      <w:pPr>
        <w:pStyle w:val="13"/>
        <w:tabs>
          <w:tab w:val="clear" w:pos="840"/>
        </w:tabs>
        <w:spacing w:line="600" w:lineRule="exact"/>
        <w:ind w:firstLine="634"/>
        <w:rPr>
          <w:rFonts w:ascii="Times New Roman" w:hAnsi="Times New Roman"/>
          <w:color w:val="auto"/>
        </w:rPr>
      </w:pPr>
      <w:bookmarkStart w:id="4" w:name="_Toc107852889"/>
      <w:bookmarkStart w:id="5" w:name="_Toc5396"/>
      <w:r>
        <w:rPr>
          <w:rFonts w:ascii="Times New Roman" w:hAnsi="Times New Roman"/>
          <w:color w:val="auto"/>
        </w:rPr>
        <w:t>（二）基本知识及能力要求</w:t>
      </w:r>
      <w:bookmarkEnd w:id="4"/>
      <w:bookmarkEnd w:id="5"/>
    </w:p>
    <w:p w14:paraId="7670E145">
      <w:pPr>
        <w:spacing w:line="600" w:lineRule="exact"/>
        <w:ind w:firstLine="632" w:firstLineChars="200"/>
        <w:rPr>
          <w:rFonts w:eastAsia="仿宋"/>
          <w:color w:val="auto"/>
          <w:szCs w:val="24"/>
        </w:rPr>
      </w:pPr>
      <w:r>
        <w:rPr>
          <w:rFonts w:eastAsia="仿宋"/>
          <w:color w:val="auto"/>
          <w:szCs w:val="24"/>
        </w:rPr>
        <w:t>为全面考查参赛选手的职业综合素质和技术技能水平，参照集成电路工程技术国家职业技术技能标准中级标准编制赛项规程和命题，设计实际操作考核模块。竞赛考核内容</w:t>
      </w:r>
      <w:r>
        <w:rPr>
          <w:rFonts w:hint="eastAsia" w:ascii="仿宋" w:hAnsi="仿宋" w:eastAsia="仿宋" w:cs="仿宋"/>
          <w:color w:val="auto"/>
          <w:szCs w:val="24"/>
        </w:rPr>
        <w:t>包括理论和实操，实操考核</w:t>
      </w:r>
      <w:r>
        <w:rPr>
          <w:rFonts w:eastAsia="仿宋"/>
          <w:color w:val="auto"/>
          <w:szCs w:val="24"/>
        </w:rPr>
        <w:t>包括数字集成电路设计与仿真验证、</w:t>
      </w:r>
      <w:r>
        <w:rPr>
          <w:rFonts w:eastAsia="仿宋"/>
          <w:color w:val="auto"/>
          <w:szCs w:val="32"/>
        </w:rPr>
        <w:t>模拟集成电路设计与仿真</w:t>
      </w:r>
      <w:r>
        <w:rPr>
          <w:rFonts w:eastAsia="仿宋"/>
          <w:color w:val="auto"/>
          <w:szCs w:val="24"/>
        </w:rPr>
        <w:t>等两部分，具体要求内容及说明见表1。</w:t>
      </w:r>
    </w:p>
    <w:p w14:paraId="637F079B">
      <w:pPr>
        <w:pStyle w:val="41"/>
        <w:ind w:firstLine="632"/>
        <w:jc w:val="center"/>
        <w:rPr>
          <w:rFonts w:ascii="Times New Roman" w:hAnsi="Times New Roman" w:eastAsia="仿宋"/>
          <w:color w:val="auto"/>
          <w:szCs w:val="32"/>
        </w:rPr>
      </w:pPr>
      <w:r>
        <w:rPr>
          <w:rFonts w:ascii="Times New Roman" w:hAnsi="Times New Roman" w:eastAsia="仿宋"/>
          <w:color w:val="auto"/>
          <w:szCs w:val="32"/>
        </w:rPr>
        <w:t xml:space="preserve">表1 </w:t>
      </w:r>
      <w:r>
        <w:rPr>
          <w:rFonts w:ascii="Times New Roman" w:hAnsi="Times New Roman" w:eastAsia="仿宋"/>
          <w:color w:val="auto"/>
          <w:spacing w:val="-4"/>
          <w:szCs w:val="32"/>
        </w:rPr>
        <w:t>知识与</w:t>
      </w:r>
      <w:r>
        <w:rPr>
          <w:rFonts w:hint="eastAsia" w:ascii="Times New Roman" w:hAnsi="Times New Roman" w:eastAsia="仿宋"/>
          <w:color w:val="auto"/>
          <w:spacing w:val="-4"/>
          <w:szCs w:val="32"/>
          <w:lang w:val="en-US" w:eastAsia="zh-CN"/>
        </w:rPr>
        <w:t>能力</w:t>
      </w:r>
      <w:r>
        <w:rPr>
          <w:rFonts w:ascii="Times New Roman" w:hAnsi="Times New Roman" w:eastAsia="仿宋"/>
          <w:color w:val="auto"/>
          <w:spacing w:val="-4"/>
          <w:szCs w:val="32"/>
        </w:rPr>
        <w:t>要求及权重说明</w:t>
      </w:r>
    </w:p>
    <w:tbl>
      <w:tblPr>
        <w:tblStyle w:val="9"/>
        <w:tblW w:w="96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29"/>
        <w:gridCol w:w="5545"/>
        <w:gridCol w:w="2252"/>
      </w:tblGrid>
      <w:tr w14:paraId="2F896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7374" w:type="dxa"/>
            <w:gridSpan w:val="2"/>
            <w:vAlign w:val="center"/>
          </w:tcPr>
          <w:p w14:paraId="1B53A2BF">
            <w:pPr>
              <w:autoSpaceDE w:val="0"/>
              <w:autoSpaceDN w:val="0"/>
              <w:jc w:val="center"/>
              <w:rPr>
                <w:rFonts w:eastAsia="仿宋"/>
                <w:color w:val="auto"/>
                <w:spacing w:val="-4"/>
                <w:sz w:val="24"/>
                <w:szCs w:val="24"/>
              </w:rPr>
            </w:pPr>
            <w:r>
              <w:rPr>
                <w:rFonts w:eastAsia="仿宋"/>
                <w:color w:val="auto"/>
                <w:spacing w:val="-4"/>
                <w:sz w:val="24"/>
                <w:szCs w:val="24"/>
              </w:rPr>
              <w:t>相关</w:t>
            </w:r>
            <w:r>
              <w:rPr>
                <w:rFonts w:eastAsia="仿宋"/>
                <w:color w:val="auto"/>
                <w:spacing w:val="-4"/>
                <w:sz w:val="24"/>
                <w:szCs w:val="24"/>
                <w:lang w:eastAsia="en-US"/>
              </w:rPr>
              <w:t>要求</w:t>
            </w:r>
          </w:p>
        </w:tc>
        <w:tc>
          <w:tcPr>
            <w:tcW w:w="2252" w:type="dxa"/>
            <w:vAlign w:val="center"/>
          </w:tcPr>
          <w:p w14:paraId="72974044">
            <w:pPr>
              <w:pStyle w:val="60"/>
              <w:autoSpaceDE w:val="0"/>
              <w:autoSpaceDN w:val="0"/>
              <w:spacing w:before="103"/>
              <w:ind w:left="246" w:right="234"/>
              <w:jc w:val="center"/>
              <w:rPr>
                <w:rFonts w:ascii="Times New Roman" w:hAnsi="Times New Roman" w:eastAsia="仿宋"/>
                <w:bCs/>
                <w:color w:val="auto"/>
                <w:spacing w:val="10"/>
                <w:sz w:val="24"/>
                <w:szCs w:val="24"/>
              </w:rPr>
            </w:pPr>
            <w:r>
              <w:rPr>
                <w:rFonts w:ascii="Times New Roman" w:hAnsi="Times New Roman" w:eastAsia="仿宋"/>
                <w:bCs/>
                <w:color w:val="auto"/>
                <w:spacing w:val="10"/>
                <w:sz w:val="24"/>
                <w:szCs w:val="24"/>
              </w:rPr>
              <w:t>权重比例</w:t>
            </w:r>
            <w:r>
              <w:rPr>
                <w:rFonts w:ascii="Times New Roman" w:hAnsi="Times New Roman" w:eastAsia="仿宋"/>
                <w:bCs/>
                <w:color w:val="auto"/>
                <w:spacing w:val="-5"/>
                <w:sz w:val="24"/>
                <w:szCs w:val="24"/>
              </w:rPr>
              <w:t>（%）</w:t>
            </w:r>
          </w:p>
        </w:tc>
      </w:tr>
      <w:tr w14:paraId="563AC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1829" w:type="dxa"/>
            <w:vAlign w:val="center"/>
          </w:tcPr>
          <w:p w14:paraId="45C61126">
            <w:pPr>
              <w:pStyle w:val="60"/>
              <w:autoSpaceDE w:val="0"/>
              <w:autoSpaceDN w:val="0"/>
              <w:ind w:left="7"/>
              <w:jc w:val="center"/>
              <w:rPr>
                <w:rFonts w:ascii="Times New Roman" w:hAnsi="Times New Roman" w:eastAsia="仿宋"/>
                <w:bCs/>
                <w:color w:val="auto"/>
                <w:sz w:val="24"/>
                <w:szCs w:val="24"/>
                <w:lang w:eastAsia="zh-CN"/>
              </w:rPr>
            </w:pPr>
            <w:r>
              <w:rPr>
                <w:rFonts w:ascii="Times New Roman" w:hAnsi="Times New Roman" w:eastAsia="仿宋"/>
                <w:bCs/>
                <w:color w:val="auto"/>
                <w:sz w:val="24"/>
                <w:szCs w:val="24"/>
                <w:lang w:eastAsia="zh-CN"/>
              </w:rPr>
              <w:t>1</w:t>
            </w:r>
          </w:p>
        </w:tc>
        <w:tc>
          <w:tcPr>
            <w:tcW w:w="5545" w:type="dxa"/>
            <w:vAlign w:val="center"/>
          </w:tcPr>
          <w:p w14:paraId="5A8CC84D">
            <w:pPr>
              <w:pStyle w:val="60"/>
              <w:autoSpaceDE w:val="0"/>
              <w:autoSpaceDN w:val="0"/>
              <w:spacing w:before="111"/>
              <w:ind w:left="106"/>
              <w:jc w:val="both"/>
              <w:rPr>
                <w:rFonts w:ascii="Times New Roman" w:hAnsi="Times New Roman" w:eastAsia="仿宋"/>
                <w:bCs/>
                <w:color w:val="auto"/>
                <w:spacing w:val="-4"/>
                <w:sz w:val="24"/>
                <w:szCs w:val="24"/>
                <w:lang w:eastAsia="zh-CN"/>
              </w:rPr>
            </w:pPr>
            <w:r>
              <w:rPr>
                <w:rFonts w:ascii="Times New Roman" w:hAnsi="Times New Roman" w:eastAsia="仿宋"/>
                <w:bCs/>
                <w:color w:val="auto"/>
                <w:spacing w:val="-4"/>
                <w:sz w:val="24"/>
                <w:szCs w:val="24"/>
                <w:lang w:eastAsia="zh-CN"/>
              </w:rPr>
              <w:t>数字集成电路设计与仿真验证</w:t>
            </w:r>
          </w:p>
        </w:tc>
        <w:tc>
          <w:tcPr>
            <w:tcW w:w="2252" w:type="dxa"/>
            <w:vMerge w:val="restart"/>
            <w:vAlign w:val="center"/>
          </w:tcPr>
          <w:p w14:paraId="65ED2895">
            <w:pPr>
              <w:autoSpaceDE w:val="0"/>
              <w:autoSpaceDN w:val="0"/>
              <w:jc w:val="center"/>
              <w:rPr>
                <w:rFonts w:eastAsia="仿宋"/>
                <w:bCs/>
                <w:color w:val="auto"/>
                <w:sz w:val="24"/>
                <w:szCs w:val="24"/>
              </w:rPr>
            </w:pPr>
            <w:r>
              <w:rPr>
                <w:rFonts w:eastAsia="仿宋"/>
                <w:color w:val="auto"/>
                <w:sz w:val="24"/>
              </w:rPr>
              <w:t>50</w:t>
            </w:r>
          </w:p>
        </w:tc>
      </w:tr>
      <w:tr w14:paraId="1AD12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1829" w:type="dxa"/>
            <w:vAlign w:val="center"/>
          </w:tcPr>
          <w:p w14:paraId="287A3934">
            <w:pPr>
              <w:pStyle w:val="60"/>
              <w:autoSpaceDE w:val="0"/>
              <w:autoSpaceDN w:val="0"/>
              <w:spacing w:before="76"/>
              <w:ind w:left="136" w:right="125"/>
              <w:jc w:val="center"/>
              <w:rPr>
                <w:rFonts w:ascii="Times New Roman" w:hAnsi="Times New Roman" w:eastAsia="仿宋"/>
                <w:bCs/>
                <w:color w:val="auto"/>
                <w:spacing w:val="-6"/>
                <w:sz w:val="24"/>
                <w:szCs w:val="24"/>
              </w:rPr>
            </w:pPr>
            <w:r>
              <w:rPr>
                <w:rFonts w:ascii="Times New Roman" w:hAnsi="Times New Roman" w:eastAsia="仿宋"/>
                <w:bCs/>
                <w:color w:val="auto"/>
                <w:spacing w:val="-6"/>
                <w:sz w:val="24"/>
                <w:szCs w:val="24"/>
              </w:rPr>
              <w:t>基本</w:t>
            </w:r>
            <w:r>
              <w:rPr>
                <w:rFonts w:ascii="Times New Roman" w:hAnsi="Times New Roman" w:eastAsia="仿宋"/>
                <w:bCs/>
                <w:color w:val="auto"/>
                <w:spacing w:val="-8"/>
                <w:sz w:val="24"/>
                <w:szCs w:val="24"/>
              </w:rPr>
              <w:t>知识</w:t>
            </w:r>
          </w:p>
        </w:tc>
        <w:tc>
          <w:tcPr>
            <w:tcW w:w="5545" w:type="dxa"/>
            <w:vAlign w:val="center"/>
          </w:tcPr>
          <w:p w14:paraId="73F14486">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-数字逻辑电路基础知识；</w:t>
            </w:r>
          </w:p>
          <w:p w14:paraId="09DEB135">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-硬件描述语言基础知识；</w:t>
            </w:r>
          </w:p>
          <w:p w14:paraId="3F4100B7">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-数字集成电路设计及验证基础知识。</w:t>
            </w:r>
          </w:p>
        </w:tc>
        <w:tc>
          <w:tcPr>
            <w:tcW w:w="2252" w:type="dxa"/>
            <w:vMerge w:val="continue"/>
            <w:vAlign w:val="center"/>
          </w:tcPr>
          <w:p w14:paraId="3BC54ABE">
            <w:pPr>
              <w:pStyle w:val="60"/>
              <w:autoSpaceDE w:val="0"/>
              <w:autoSpaceDN w:val="0"/>
              <w:spacing w:before="190"/>
              <w:ind w:left="242" w:right="234"/>
              <w:jc w:val="center"/>
              <w:rPr>
                <w:rFonts w:ascii="Times New Roman" w:hAnsi="Times New Roman" w:eastAsia="仿宋"/>
                <w:bCs/>
                <w:color w:val="auto"/>
                <w:spacing w:val="-5"/>
                <w:sz w:val="24"/>
                <w:szCs w:val="24"/>
                <w:lang w:eastAsia="zh-CN"/>
              </w:rPr>
            </w:pPr>
          </w:p>
        </w:tc>
      </w:tr>
      <w:tr w14:paraId="099BC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1829" w:type="dxa"/>
            <w:vAlign w:val="center"/>
          </w:tcPr>
          <w:p w14:paraId="640BB4CE">
            <w:pPr>
              <w:pStyle w:val="60"/>
              <w:autoSpaceDE w:val="0"/>
              <w:autoSpaceDN w:val="0"/>
              <w:spacing w:before="75"/>
              <w:ind w:left="136" w:right="125"/>
              <w:jc w:val="center"/>
              <w:rPr>
                <w:rFonts w:ascii="Times New Roman" w:hAnsi="Times New Roman" w:eastAsia="仿宋"/>
                <w:bCs/>
                <w:color w:val="auto"/>
                <w:spacing w:val="-6"/>
                <w:sz w:val="24"/>
                <w:szCs w:val="24"/>
              </w:rPr>
            </w:pPr>
            <w:r>
              <w:rPr>
                <w:rFonts w:ascii="Times New Roman" w:hAnsi="Times New Roman" w:eastAsia="仿宋"/>
                <w:bCs/>
                <w:color w:val="auto"/>
                <w:spacing w:val="-6"/>
                <w:sz w:val="24"/>
                <w:szCs w:val="24"/>
              </w:rPr>
              <w:t>工作</w:t>
            </w:r>
            <w:r>
              <w:rPr>
                <w:rFonts w:ascii="Times New Roman" w:hAnsi="Times New Roman" w:eastAsia="仿宋"/>
                <w:bCs/>
                <w:color w:val="auto"/>
                <w:spacing w:val="-8"/>
                <w:sz w:val="24"/>
                <w:szCs w:val="24"/>
              </w:rPr>
              <w:t>能力</w:t>
            </w:r>
          </w:p>
        </w:tc>
        <w:tc>
          <w:tcPr>
            <w:tcW w:w="5545" w:type="dxa"/>
            <w:vAlign w:val="center"/>
          </w:tcPr>
          <w:p w14:paraId="3024272B">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-FPGA可编程开发工具的使用；</w:t>
            </w:r>
          </w:p>
          <w:p w14:paraId="75FF5869">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-使用开发工具编写硬件描述语言，基于FPGA数字芯片实现指定的功能。</w:t>
            </w:r>
          </w:p>
        </w:tc>
        <w:tc>
          <w:tcPr>
            <w:tcW w:w="2252" w:type="dxa"/>
            <w:vMerge w:val="continue"/>
            <w:vAlign w:val="center"/>
          </w:tcPr>
          <w:p w14:paraId="5FEFB266">
            <w:pPr>
              <w:pStyle w:val="60"/>
              <w:autoSpaceDE w:val="0"/>
              <w:autoSpaceDN w:val="0"/>
              <w:spacing w:before="190"/>
              <w:ind w:left="242" w:right="234"/>
              <w:jc w:val="center"/>
              <w:rPr>
                <w:rFonts w:ascii="Times New Roman" w:hAnsi="Times New Roman" w:eastAsia="仿宋"/>
                <w:bCs/>
                <w:color w:val="auto"/>
                <w:spacing w:val="-5"/>
                <w:sz w:val="24"/>
                <w:szCs w:val="24"/>
                <w:lang w:eastAsia="zh-CN"/>
              </w:rPr>
            </w:pPr>
          </w:p>
        </w:tc>
      </w:tr>
      <w:tr w14:paraId="10735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829" w:type="dxa"/>
            <w:vAlign w:val="center"/>
          </w:tcPr>
          <w:p w14:paraId="3971FA78">
            <w:pPr>
              <w:pStyle w:val="60"/>
              <w:autoSpaceDE w:val="0"/>
              <w:autoSpaceDN w:val="0"/>
              <w:spacing w:before="102"/>
              <w:ind w:right="111"/>
              <w:jc w:val="center"/>
              <w:rPr>
                <w:rFonts w:ascii="Times New Roman" w:hAnsi="Times New Roman" w:eastAsia="仿宋"/>
                <w:bCs/>
                <w:color w:val="auto"/>
                <w:spacing w:val="-6"/>
                <w:sz w:val="24"/>
                <w:szCs w:val="24"/>
                <w:lang w:eastAsia="zh-CN"/>
              </w:rPr>
            </w:pPr>
            <w:r>
              <w:rPr>
                <w:rFonts w:ascii="Times New Roman" w:hAnsi="Times New Roman" w:eastAsia="仿宋"/>
                <w:bCs/>
                <w:color w:val="auto"/>
                <w:spacing w:val="-6"/>
                <w:sz w:val="24"/>
                <w:szCs w:val="24"/>
                <w:lang w:eastAsia="zh-CN"/>
              </w:rPr>
              <w:t>2</w:t>
            </w:r>
          </w:p>
        </w:tc>
        <w:tc>
          <w:tcPr>
            <w:tcW w:w="5545" w:type="dxa"/>
            <w:vAlign w:val="center"/>
          </w:tcPr>
          <w:p w14:paraId="64A28DF5">
            <w:pPr>
              <w:pStyle w:val="60"/>
              <w:autoSpaceDE w:val="0"/>
              <w:autoSpaceDN w:val="0"/>
              <w:ind w:firstLine="236" w:firstLineChars="100"/>
              <w:jc w:val="both"/>
              <w:rPr>
                <w:rFonts w:ascii="Times New Roman" w:hAnsi="Times New Roman" w:eastAsia="仿宋"/>
                <w:bCs/>
                <w:color w:val="auto"/>
                <w:sz w:val="24"/>
                <w:szCs w:val="24"/>
                <w:lang w:eastAsia="zh-CN"/>
              </w:rPr>
            </w:pPr>
            <w:r>
              <w:rPr>
                <w:rFonts w:ascii="Times New Roman" w:hAnsi="Times New Roman" w:eastAsia="仿宋"/>
                <w:bCs/>
                <w:color w:val="auto"/>
                <w:sz w:val="24"/>
                <w:szCs w:val="24"/>
                <w:lang w:eastAsia="zh-CN"/>
              </w:rPr>
              <w:t>模拟集成电路设计与仿真</w:t>
            </w:r>
            <w:r>
              <w:rPr>
                <w:rFonts w:ascii="Times New Roman" w:hAnsi="Times New Roman" w:eastAsia="仿宋"/>
                <w:bCs/>
                <w:color w:val="auto"/>
                <w:spacing w:val="-4"/>
                <w:sz w:val="24"/>
                <w:szCs w:val="24"/>
                <w:lang w:eastAsia="zh-CN"/>
              </w:rPr>
              <w:t>验证</w:t>
            </w:r>
          </w:p>
        </w:tc>
        <w:tc>
          <w:tcPr>
            <w:tcW w:w="2252" w:type="dxa"/>
            <w:vMerge w:val="restart"/>
            <w:vAlign w:val="center"/>
          </w:tcPr>
          <w:p w14:paraId="4B2CCAF7">
            <w:pPr>
              <w:pStyle w:val="60"/>
              <w:autoSpaceDE w:val="0"/>
              <w:autoSpaceDN w:val="0"/>
              <w:spacing w:before="190"/>
              <w:ind w:left="242" w:right="234"/>
              <w:jc w:val="center"/>
              <w:rPr>
                <w:rFonts w:ascii="Times New Roman" w:hAnsi="Times New Roman" w:eastAsia="仿宋"/>
                <w:bCs/>
                <w:color w:val="auto"/>
                <w:sz w:val="24"/>
                <w:szCs w:val="24"/>
                <w:lang w:eastAsia="zh-CN"/>
              </w:rPr>
            </w:pPr>
            <w:r>
              <w:rPr>
                <w:rFonts w:ascii="Times New Roman" w:hAnsi="Times New Roman" w:eastAsia="仿宋"/>
                <w:color w:val="auto"/>
                <w:sz w:val="24"/>
                <w:lang w:eastAsia="zh-CN"/>
              </w:rPr>
              <w:t>50</w:t>
            </w:r>
          </w:p>
        </w:tc>
      </w:tr>
      <w:tr w14:paraId="47A60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829" w:type="dxa"/>
            <w:vAlign w:val="center"/>
          </w:tcPr>
          <w:p w14:paraId="334BB3D4">
            <w:pPr>
              <w:pStyle w:val="60"/>
              <w:autoSpaceDE w:val="0"/>
              <w:autoSpaceDN w:val="0"/>
              <w:spacing w:before="15"/>
              <w:ind w:left="106"/>
              <w:jc w:val="center"/>
              <w:rPr>
                <w:rFonts w:ascii="Times New Roman" w:hAnsi="Times New Roman" w:eastAsia="仿宋"/>
                <w:bCs/>
                <w:color w:val="auto"/>
                <w:spacing w:val="-3"/>
                <w:sz w:val="24"/>
                <w:szCs w:val="24"/>
              </w:rPr>
            </w:pPr>
            <w:r>
              <w:rPr>
                <w:rFonts w:ascii="Times New Roman" w:hAnsi="Times New Roman" w:eastAsia="仿宋"/>
                <w:bCs/>
                <w:color w:val="auto"/>
                <w:spacing w:val="-3"/>
                <w:sz w:val="24"/>
                <w:szCs w:val="24"/>
              </w:rPr>
              <w:t>基本知识</w:t>
            </w:r>
          </w:p>
        </w:tc>
        <w:tc>
          <w:tcPr>
            <w:tcW w:w="5545" w:type="dxa"/>
            <w:vAlign w:val="center"/>
          </w:tcPr>
          <w:p w14:paraId="7A3E9FDB">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-元器件参数及模型知识；</w:t>
            </w:r>
          </w:p>
          <w:p w14:paraId="4F879E93">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-基础电路结构知识；</w:t>
            </w:r>
          </w:p>
          <w:p w14:paraId="20DB5DB9">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-器件版图结构知识；</w:t>
            </w:r>
          </w:p>
          <w:p w14:paraId="1AA74066">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-版图设计工具基本操作知识。</w:t>
            </w:r>
          </w:p>
        </w:tc>
        <w:tc>
          <w:tcPr>
            <w:tcW w:w="2252" w:type="dxa"/>
            <w:vMerge w:val="continue"/>
            <w:vAlign w:val="center"/>
          </w:tcPr>
          <w:p w14:paraId="1D5E59C1">
            <w:pPr>
              <w:pStyle w:val="60"/>
              <w:autoSpaceDE w:val="0"/>
              <w:autoSpaceDN w:val="0"/>
              <w:spacing w:before="190"/>
              <w:ind w:left="242" w:right="234"/>
              <w:jc w:val="center"/>
              <w:rPr>
                <w:rFonts w:ascii="Times New Roman" w:hAnsi="Times New Roman" w:eastAsia="仿宋"/>
                <w:bCs/>
                <w:color w:val="auto"/>
                <w:spacing w:val="-5"/>
                <w:sz w:val="24"/>
                <w:szCs w:val="24"/>
                <w:lang w:eastAsia="zh-CN"/>
              </w:rPr>
            </w:pPr>
          </w:p>
        </w:tc>
      </w:tr>
      <w:tr w14:paraId="3D3A8C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829" w:type="dxa"/>
            <w:vAlign w:val="center"/>
          </w:tcPr>
          <w:p w14:paraId="483FCD03">
            <w:pPr>
              <w:pStyle w:val="60"/>
              <w:autoSpaceDE w:val="0"/>
              <w:autoSpaceDN w:val="0"/>
              <w:spacing w:before="15"/>
              <w:ind w:left="106"/>
              <w:jc w:val="center"/>
              <w:rPr>
                <w:rFonts w:ascii="Times New Roman" w:hAnsi="Times New Roman" w:eastAsia="仿宋"/>
                <w:bCs/>
                <w:color w:val="auto"/>
                <w:spacing w:val="-3"/>
                <w:sz w:val="24"/>
                <w:szCs w:val="24"/>
              </w:rPr>
            </w:pPr>
            <w:r>
              <w:rPr>
                <w:rFonts w:ascii="Times New Roman" w:hAnsi="Times New Roman" w:eastAsia="仿宋"/>
                <w:bCs/>
                <w:color w:val="auto"/>
                <w:spacing w:val="-3"/>
                <w:sz w:val="24"/>
                <w:szCs w:val="24"/>
              </w:rPr>
              <w:t>工作能力</w:t>
            </w:r>
          </w:p>
        </w:tc>
        <w:tc>
          <w:tcPr>
            <w:tcW w:w="5545" w:type="dxa"/>
            <w:vAlign w:val="center"/>
          </w:tcPr>
          <w:p w14:paraId="52A8D956">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-模拟集成电路设计工具的基本使用方法；</w:t>
            </w:r>
          </w:p>
          <w:p w14:paraId="32A68BA3">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-基于给定的工艺PDK文件，完成模拟电路原理图设计和仿真；</w:t>
            </w:r>
          </w:p>
          <w:p w14:paraId="3A47CC6C">
            <w:pPr>
              <w:pStyle w:val="60"/>
              <w:autoSpaceDE w:val="0"/>
              <w:autoSpaceDN w:val="0"/>
              <w:spacing w:before="15"/>
              <w:ind w:left="106"/>
              <w:jc w:val="both"/>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-基于给定的工艺PDK文件，完成模拟电路版图设计与验证。</w:t>
            </w:r>
          </w:p>
        </w:tc>
        <w:tc>
          <w:tcPr>
            <w:tcW w:w="2252" w:type="dxa"/>
            <w:vMerge w:val="continue"/>
            <w:vAlign w:val="center"/>
          </w:tcPr>
          <w:p w14:paraId="6F7A2DC3">
            <w:pPr>
              <w:pStyle w:val="60"/>
              <w:autoSpaceDE w:val="0"/>
              <w:autoSpaceDN w:val="0"/>
              <w:spacing w:before="190"/>
              <w:ind w:left="242" w:right="234"/>
              <w:jc w:val="center"/>
              <w:rPr>
                <w:rFonts w:ascii="Times New Roman" w:hAnsi="Times New Roman" w:eastAsia="仿宋"/>
                <w:bCs/>
                <w:color w:val="auto"/>
                <w:spacing w:val="-5"/>
                <w:sz w:val="24"/>
                <w:szCs w:val="24"/>
                <w:lang w:eastAsia="zh-CN"/>
              </w:rPr>
            </w:pPr>
          </w:p>
        </w:tc>
      </w:tr>
      <w:tr w14:paraId="1F832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829" w:type="dxa"/>
            <w:vAlign w:val="center"/>
          </w:tcPr>
          <w:p w14:paraId="0A2FAB43">
            <w:pPr>
              <w:pStyle w:val="60"/>
              <w:autoSpaceDE w:val="0"/>
              <w:autoSpaceDN w:val="0"/>
              <w:spacing w:before="15"/>
              <w:ind w:left="106"/>
              <w:jc w:val="center"/>
              <w:rPr>
                <w:rFonts w:ascii="Times New Roman" w:hAnsi="Times New Roman" w:eastAsia="仿宋"/>
                <w:bCs/>
                <w:color w:val="auto"/>
                <w:spacing w:val="-3"/>
                <w:sz w:val="24"/>
                <w:szCs w:val="24"/>
                <w:lang w:eastAsia="zh-CN"/>
              </w:rPr>
            </w:pPr>
            <w:r>
              <w:rPr>
                <w:rFonts w:ascii="Times New Roman" w:hAnsi="Times New Roman" w:eastAsia="仿宋"/>
                <w:bCs/>
                <w:color w:val="auto"/>
                <w:spacing w:val="-3"/>
                <w:sz w:val="24"/>
                <w:szCs w:val="24"/>
                <w:lang w:eastAsia="zh-CN"/>
              </w:rPr>
              <w:t>合计</w:t>
            </w:r>
          </w:p>
        </w:tc>
        <w:tc>
          <w:tcPr>
            <w:tcW w:w="5545" w:type="dxa"/>
            <w:vAlign w:val="center"/>
          </w:tcPr>
          <w:p w14:paraId="61C9E43B">
            <w:pPr>
              <w:pStyle w:val="60"/>
              <w:autoSpaceDE w:val="0"/>
              <w:autoSpaceDN w:val="0"/>
              <w:spacing w:before="15"/>
              <w:ind w:left="106"/>
              <w:jc w:val="both"/>
              <w:rPr>
                <w:rFonts w:ascii="Times New Roman" w:hAnsi="Times New Roman" w:eastAsia="仿宋"/>
                <w:bCs/>
                <w:color w:val="auto"/>
                <w:spacing w:val="-3"/>
                <w:sz w:val="24"/>
                <w:szCs w:val="24"/>
              </w:rPr>
            </w:pPr>
          </w:p>
        </w:tc>
        <w:tc>
          <w:tcPr>
            <w:tcW w:w="2252" w:type="dxa"/>
          </w:tcPr>
          <w:p w14:paraId="1945A2CC">
            <w:pPr>
              <w:pStyle w:val="60"/>
              <w:autoSpaceDE w:val="0"/>
              <w:autoSpaceDN w:val="0"/>
              <w:spacing w:before="190"/>
              <w:ind w:left="242" w:right="234"/>
              <w:jc w:val="center"/>
              <w:rPr>
                <w:rFonts w:ascii="Times New Roman" w:hAnsi="Times New Roman" w:eastAsia="仿宋"/>
                <w:bCs/>
                <w:color w:val="auto"/>
                <w:spacing w:val="-5"/>
                <w:sz w:val="24"/>
                <w:szCs w:val="24"/>
                <w:lang w:eastAsia="zh-CN"/>
              </w:rPr>
            </w:pPr>
            <w:r>
              <w:rPr>
                <w:rFonts w:ascii="Times New Roman" w:hAnsi="Times New Roman" w:eastAsia="仿宋"/>
                <w:bCs/>
                <w:color w:val="auto"/>
                <w:spacing w:val="-5"/>
                <w:sz w:val="24"/>
                <w:szCs w:val="24"/>
                <w:lang w:eastAsia="zh-CN"/>
              </w:rPr>
              <w:t>100</w:t>
            </w:r>
          </w:p>
        </w:tc>
      </w:tr>
    </w:tbl>
    <w:p w14:paraId="0667D7C3">
      <w:pPr>
        <w:pStyle w:val="12"/>
        <w:spacing w:line="600" w:lineRule="exact"/>
        <w:ind w:firstLine="632"/>
        <w:rPr>
          <w:rFonts w:ascii="Times New Roman" w:hAnsi="Times New Roman"/>
          <w:color w:val="auto"/>
        </w:rPr>
      </w:pPr>
      <w:bookmarkStart w:id="6" w:name="_Toc7848"/>
      <w:r>
        <w:rPr>
          <w:rFonts w:ascii="Times New Roman" w:hAnsi="Times New Roman"/>
          <w:color w:val="auto"/>
        </w:rPr>
        <w:t>二、试题及评判标准</w:t>
      </w:r>
      <w:bookmarkEnd w:id="6"/>
    </w:p>
    <w:p w14:paraId="58CCF5DB">
      <w:pPr>
        <w:pStyle w:val="13"/>
        <w:tabs>
          <w:tab w:val="clear" w:pos="840"/>
        </w:tabs>
        <w:spacing w:line="600" w:lineRule="exact"/>
        <w:ind w:firstLine="634"/>
        <w:rPr>
          <w:rFonts w:ascii="Times New Roman" w:hAnsi="Times New Roman"/>
          <w:color w:val="auto"/>
        </w:rPr>
      </w:pPr>
      <w:bookmarkStart w:id="7" w:name="_Toc107852891"/>
      <w:bookmarkStart w:id="8" w:name="_Toc13938"/>
      <w:r>
        <w:rPr>
          <w:rFonts w:ascii="Times New Roman" w:hAnsi="Times New Roman"/>
          <w:color w:val="auto"/>
        </w:rPr>
        <w:t>（一）试题</w:t>
      </w:r>
      <w:bookmarkEnd w:id="7"/>
      <w:bookmarkEnd w:id="8"/>
    </w:p>
    <w:p w14:paraId="4A00BE3B">
      <w:pPr>
        <w:pStyle w:val="41"/>
        <w:spacing w:line="600" w:lineRule="exact"/>
        <w:ind w:firstLine="632"/>
        <w:rPr>
          <w:rFonts w:ascii="Times New Roman" w:hAnsi="Times New Roman" w:eastAsia="仿宋"/>
          <w:color w:val="auto"/>
        </w:rPr>
      </w:pPr>
      <w:r>
        <w:rPr>
          <w:rFonts w:ascii="Times New Roman" w:hAnsi="Times New Roman" w:eastAsia="仿宋"/>
          <w:color w:val="auto"/>
        </w:rPr>
        <w:t>1.竞赛形式</w:t>
      </w:r>
    </w:p>
    <w:p w14:paraId="198EB7F3">
      <w:pPr>
        <w:pStyle w:val="8"/>
        <w:spacing w:line="600" w:lineRule="exact"/>
        <w:ind w:firstLine="632"/>
        <w:rPr>
          <w:rFonts w:ascii="Times New Roman" w:hAnsi="Times New Roman" w:eastAsia="仿宋"/>
          <w:color w:val="auto"/>
        </w:rPr>
      </w:pPr>
      <w:r>
        <w:rPr>
          <w:rFonts w:hint="eastAsia" w:ascii="仿宋" w:hAnsi="仿宋" w:eastAsia="仿宋"/>
          <w:color w:val="auto"/>
        </w:rPr>
        <w:t>本次竞赛设理论和实操考核两个模块，理论知识考试占总成绩30%，实操考核占总成绩70%。</w:t>
      </w:r>
      <w:r>
        <w:rPr>
          <w:rFonts w:ascii="Times New Roman" w:hAnsi="Times New Roman" w:eastAsia="仿宋"/>
          <w:color w:val="auto"/>
        </w:rPr>
        <w:t xml:space="preserve">本项目比赛形式为单人实操比赛。 </w:t>
      </w:r>
    </w:p>
    <w:p w14:paraId="1333A8F1">
      <w:pPr>
        <w:pStyle w:val="41"/>
        <w:spacing w:line="600" w:lineRule="exact"/>
        <w:ind w:firstLine="632"/>
        <w:rPr>
          <w:rFonts w:ascii="Times New Roman" w:hAnsi="Times New Roman" w:eastAsia="仿宋"/>
          <w:color w:val="auto"/>
        </w:rPr>
      </w:pPr>
      <w:r>
        <w:rPr>
          <w:rFonts w:ascii="Times New Roman" w:hAnsi="Times New Roman" w:eastAsia="仿宋"/>
          <w:color w:val="auto"/>
        </w:rPr>
        <w:t>2.命题办法</w:t>
      </w:r>
    </w:p>
    <w:p w14:paraId="3FE4D9DA">
      <w:pPr>
        <w:pStyle w:val="41"/>
        <w:spacing w:line="600" w:lineRule="exact"/>
        <w:ind w:firstLine="632"/>
        <w:rPr>
          <w:rFonts w:ascii="Times New Roman" w:hAnsi="Times New Roman" w:eastAsia="仿宋"/>
          <w:color w:val="auto"/>
        </w:rPr>
      </w:pPr>
      <w:r>
        <w:rPr>
          <w:rFonts w:ascii="Times New Roman" w:hAnsi="Times New Roman" w:eastAsia="仿宋"/>
          <w:color w:val="auto"/>
        </w:rPr>
        <w:t>试题由大赛组委会技术工作委员会组织有关专家参照《集成电路工程技术人员国家职业技能标准》，并结合赛场设备、材料状况，借鉴国赛集成电路工程技术相关项目的命题方法和考核内容，进行统一命题。</w:t>
      </w:r>
    </w:p>
    <w:p w14:paraId="498651CB">
      <w:pPr>
        <w:pStyle w:val="41"/>
        <w:spacing w:line="600" w:lineRule="exact"/>
        <w:ind w:firstLine="632"/>
        <w:rPr>
          <w:rFonts w:ascii="Times New Roman" w:hAnsi="Times New Roman" w:eastAsia="仿宋"/>
          <w:color w:val="auto"/>
        </w:rPr>
      </w:pPr>
      <w:r>
        <w:rPr>
          <w:rFonts w:ascii="Times New Roman" w:hAnsi="Times New Roman" w:eastAsia="仿宋"/>
          <w:color w:val="auto"/>
        </w:rPr>
        <w:t>命题流程：</w:t>
      </w:r>
    </w:p>
    <w:tbl>
      <w:tblPr>
        <w:tblStyle w:val="9"/>
        <w:tblW w:w="0" w:type="auto"/>
        <w:tblInd w:w="1418" w:type="dxa"/>
        <w:tblLayout w:type="fixed"/>
        <w:tblCellMar>
          <w:top w:w="0" w:type="dxa"/>
          <w:left w:w="108" w:type="dxa"/>
          <w:bottom w:w="0" w:type="dxa"/>
          <w:right w:w="108" w:type="dxa"/>
        </w:tblCellMar>
      </w:tblPr>
      <w:tblGrid>
        <w:gridCol w:w="5782"/>
      </w:tblGrid>
      <w:tr w14:paraId="383F62F8">
        <w:tblPrEx>
          <w:tblCellMar>
            <w:top w:w="0" w:type="dxa"/>
            <w:left w:w="108" w:type="dxa"/>
            <w:bottom w:w="0" w:type="dxa"/>
            <w:right w:w="108" w:type="dxa"/>
          </w:tblCellMar>
        </w:tblPrEx>
        <w:tc>
          <w:tcPr>
            <w:tcW w:w="5782" w:type="dxa"/>
            <w:tcBorders>
              <w:top w:val="single" w:color="auto" w:sz="4" w:space="0"/>
              <w:left w:val="single" w:color="auto" w:sz="4" w:space="0"/>
              <w:bottom w:val="single" w:color="auto" w:sz="4" w:space="0"/>
              <w:right w:val="single" w:color="auto" w:sz="4" w:space="0"/>
            </w:tcBorders>
            <w:shd w:val="clear" w:color="auto" w:fill="DAEEF3"/>
            <w:vAlign w:val="center"/>
          </w:tcPr>
          <w:p w14:paraId="40FCAB2B">
            <w:pPr>
              <w:spacing w:line="600" w:lineRule="exact"/>
              <w:jc w:val="center"/>
              <w:rPr>
                <w:rFonts w:eastAsia="新宋体"/>
                <w:color w:val="auto"/>
                <w:sz w:val="24"/>
                <w:szCs w:val="24"/>
              </w:rPr>
            </w:pPr>
            <w:r>
              <w:rPr>
                <w:rFonts w:eastAsia="新宋体"/>
                <w:color w:val="auto"/>
                <w:sz w:val="24"/>
                <w:szCs w:val="24"/>
              </w:rPr>
              <w:t>赛区组委会负责组织技术专家制定技术工作文件、竞赛内容、样题、评分标准。</w:t>
            </w:r>
          </w:p>
        </w:tc>
      </w:tr>
      <w:tr w14:paraId="79C0E474">
        <w:tblPrEx>
          <w:tblCellMar>
            <w:top w:w="0" w:type="dxa"/>
            <w:left w:w="108" w:type="dxa"/>
            <w:bottom w:w="0" w:type="dxa"/>
            <w:right w:w="108" w:type="dxa"/>
          </w:tblCellMar>
        </w:tblPrEx>
        <w:tc>
          <w:tcPr>
            <w:tcW w:w="5782" w:type="dxa"/>
            <w:tcBorders>
              <w:top w:val="single" w:color="auto" w:sz="4" w:space="0"/>
              <w:bottom w:val="single" w:color="auto" w:sz="4" w:space="0"/>
            </w:tcBorders>
            <w:vAlign w:val="center"/>
          </w:tcPr>
          <w:p w14:paraId="72C48F78">
            <w:pPr>
              <w:spacing w:line="600" w:lineRule="exact"/>
              <w:jc w:val="center"/>
              <w:rPr>
                <w:rFonts w:eastAsia="新宋体"/>
                <w:color w:val="auto"/>
                <w:sz w:val="24"/>
                <w:szCs w:val="24"/>
              </w:rPr>
            </w:pPr>
            <w:r>
              <w:rPr>
                <w:color w:val="auto"/>
              </w:rPr>
              <w:pict>
                <v:shape id="_x0000_s2052" o:spid="_x0000_s2052" o:spt="32" type="#_x0000_t32" style="position:absolute;left:0pt;margin-left:139.2pt;margin-top:0.8pt;height:22.6pt;width:0.55pt;z-index:25165926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">
                  <v:path arrowok="t"/>
                  <v:fill on="f" focussize="0,0"/>
                  <v:stroke weight="1pt" color="#FFFFFF" endarrow="block"/>
                  <v:imagedata o:title=""/>
                  <o:lock v:ext="edit"/>
                </v:shape>
              </w:pict>
            </w:r>
          </w:p>
        </w:tc>
      </w:tr>
      <w:tr w14:paraId="12DE7215">
        <w:tblPrEx>
          <w:tblCellMar>
            <w:top w:w="0" w:type="dxa"/>
            <w:left w:w="108" w:type="dxa"/>
            <w:bottom w:w="0" w:type="dxa"/>
            <w:right w:w="108" w:type="dxa"/>
          </w:tblCellMar>
        </w:tblPrEx>
        <w:tc>
          <w:tcPr>
            <w:tcW w:w="5782" w:type="dxa"/>
            <w:tcBorders>
              <w:top w:val="single" w:color="auto" w:sz="4" w:space="0"/>
              <w:left w:val="single" w:color="auto" w:sz="4" w:space="0"/>
              <w:bottom w:val="single" w:color="auto" w:sz="4" w:space="0"/>
              <w:right w:val="single" w:color="auto" w:sz="4" w:space="0"/>
            </w:tcBorders>
            <w:shd w:val="clear" w:color="auto" w:fill="DAEEF3"/>
            <w:vAlign w:val="center"/>
          </w:tcPr>
          <w:p w14:paraId="78092BB3">
            <w:pPr>
              <w:spacing w:line="600" w:lineRule="exact"/>
              <w:jc w:val="center"/>
              <w:rPr>
                <w:rFonts w:eastAsia="新宋体"/>
                <w:color w:val="auto"/>
                <w:sz w:val="24"/>
                <w:szCs w:val="24"/>
              </w:rPr>
            </w:pPr>
            <w:r>
              <w:rPr>
                <w:rFonts w:eastAsia="新宋体"/>
                <w:color w:val="auto"/>
                <w:sz w:val="24"/>
                <w:szCs w:val="24"/>
              </w:rPr>
              <w:t>公布技术文件及样题。</w:t>
            </w:r>
          </w:p>
        </w:tc>
      </w:tr>
      <w:tr w14:paraId="654CD849">
        <w:tblPrEx>
          <w:tblCellMar>
            <w:top w:w="0" w:type="dxa"/>
            <w:left w:w="108" w:type="dxa"/>
            <w:bottom w:w="0" w:type="dxa"/>
            <w:right w:w="108" w:type="dxa"/>
          </w:tblCellMar>
        </w:tblPrEx>
        <w:tc>
          <w:tcPr>
            <w:tcW w:w="5782" w:type="dxa"/>
            <w:tcBorders>
              <w:top w:val="single" w:color="auto" w:sz="4" w:space="0"/>
              <w:bottom w:val="single" w:color="auto" w:sz="4" w:space="0"/>
            </w:tcBorders>
            <w:vAlign w:val="center"/>
          </w:tcPr>
          <w:p w14:paraId="7ACB5370">
            <w:pPr>
              <w:spacing w:line="600" w:lineRule="exact"/>
              <w:jc w:val="center"/>
              <w:rPr>
                <w:rFonts w:eastAsia="新宋体"/>
                <w:color w:val="auto"/>
                <w:sz w:val="24"/>
                <w:szCs w:val="24"/>
              </w:rPr>
            </w:pPr>
            <w:r>
              <w:rPr>
                <w:color w:val="auto"/>
              </w:rPr>
              <w:pict>
                <v:shape id="_x0000_s2051" o:spid="_x0000_s2051" o:spt="32" type="#_x0000_t32" style="position:absolute;left:0pt;margin-left:139.75pt;margin-top:-0.25pt;height:22.6pt;width:0.55pt;z-index:25165926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">
                  <v:path arrowok="t"/>
                  <v:fill on="f" focussize="0,0"/>
                  <v:stroke weight="1pt" color="#FFFFFF" endarrow="block"/>
                  <v:imagedata o:title=""/>
                  <o:lock v:ext="edit"/>
                </v:shape>
              </w:pict>
            </w:r>
          </w:p>
        </w:tc>
      </w:tr>
      <w:tr w14:paraId="6ACFEF54">
        <w:tblPrEx>
          <w:tblCellMar>
            <w:top w:w="0" w:type="dxa"/>
            <w:left w:w="108" w:type="dxa"/>
            <w:bottom w:w="0" w:type="dxa"/>
            <w:right w:w="108" w:type="dxa"/>
          </w:tblCellMar>
        </w:tblPrEx>
        <w:tc>
          <w:tcPr>
            <w:tcW w:w="5782" w:type="dxa"/>
            <w:tcBorders>
              <w:top w:val="single" w:color="auto" w:sz="4" w:space="0"/>
              <w:left w:val="single" w:color="auto" w:sz="4" w:space="0"/>
              <w:bottom w:val="single" w:color="auto" w:sz="4" w:space="0"/>
              <w:right w:val="single" w:color="auto" w:sz="4" w:space="0"/>
            </w:tcBorders>
            <w:shd w:val="clear" w:color="auto" w:fill="DAEEF3"/>
            <w:vAlign w:val="center"/>
          </w:tcPr>
          <w:p w14:paraId="5012583D">
            <w:pPr>
              <w:spacing w:line="600" w:lineRule="exact"/>
              <w:jc w:val="center"/>
              <w:rPr>
                <w:rFonts w:eastAsia="新宋体"/>
                <w:color w:val="auto"/>
                <w:sz w:val="24"/>
                <w:szCs w:val="24"/>
              </w:rPr>
            </w:pPr>
            <w:r>
              <w:rPr>
                <w:rFonts w:eastAsia="新宋体"/>
                <w:color w:val="auto"/>
                <w:sz w:val="24"/>
                <w:szCs w:val="24"/>
              </w:rPr>
              <w:t>赛前技术专家组按照技术文件及样题进行命题。</w:t>
            </w:r>
          </w:p>
        </w:tc>
      </w:tr>
    </w:tbl>
    <w:p w14:paraId="461D5B2F">
      <w:pPr>
        <w:pStyle w:val="41"/>
        <w:spacing w:line="600" w:lineRule="exact"/>
        <w:ind w:firstLine="632"/>
        <w:rPr>
          <w:rFonts w:ascii="Times New Roman" w:hAnsi="Times New Roman" w:eastAsia="仿宋"/>
          <w:color w:val="auto"/>
        </w:rPr>
      </w:pPr>
      <w:r>
        <w:rPr>
          <w:rFonts w:ascii="Times New Roman" w:hAnsi="Times New Roman" w:eastAsia="仿宋"/>
          <w:color w:val="auto"/>
        </w:rPr>
        <w:t>3.公布方式</w:t>
      </w:r>
    </w:p>
    <w:p w14:paraId="6F3FE2AD">
      <w:pPr>
        <w:pStyle w:val="41"/>
        <w:spacing w:line="600" w:lineRule="exact"/>
        <w:ind w:firstLine="632"/>
        <w:rPr>
          <w:rFonts w:ascii="Times New Roman" w:hAnsi="Times New Roman" w:eastAsia="仿宋"/>
          <w:color w:val="auto"/>
        </w:rPr>
      </w:pPr>
      <w:r>
        <w:rPr>
          <w:rFonts w:ascii="Times New Roman" w:hAnsi="Times New Roman" w:eastAsia="仿宋"/>
          <w:color w:val="auto"/>
        </w:rPr>
        <w:t>（1）本项目设施、设备、竞赛样题全部公开；</w:t>
      </w:r>
    </w:p>
    <w:p w14:paraId="00E8076E">
      <w:pPr>
        <w:pStyle w:val="41"/>
        <w:spacing w:line="600" w:lineRule="exact"/>
        <w:ind w:firstLine="632"/>
        <w:rPr>
          <w:rFonts w:ascii="Times New Roman" w:hAnsi="Times New Roman" w:eastAsia="仿宋"/>
          <w:color w:val="auto"/>
        </w:rPr>
      </w:pPr>
      <w:r>
        <w:rPr>
          <w:rFonts w:ascii="Times New Roman" w:hAnsi="Times New Roman" w:eastAsia="仿宋"/>
          <w:color w:val="auto"/>
        </w:rPr>
        <w:t>（2）实际考核题目专家组在样题基础上做适当变动。</w:t>
      </w:r>
    </w:p>
    <w:p w14:paraId="6071AEBF">
      <w:pPr>
        <w:pStyle w:val="13"/>
        <w:tabs>
          <w:tab w:val="clear" w:pos="840"/>
        </w:tabs>
        <w:spacing w:line="600" w:lineRule="exact"/>
        <w:ind w:firstLine="634"/>
        <w:rPr>
          <w:rFonts w:ascii="Times New Roman" w:hAnsi="Times New Roman"/>
          <w:color w:val="auto"/>
        </w:rPr>
      </w:pPr>
      <w:bookmarkStart w:id="9" w:name="_Toc107852892"/>
      <w:bookmarkStart w:id="10" w:name="_Toc18293"/>
      <w:r>
        <w:rPr>
          <w:rFonts w:ascii="Times New Roman" w:hAnsi="Times New Roman"/>
          <w:color w:val="auto"/>
        </w:rPr>
        <w:t>（二）比赛时间及试题具体内容</w:t>
      </w:r>
      <w:bookmarkEnd w:id="9"/>
      <w:bookmarkEnd w:id="10"/>
    </w:p>
    <w:p w14:paraId="0449C08A">
      <w:pPr>
        <w:spacing w:line="600" w:lineRule="exact"/>
        <w:ind w:firstLine="632" w:firstLineChars="200"/>
        <w:rPr>
          <w:rFonts w:eastAsia="仿宋"/>
          <w:color w:val="auto"/>
          <w:szCs w:val="32"/>
        </w:rPr>
      </w:pPr>
      <w:r>
        <w:rPr>
          <w:rFonts w:eastAsia="仿宋"/>
          <w:color w:val="auto"/>
          <w:szCs w:val="32"/>
        </w:rPr>
        <w:t>1．比赛时间安排：</w:t>
      </w:r>
    </w:p>
    <w:p w14:paraId="1C6C2356">
      <w:pPr>
        <w:spacing w:line="600" w:lineRule="exact"/>
        <w:ind w:firstLine="632" w:firstLineChars="200"/>
        <w:rPr>
          <w:rFonts w:eastAsia="仿宋"/>
          <w:color w:val="auto"/>
          <w:szCs w:val="32"/>
        </w:rPr>
      </w:pPr>
      <w:r>
        <w:rPr>
          <w:rFonts w:eastAsia="仿宋"/>
          <w:color w:val="auto"/>
          <w:szCs w:val="32"/>
        </w:rPr>
        <w:t>包括本项目比赛总时间及各模块时间分配见表2。</w:t>
      </w:r>
    </w:p>
    <w:p w14:paraId="7B944C5E">
      <w:pPr>
        <w:spacing w:line="600" w:lineRule="exact"/>
        <w:jc w:val="center"/>
        <w:rPr>
          <w:rFonts w:eastAsia="仿宋"/>
          <w:color w:val="auto"/>
          <w:szCs w:val="32"/>
        </w:rPr>
      </w:pPr>
      <w:r>
        <w:rPr>
          <w:rFonts w:eastAsia="仿宋"/>
          <w:color w:val="auto"/>
          <w:szCs w:val="32"/>
        </w:rPr>
        <w:t>表2 竞赛任务编号名称、时间分配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4129"/>
        <w:gridCol w:w="2614"/>
      </w:tblGrid>
      <w:tr w14:paraId="0B5DB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14:paraId="03429FD9">
            <w:pPr>
              <w:spacing w:line="600" w:lineRule="exact"/>
              <w:jc w:val="center"/>
              <w:rPr>
                <w:rFonts w:eastAsia="仿宋"/>
                <w:color w:val="auto"/>
                <w:sz w:val="28"/>
                <w:szCs w:val="28"/>
              </w:rPr>
            </w:pPr>
            <w:r>
              <w:rPr>
                <w:rFonts w:eastAsia="仿宋"/>
                <w:color w:val="auto"/>
                <w:sz w:val="28"/>
                <w:szCs w:val="28"/>
              </w:rPr>
              <w:t>任务编号</w:t>
            </w:r>
          </w:p>
        </w:tc>
        <w:tc>
          <w:tcPr>
            <w:tcW w:w="4129" w:type="dxa"/>
            <w:vAlign w:val="center"/>
          </w:tcPr>
          <w:p w14:paraId="2DFAF850">
            <w:pPr>
              <w:spacing w:line="600" w:lineRule="exact"/>
              <w:jc w:val="center"/>
              <w:rPr>
                <w:rFonts w:eastAsia="仿宋"/>
                <w:color w:val="auto"/>
                <w:sz w:val="28"/>
                <w:szCs w:val="28"/>
              </w:rPr>
            </w:pPr>
            <w:r>
              <w:rPr>
                <w:rFonts w:eastAsia="仿宋"/>
                <w:color w:val="auto"/>
                <w:sz w:val="28"/>
                <w:szCs w:val="28"/>
              </w:rPr>
              <w:t>任务名称</w:t>
            </w:r>
          </w:p>
        </w:tc>
        <w:tc>
          <w:tcPr>
            <w:tcW w:w="2614" w:type="dxa"/>
            <w:vAlign w:val="center"/>
          </w:tcPr>
          <w:p w14:paraId="1014DC8D">
            <w:pPr>
              <w:spacing w:line="600" w:lineRule="exact"/>
              <w:jc w:val="center"/>
              <w:rPr>
                <w:rFonts w:eastAsia="仿宋"/>
                <w:color w:val="auto"/>
                <w:sz w:val="28"/>
                <w:szCs w:val="28"/>
              </w:rPr>
            </w:pPr>
            <w:r>
              <w:rPr>
                <w:rFonts w:eastAsia="仿宋"/>
                <w:color w:val="auto"/>
                <w:sz w:val="28"/>
                <w:szCs w:val="28"/>
              </w:rPr>
              <w:t>竞赛时间（min）</w:t>
            </w:r>
          </w:p>
        </w:tc>
      </w:tr>
      <w:tr w14:paraId="6F62D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tcPr>
          <w:p w14:paraId="2C443671">
            <w:pPr>
              <w:spacing w:line="600" w:lineRule="exact"/>
              <w:jc w:val="center"/>
              <w:rPr>
                <w:rFonts w:hint="eastAsia" w:ascii="仿宋" w:hAnsi="仿宋" w:eastAsia="仿宋"/>
                <w:color w:val="auto"/>
                <w:sz w:val="28"/>
                <w:szCs w:val="28"/>
              </w:rPr>
            </w:pPr>
            <w:bookmarkStart w:id="11" w:name="_Hlk107258159"/>
            <w:r>
              <w:rPr>
                <w:rFonts w:ascii="仿宋" w:hAnsi="仿宋" w:eastAsia="仿宋"/>
                <w:color w:val="auto"/>
                <w:sz w:val="28"/>
                <w:szCs w:val="28"/>
              </w:rPr>
              <w:t>1</w:t>
            </w:r>
          </w:p>
        </w:tc>
        <w:tc>
          <w:tcPr>
            <w:tcW w:w="4129" w:type="dxa"/>
          </w:tcPr>
          <w:p w14:paraId="1C392489">
            <w:pPr>
              <w:spacing w:line="600" w:lineRule="exact"/>
              <w:rPr>
                <w:rFonts w:hint="eastAsia" w:ascii="仿宋" w:hAnsi="仿宋" w:eastAsia="仿宋"/>
                <w:color w:val="auto"/>
                <w:sz w:val="28"/>
                <w:szCs w:val="28"/>
              </w:rPr>
            </w:pPr>
            <w:r>
              <w:rPr>
                <w:rFonts w:hint="eastAsia" w:ascii="仿宋" w:hAnsi="仿宋" w:eastAsia="仿宋"/>
                <w:color w:val="auto"/>
                <w:sz w:val="28"/>
                <w:szCs w:val="28"/>
              </w:rPr>
              <w:t>竞赛理论</w:t>
            </w:r>
          </w:p>
        </w:tc>
        <w:tc>
          <w:tcPr>
            <w:tcW w:w="2614" w:type="dxa"/>
          </w:tcPr>
          <w:p w14:paraId="48C034B0">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包含在实操时间内</w:t>
            </w:r>
          </w:p>
        </w:tc>
      </w:tr>
      <w:tr w14:paraId="610B8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97" w:type="dxa"/>
          </w:tcPr>
          <w:p w14:paraId="23AC2847">
            <w:pPr>
              <w:spacing w:line="600" w:lineRule="exact"/>
              <w:jc w:val="center"/>
              <w:rPr>
                <w:rFonts w:eastAsia="仿宋"/>
                <w:color w:val="auto"/>
                <w:sz w:val="28"/>
                <w:szCs w:val="28"/>
              </w:rPr>
            </w:pPr>
            <w:r>
              <w:rPr>
                <w:rFonts w:hint="eastAsia" w:eastAsia="仿宋"/>
                <w:color w:val="auto"/>
                <w:sz w:val="28"/>
                <w:szCs w:val="28"/>
              </w:rPr>
              <w:t>2</w:t>
            </w:r>
          </w:p>
        </w:tc>
        <w:tc>
          <w:tcPr>
            <w:tcW w:w="4129" w:type="dxa"/>
          </w:tcPr>
          <w:p w14:paraId="385C25CD">
            <w:pPr>
              <w:spacing w:line="600" w:lineRule="exact"/>
              <w:rPr>
                <w:rFonts w:eastAsia="仿宋"/>
                <w:color w:val="auto"/>
                <w:sz w:val="28"/>
                <w:szCs w:val="28"/>
              </w:rPr>
            </w:pPr>
            <w:r>
              <w:rPr>
                <w:rFonts w:eastAsia="仿宋"/>
                <w:color w:val="auto"/>
                <w:sz w:val="28"/>
                <w:szCs w:val="28"/>
              </w:rPr>
              <w:t>数字集成电路设计与仿真验证</w:t>
            </w:r>
          </w:p>
        </w:tc>
        <w:tc>
          <w:tcPr>
            <w:tcW w:w="2614" w:type="dxa"/>
          </w:tcPr>
          <w:p w14:paraId="47167140">
            <w:pPr>
              <w:spacing w:line="600" w:lineRule="exact"/>
              <w:jc w:val="center"/>
              <w:rPr>
                <w:rFonts w:eastAsia="仿宋"/>
                <w:color w:val="auto"/>
                <w:sz w:val="28"/>
              </w:rPr>
            </w:pPr>
            <w:r>
              <w:rPr>
                <w:rFonts w:hint="eastAsia" w:eastAsia="仿宋"/>
                <w:color w:val="auto"/>
                <w:sz w:val="28"/>
              </w:rPr>
              <w:t>70</w:t>
            </w:r>
          </w:p>
        </w:tc>
      </w:tr>
      <w:tr w14:paraId="3C6F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tcPr>
          <w:p w14:paraId="79C3633C">
            <w:pPr>
              <w:spacing w:line="600" w:lineRule="exact"/>
              <w:jc w:val="center"/>
              <w:rPr>
                <w:rFonts w:eastAsia="仿宋"/>
                <w:color w:val="auto"/>
                <w:sz w:val="28"/>
                <w:szCs w:val="28"/>
              </w:rPr>
            </w:pPr>
            <w:r>
              <w:rPr>
                <w:rFonts w:hint="eastAsia" w:eastAsia="仿宋"/>
                <w:color w:val="auto"/>
                <w:sz w:val="28"/>
                <w:szCs w:val="28"/>
              </w:rPr>
              <w:t>3</w:t>
            </w:r>
          </w:p>
        </w:tc>
        <w:tc>
          <w:tcPr>
            <w:tcW w:w="4129" w:type="dxa"/>
          </w:tcPr>
          <w:p w14:paraId="57C3009D">
            <w:pPr>
              <w:spacing w:line="600" w:lineRule="exact"/>
              <w:rPr>
                <w:rFonts w:eastAsia="仿宋"/>
                <w:color w:val="auto"/>
                <w:sz w:val="28"/>
                <w:szCs w:val="28"/>
              </w:rPr>
            </w:pPr>
            <w:r>
              <w:rPr>
                <w:rFonts w:eastAsia="仿宋"/>
                <w:color w:val="auto"/>
                <w:sz w:val="28"/>
              </w:rPr>
              <w:t>模拟集成电路</w:t>
            </w:r>
            <w:r>
              <w:rPr>
                <w:rFonts w:eastAsia="仿宋"/>
                <w:color w:val="auto"/>
                <w:sz w:val="28"/>
                <w:szCs w:val="28"/>
              </w:rPr>
              <w:t>设计与仿真验证</w:t>
            </w:r>
          </w:p>
        </w:tc>
        <w:tc>
          <w:tcPr>
            <w:tcW w:w="2614" w:type="dxa"/>
          </w:tcPr>
          <w:p w14:paraId="6EFB5EC6">
            <w:pPr>
              <w:spacing w:line="600" w:lineRule="exact"/>
              <w:jc w:val="center"/>
              <w:rPr>
                <w:rFonts w:eastAsia="仿宋"/>
                <w:color w:val="auto"/>
                <w:sz w:val="28"/>
                <w:szCs w:val="28"/>
              </w:rPr>
            </w:pPr>
            <w:r>
              <w:rPr>
                <w:rFonts w:hint="eastAsia" w:eastAsia="仿宋"/>
                <w:color w:val="auto"/>
                <w:sz w:val="28"/>
                <w:szCs w:val="28"/>
              </w:rPr>
              <w:t>80</w:t>
            </w:r>
          </w:p>
        </w:tc>
      </w:tr>
      <w:bookmarkEnd w:id="11"/>
      <w:tr w14:paraId="0E7D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6" w:type="dxa"/>
            <w:gridSpan w:val="2"/>
          </w:tcPr>
          <w:p w14:paraId="272567F6">
            <w:pPr>
              <w:spacing w:line="600" w:lineRule="exact"/>
              <w:jc w:val="center"/>
              <w:rPr>
                <w:rFonts w:eastAsia="仿宋"/>
                <w:color w:val="auto"/>
                <w:sz w:val="28"/>
                <w:szCs w:val="28"/>
              </w:rPr>
            </w:pPr>
            <w:r>
              <w:rPr>
                <w:rFonts w:eastAsia="仿宋"/>
                <w:color w:val="auto"/>
                <w:sz w:val="28"/>
                <w:szCs w:val="28"/>
              </w:rPr>
              <w:t>总计</w:t>
            </w:r>
          </w:p>
        </w:tc>
        <w:tc>
          <w:tcPr>
            <w:tcW w:w="2614" w:type="dxa"/>
          </w:tcPr>
          <w:p w14:paraId="61121A0A">
            <w:pPr>
              <w:spacing w:line="600" w:lineRule="exact"/>
              <w:jc w:val="center"/>
              <w:rPr>
                <w:rFonts w:eastAsia="仿宋"/>
                <w:color w:val="auto"/>
                <w:sz w:val="28"/>
                <w:szCs w:val="28"/>
              </w:rPr>
            </w:pPr>
            <w:r>
              <w:rPr>
                <w:rFonts w:hint="eastAsia" w:eastAsia="仿宋"/>
                <w:color w:val="auto"/>
                <w:sz w:val="28"/>
              </w:rPr>
              <w:t>150</w:t>
            </w:r>
          </w:p>
        </w:tc>
      </w:tr>
    </w:tbl>
    <w:p w14:paraId="0AE27369">
      <w:pPr>
        <w:spacing w:line="600" w:lineRule="exact"/>
        <w:ind w:firstLine="632" w:firstLineChars="200"/>
        <w:rPr>
          <w:rFonts w:eastAsia="仿宋"/>
          <w:color w:val="auto"/>
          <w:szCs w:val="32"/>
        </w:rPr>
      </w:pPr>
      <w:r>
        <w:rPr>
          <w:rFonts w:eastAsia="仿宋"/>
          <w:color w:val="auto"/>
          <w:szCs w:val="32"/>
        </w:rPr>
        <w:t xml:space="preserve">2．试题 </w:t>
      </w:r>
    </w:p>
    <w:p w14:paraId="2C722889">
      <w:pPr>
        <w:spacing w:line="600" w:lineRule="exact"/>
        <w:jc w:val="center"/>
        <w:rPr>
          <w:rFonts w:eastAsia="仿宋"/>
          <w:color w:val="auto"/>
          <w:szCs w:val="32"/>
        </w:rPr>
      </w:pPr>
      <w:r>
        <w:rPr>
          <w:rFonts w:eastAsia="仿宋"/>
          <w:color w:val="auto"/>
          <w:szCs w:val="32"/>
        </w:rPr>
        <w:t>表3 试题内容说明</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0"/>
        <w:gridCol w:w="5250"/>
      </w:tblGrid>
      <w:tr w14:paraId="7C169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20" w:type="dxa"/>
            <w:vAlign w:val="center"/>
          </w:tcPr>
          <w:p w14:paraId="3289DBBF">
            <w:pPr>
              <w:pStyle w:val="57"/>
              <w:spacing w:line="400" w:lineRule="exact"/>
              <w:ind w:firstLine="0" w:firstLineChars="0"/>
              <w:jc w:val="center"/>
              <w:rPr>
                <w:rFonts w:ascii="Times New Roman" w:hAnsi="Times New Roman" w:eastAsia="仿宋"/>
                <w:color w:val="auto"/>
                <w:sz w:val="28"/>
                <w:szCs w:val="28"/>
              </w:rPr>
            </w:pPr>
            <w:r>
              <w:rPr>
                <w:rFonts w:ascii="Times New Roman" w:hAnsi="Times New Roman" w:eastAsia="仿宋"/>
                <w:color w:val="auto"/>
                <w:sz w:val="28"/>
                <w:szCs w:val="28"/>
              </w:rPr>
              <w:t>竞赛任务</w:t>
            </w:r>
          </w:p>
        </w:tc>
        <w:tc>
          <w:tcPr>
            <w:tcW w:w="5250" w:type="dxa"/>
            <w:vAlign w:val="center"/>
          </w:tcPr>
          <w:p w14:paraId="6DC00F44">
            <w:pPr>
              <w:pStyle w:val="57"/>
              <w:spacing w:line="400" w:lineRule="exact"/>
              <w:ind w:firstLine="0" w:firstLineChars="0"/>
              <w:jc w:val="center"/>
              <w:rPr>
                <w:rFonts w:ascii="Times New Roman" w:hAnsi="Times New Roman" w:eastAsia="仿宋"/>
                <w:color w:val="auto"/>
                <w:sz w:val="28"/>
                <w:szCs w:val="28"/>
              </w:rPr>
            </w:pPr>
            <w:r>
              <w:rPr>
                <w:rFonts w:ascii="Times New Roman" w:hAnsi="Times New Roman" w:eastAsia="仿宋"/>
                <w:color w:val="auto"/>
                <w:sz w:val="28"/>
                <w:szCs w:val="28"/>
              </w:rPr>
              <w:t>竞赛内容</w:t>
            </w:r>
          </w:p>
        </w:tc>
      </w:tr>
      <w:tr w14:paraId="00BC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20" w:type="dxa"/>
            <w:vAlign w:val="center"/>
          </w:tcPr>
          <w:p w14:paraId="0ACEB624">
            <w:pPr>
              <w:pStyle w:val="57"/>
              <w:spacing w:line="400" w:lineRule="exact"/>
              <w:ind w:firstLine="0" w:firstLineChars="0"/>
              <w:rPr>
                <w:rFonts w:hint="eastAsia" w:ascii="仿宋" w:hAnsi="仿宋" w:eastAsia="仿宋"/>
                <w:color w:val="auto"/>
                <w:sz w:val="28"/>
                <w:szCs w:val="28"/>
              </w:rPr>
            </w:pPr>
            <w:r>
              <w:rPr>
                <w:rFonts w:hint="eastAsia" w:ascii="仿宋" w:hAnsi="仿宋" w:eastAsia="仿宋"/>
                <w:color w:val="auto"/>
                <w:sz w:val="28"/>
                <w:szCs w:val="28"/>
              </w:rPr>
              <w:t>理论</w:t>
            </w:r>
          </w:p>
        </w:tc>
        <w:tc>
          <w:tcPr>
            <w:tcW w:w="5250" w:type="dxa"/>
          </w:tcPr>
          <w:p w14:paraId="372E27DE">
            <w:pPr>
              <w:pStyle w:val="57"/>
              <w:spacing w:line="400" w:lineRule="exact"/>
              <w:ind w:firstLine="0" w:firstLineChars="0"/>
              <w:rPr>
                <w:rFonts w:hint="eastAsia" w:ascii="仿宋" w:hAnsi="仿宋" w:eastAsia="仿宋"/>
                <w:color w:val="auto"/>
                <w:sz w:val="28"/>
                <w:szCs w:val="28"/>
              </w:rPr>
            </w:pPr>
            <w:r>
              <w:rPr>
                <w:rFonts w:hint="eastAsia" w:ascii="仿宋" w:hAnsi="仿宋" w:eastAsia="仿宋"/>
                <w:color w:val="auto"/>
                <w:sz w:val="28"/>
                <w:szCs w:val="28"/>
              </w:rPr>
              <w:t>参考集成电路国赛题库，单选及多选100道题。</w:t>
            </w:r>
          </w:p>
        </w:tc>
      </w:tr>
      <w:tr w14:paraId="1D3C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20" w:type="dxa"/>
            <w:vAlign w:val="center"/>
          </w:tcPr>
          <w:p w14:paraId="69E48535">
            <w:pPr>
              <w:pStyle w:val="57"/>
              <w:spacing w:line="400" w:lineRule="exact"/>
              <w:ind w:firstLine="0" w:firstLineChars="0"/>
              <w:rPr>
                <w:rFonts w:ascii="Times New Roman" w:hAnsi="Times New Roman" w:eastAsia="仿宋"/>
                <w:color w:val="auto"/>
                <w:sz w:val="28"/>
                <w:szCs w:val="28"/>
              </w:rPr>
            </w:pPr>
            <w:r>
              <w:rPr>
                <w:rFonts w:ascii="Times New Roman" w:hAnsi="Times New Roman" w:eastAsia="仿宋"/>
                <w:color w:val="auto"/>
                <w:sz w:val="28"/>
                <w:szCs w:val="28"/>
              </w:rPr>
              <w:t>任务一、数字集成电路设计与仿真验证</w:t>
            </w:r>
          </w:p>
        </w:tc>
        <w:tc>
          <w:tcPr>
            <w:tcW w:w="5250" w:type="dxa"/>
          </w:tcPr>
          <w:p w14:paraId="7962F016">
            <w:pPr>
              <w:pStyle w:val="57"/>
              <w:spacing w:line="400" w:lineRule="exact"/>
              <w:ind w:firstLine="0" w:firstLineChars="0"/>
              <w:rPr>
                <w:rFonts w:ascii="Times New Roman" w:hAnsi="Times New Roman" w:eastAsia="仿宋"/>
                <w:color w:val="auto"/>
                <w:sz w:val="28"/>
                <w:szCs w:val="28"/>
              </w:rPr>
            </w:pPr>
            <w:r>
              <w:rPr>
                <w:rFonts w:ascii="Times New Roman" w:hAnsi="Times New Roman" w:eastAsia="仿宋"/>
                <w:color w:val="auto"/>
                <w:sz w:val="28"/>
                <w:szCs w:val="28"/>
              </w:rPr>
              <w:t>在规定时间内，基于Verilog硬件描述语言，完成给定的电路的功能实现与仿真验证。</w:t>
            </w:r>
          </w:p>
        </w:tc>
      </w:tr>
      <w:tr w14:paraId="1A9D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20" w:type="dxa"/>
            <w:vAlign w:val="center"/>
          </w:tcPr>
          <w:p w14:paraId="536D25CC">
            <w:pPr>
              <w:pStyle w:val="57"/>
              <w:spacing w:line="400" w:lineRule="exact"/>
              <w:ind w:firstLine="0" w:firstLineChars="0"/>
              <w:rPr>
                <w:rFonts w:ascii="Times New Roman" w:hAnsi="Times New Roman" w:eastAsia="仿宋"/>
                <w:color w:val="auto"/>
                <w:sz w:val="28"/>
                <w:szCs w:val="28"/>
              </w:rPr>
            </w:pPr>
            <w:r>
              <w:rPr>
                <w:rFonts w:ascii="Times New Roman" w:hAnsi="Times New Roman" w:eastAsia="仿宋"/>
                <w:color w:val="auto"/>
                <w:sz w:val="28"/>
                <w:szCs w:val="28"/>
              </w:rPr>
              <w:t>任务二、模拟集成电路设计与仿真验证</w:t>
            </w:r>
          </w:p>
        </w:tc>
        <w:tc>
          <w:tcPr>
            <w:tcW w:w="5250" w:type="dxa"/>
          </w:tcPr>
          <w:p w14:paraId="1D4FD4A3">
            <w:pPr>
              <w:pStyle w:val="57"/>
              <w:spacing w:line="400" w:lineRule="exact"/>
              <w:ind w:firstLine="0" w:firstLineChars="0"/>
              <w:rPr>
                <w:rFonts w:ascii="Times New Roman" w:hAnsi="Times New Roman" w:eastAsia="仿宋"/>
                <w:color w:val="auto"/>
                <w:sz w:val="28"/>
                <w:szCs w:val="28"/>
              </w:rPr>
            </w:pPr>
            <w:r>
              <w:rPr>
                <w:rFonts w:ascii="Times New Roman" w:hAnsi="Times New Roman" w:eastAsia="仿宋"/>
                <w:color w:val="auto"/>
                <w:sz w:val="28"/>
                <w:szCs w:val="28"/>
              </w:rPr>
              <w:t>在规定时间内，基于华大九天EDA软件，完成电路图设计、前仿真、Layout设计和物理验证（DRC&amp;LVS）。</w:t>
            </w:r>
          </w:p>
        </w:tc>
      </w:tr>
    </w:tbl>
    <w:p w14:paraId="19255105">
      <w:pPr>
        <w:pStyle w:val="13"/>
        <w:tabs>
          <w:tab w:val="clear" w:pos="840"/>
        </w:tabs>
        <w:spacing w:line="600" w:lineRule="exact"/>
        <w:ind w:firstLine="634"/>
        <w:rPr>
          <w:rFonts w:ascii="Times New Roman" w:hAnsi="Times New Roman"/>
          <w:color w:val="auto"/>
        </w:rPr>
      </w:pPr>
      <w:bookmarkStart w:id="12" w:name="_Toc26998"/>
      <w:r>
        <w:rPr>
          <w:rFonts w:ascii="Times New Roman" w:hAnsi="Times New Roman"/>
          <w:color w:val="auto"/>
        </w:rPr>
        <w:t>（三）评判标准</w:t>
      </w:r>
      <w:bookmarkEnd w:id="12"/>
    </w:p>
    <w:p w14:paraId="47A1E71C">
      <w:pPr>
        <w:spacing w:line="600" w:lineRule="exact"/>
        <w:ind w:firstLine="632" w:firstLineChars="200"/>
        <w:rPr>
          <w:rFonts w:eastAsia="仿宋"/>
          <w:color w:val="auto"/>
          <w:szCs w:val="32"/>
        </w:rPr>
      </w:pPr>
      <w:r>
        <w:rPr>
          <w:rFonts w:eastAsia="仿宋"/>
          <w:color w:val="auto"/>
          <w:szCs w:val="32"/>
        </w:rPr>
        <w:t>1．分数权重</w:t>
      </w:r>
    </w:p>
    <w:p w14:paraId="292C0327">
      <w:pPr>
        <w:spacing w:line="600" w:lineRule="exact"/>
        <w:ind w:firstLine="632" w:firstLineChars="200"/>
        <w:rPr>
          <w:rFonts w:eastAsia="仿宋"/>
          <w:color w:val="auto"/>
          <w:szCs w:val="32"/>
        </w:rPr>
      </w:pPr>
      <w:r>
        <w:rPr>
          <w:rFonts w:eastAsia="仿宋"/>
          <w:color w:val="auto"/>
          <w:szCs w:val="32"/>
        </w:rPr>
        <w:t>本次竞赛各项任务总分为100分，职业素养融入比赛全过程。</w:t>
      </w:r>
    </w:p>
    <w:p w14:paraId="1881AAD0">
      <w:pPr>
        <w:spacing w:line="600" w:lineRule="exact"/>
        <w:ind w:firstLine="632" w:firstLineChars="200"/>
        <w:rPr>
          <w:rFonts w:eastAsia="仿宋"/>
          <w:color w:val="auto"/>
          <w:szCs w:val="32"/>
        </w:rPr>
      </w:pPr>
      <w:r>
        <w:rPr>
          <w:rFonts w:eastAsia="仿宋"/>
          <w:color w:val="auto"/>
          <w:szCs w:val="32"/>
        </w:rPr>
        <w:t>具体分值分配见表4</w:t>
      </w:r>
    </w:p>
    <w:p w14:paraId="4182B784">
      <w:pPr>
        <w:spacing w:line="600" w:lineRule="exact"/>
        <w:jc w:val="center"/>
        <w:rPr>
          <w:rFonts w:eastAsia="仿宋"/>
          <w:color w:val="auto"/>
          <w:szCs w:val="32"/>
        </w:rPr>
      </w:pPr>
      <w:r>
        <w:rPr>
          <w:rFonts w:eastAsia="仿宋"/>
          <w:color w:val="auto"/>
          <w:szCs w:val="32"/>
        </w:rPr>
        <w:t>表4 配分表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111"/>
        <w:gridCol w:w="3927"/>
        <w:gridCol w:w="1633"/>
      </w:tblGrid>
      <w:tr w14:paraId="537CE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111" w:type="dxa"/>
            <w:shd w:val="clear" w:color="auto" w:fill="FFFFFF"/>
            <w:vAlign w:val="center"/>
          </w:tcPr>
          <w:p w14:paraId="009586CF">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部分</w:t>
            </w:r>
          </w:p>
        </w:tc>
        <w:tc>
          <w:tcPr>
            <w:tcW w:w="3927" w:type="dxa"/>
            <w:shd w:val="clear" w:color="auto" w:fill="FFFFFF"/>
          </w:tcPr>
          <w:p w14:paraId="5BC50E28">
            <w:pPr>
              <w:spacing w:line="600" w:lineRule="exact"/>
              <w:jc w:val="center"/>
              <w:rPr>
                <w:rFonts w:hint="eastAsia" w:ascii="仿宋" w:hAnsi="仿宋" w:eastAsia="仿宋"/>
                <w:color w:val="auto"/>
                <w:sz w:val="28"/>
                <w:szCs w:val="21"/>
              </w:rPr>
            </w:pPr>
            <w:r>
              <w:rPr>
                <w:rFonts w:hint="eastAsia" w:ascii="仿宋" w:hAnsi="仿宋" w:eastAsia="仿宋"/>
                <w:color w:val="auto"/>
                <w:sz w:val="28"/>
                <w:szCs w:val="21"/>
              </w:rPr>
              <w:t>评分项</w:t>
            </w:r>
          </w:p>
        </w:tc>
        <w:tc>
          <w:tcPr>
            <w:tcW w:w="1633" w:type="dxa"/>
            <w:shd w:val="clear" w:color="auto" w:fill="FFFFFF"/>
            <w:vAlign w:val="center"/>
          </w:tcPr>
          <w:p w14:paraId="56751515">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分值</w:t>
            </w:r>
          </w:p>
        </w:tc>
      </w:tr>
      <w:tr w14:paraId="10A7F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10" w:hRule="atLeast"/>
          <w:jc w:val="center"/>
        </w:trPr>
        <w:tc>
          <w:tcPr>
            <w:tcW w:w="1111" w:type="dxa"/>
            <w:shd w:val="clear" w:color="auto" w:fill="FFFFFF"/>
            <w:vAlign w:val="center"/>
          </w:tcPr>
          <w:p w14:paraId="5CCF8F1C">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1</w:t>
            </w:r>
          </w:p>
        </w:tc>
        <w:tc>
          <w:tcPr>
            <w:tcW w:w="3927" w:type="dxa"/>
            <w:shd w:val="clear" w:color="auto" w:fill="FFFFFF"/>
          </w:tcPr>
          <w:p w14:paraId="7F5968CE">
            <w:pPr>
              <w:spacing w:line="600" w:lineRule="exact"/>
              <w:rPr>
                <w:rFonts w:hint="eastAsia" w:ascii="仿宋" w:hAnsi="仿宋" w:eastAsia="仿宋"/>
                <w:color w:val="auto"/>
                <w:sz w:val="28"/>
                <w:szCs w:val="21"/>
              </w:rPr>
            </w:pPr>
            <w:r>
              <w:rPr>
                <w:rFonts w:hint="eastAsia" w:ascii="仿宋" w:hAnsi="仿宋" w:eastAsia="仿宋"/>
                <w:color w:val="auto"/>
                <w:sz w:val="28"/>
                <w:szCs w:val="21"/>
              </w:rPr>
              <w:t>理论</w:t>
            </w:r>
          </w:p>
        </w:tc>
        <w:tc>
          <w:tcPr>
            <w:tcW w:w="1633" w:type="dxa"/>
            <w:shd w:val="clear" w:color="auto" w:fill="FFFFFF"/>
            <w:vAlign w:val="center"/>
          </w:tcPr>
          <w:p w14:paraId="64894981">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100（30%）</w:t>
            </w:r>
          </w:p>
        </w:tc>
      </w:tr>
      <w:tr w14:paraId="17B52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10" w:hRule="atLeast"/>
          <w:jc w:val="center"/>
        </w:trPr>
        <w:tc>
          <w:tcPr>
            <w:tcW w:w="1111" w:type="dxa"/>
            <w:shd w:val="clear" w:color="auto" w:fill="FFFFFF"/>
            <w:vAlign w:val="center"/>
          </w:tcPr>
          <w:p w14:paraId="33232E18">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2</w:t>
            </w:r>
          </w:p>
        </w:tc>
        <w:tc>
          <w:tcPr>
            <w:tcW w:w="3927" w:type="dxa"/>
            <w:shd w:val="clear" w:color="auto" w:fill="FFFFFF"/>
          </w:tcPr>
          <w:p w14:paraId="55EAA89A">
            <w:pPr>
              <w:spacing w:line="600" w:lineRule="exact"/>
              <w:rPr>
                <w:rFonts w:eastAsia="仿宋"/>
                <w:color w:val="auto"/>
                <w:sz w:val="28"/>
                <w:szCs w:val="21"/>
              </w:rPr>
            </w:pPr>
            <w:r>
              <w:rPr>
                <w:rFonts w:eastAsia="仿宋"/>
                <w:color w:val="auto"/>
                <w:sz w:val="28"/>
                <w:szCs w:val="21"/>
              </w:rPr>
              <w:t>数字集成电路设计与仿真验证</w:t>
            </w:r>
          </w:p>
        </w:tc>
        <w:tc>
          <w:tcPr>
            <w:tcW w:w="1633" w:type="dxa"/>
            <w:shd w:val="clear" w:color="auto" w:fill="FFFFFF"/>
            <w:vAlign w:val="center"/>
          </w:tcPr>
          <w:p w14:paraId="3F662406">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50（70%）</w:t>
            </w:r>
          </w:p>
        </w:tc>
      </w:tr>
      <w:tr w14:paraId="3B804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10" w:hRule="atLeast"/>
          <w:jc w:val="center"/>
        </w:trPr>
        <w:tc>
          <w:tcPr>
            <w:tcW w:w="1111" w:type="dxa"/>
            <w:shd w:val="clear" w:color="auto" w:fill="FFFFFF"/>
            <w:vAlign w:val="center"/>
          </w:tcPr>
          <w:p w14:paraId="13635B0B">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3</w:t>
            </w:r>
          </w:p>
        </w:tc>
        <w:tc>
          <w:tcPr>
            <w:tcW w:w="3927" w:type="dxa"/>
            <w:shd w:val="clear" w:color="auto" w:fill="FFFFFF"/>
          </w:tcPr>
          <w:p w14:paraId="3040098A">
            <w:pPr>
              <w:spacing w:line="600" w:lineRule="exact"/>
              <w:rPr>
                <w:rFonts w:eastAsia="仿宋"/>
                <w:color w:val="auto"/>
                <w:sz w:val="28"/>
                <w:szCs w:val="21"/>
              </w:rPr>
            </w:pPr>
            <w:r>
              <w:rPr>
                <w:rFonts w:eastAsia="仿宋"/>
                <w:color w:val="auto"/>
                <w:sz w:val="28"/>
              </w:rPr>
              <w:t>模拟集成电路</w:t>
            </w:r>
            <w:r>
              <w:rPr>
                <w:rFonts w:eastAsia="仿宋"/>
                <w:color w:val="auto"/>
                <w:sz w:val="28"/>
                <w:szCs w:val="21"/>
              </w:rPr>
              <w:t>设计与仿真验证</w:t>
            </w:r>
          </w:p>
        </w:tc>
        <w:tc>
          <w:tcPr>
            <w:tcW w:w="1633" w:type="dxa"/>
            <w:shd w:val="clear" w:color="auto" w:fill="FFFFFF"/>
            <w:vAlign w:val="center"/>
          </w:tcPr>
          <w:p w14:paraId="1E60F786">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50（70%）</w:t>
            </w:r>
          </w:p>
        </w:tc>
      </w:tr>
      <w:tr w14:paraId="3FF16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95" w:hRule="atLeast"/>
          <w:jc w:val="center"/>
        </w:trPr>
        <w:tc>
          <w:tcPr>
            <w:tcW w:w="5038" w:type="dxa"/>
            <w:gridSpan w:val="2"/>
            <w:shd w:val="clear" w:color="auto" w:fill="FFFFFF"/>
            <w:vAlign w:val="center"/>
          </w:tcPr>
          <w:p w14:paraId="74FB0F8D">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合计</w:t>
            </w:r>
          </w:p>
        </w:tc>
        <w:tc>
          <w:tcPr>
            <w:tcW w:w="1633" w:type="dxa"/>
            <w:shd w:val="clear" w:color="auto" w:fill="FFFFFF"/>
            <w:vAlign w:val="center"/>
          </w:tcPr>
          <w:p w14:paraId="31B0705A">
            <w:pPr>
              <w:spacing w:line="600" w:lineRule="exact"/>
              <w:jc w:val="center"/>
              <w:rPr>
                <w:rFonts w:hint="eastAsia" w:ascii="仿宋" w:hAnsi="仿宋" w:eastAsia="仿宋"/>
                <w:color w:val="auto"/>
                <w:sz w:val="28"/>
                <w:szCs w:val="28"/>
              </w:rPr>
            </w:pPr>
            <w:r>
              <w:rPr>
                <w:rFonts w:hint="eastAsia" w:ascii="仿宋" w:hAnsi="仿宋" w:eastAsia="仿宋"/>
                <w:color w:val="auto"/>
                <w:sz w:val="28"/>
                <w:szCs w:val="28"/>
              </w:rPr>
              <w:t>100</w:t>
            </w:r>
          </w:p>
        </w:tc>
      </w:tr>
    </w:tbl>
    <w:p w14:paraId="17DA7A60">
      <w:pPr>
        <w:spacing w:line="600" w:lineRule="exact"/>
        <w:ind w:firstLine="632" w:firstLineChars="200"/>
        <w:rPr>
          <w:rFonts w:eastAsia="仿宋"/>
          <w:color w:val="auto"/>
          <w:szCs w:val="32"/>
        </w:rPr>
      </w:pPr>
      <w:r>
        <w:rPr>
          <w:rFonts w:eastAsia="仿宋"/>
          <w:color w:val="auto"/>
          <w:szCs w:val="32"/>
        </w:rPr>
        <w:t>2．评判方法</w:t>
      </w:r>
    </w:p>
    <w:p w14:paraId="33956282">
      <w:pPr>
        <w:spacing w:line="600" w:lineRule="exact"/>
        <w:ind w:firstLine="632" w:firstLineChars="200"/>
        <w:rPr>
          <w:rFonts w:eastAsia="仿宋"/>
          <w:color w:val="auto"/>
          <w:szCs w:val="32"/>
        </w:rPr>
      </w:pPr>
      <w:r>
        <w:rPr>
          <w:rFonts w:hint="eastAsia" w:ascii="仿宋" w:hAnsi="仿宋" w:eastAsia="仿宋"/>
          <w:color w:val="auto"/>
          <w:szCs w:val="32"/>
        </w:rPr>
        <w:t>理论为统一考场考核。</w:t>
      </w:r>
      <w:r>
        <w:rPr>
          <w:rFonts w:eastAsia="仿宋"/>
          <w:color w:val="auto"/>
          <w:szCs w:val="32"/>
        </w:rPr>
        <w:t>实操考核裁判员按赛位，分别针对模拟集成电路设计与仿真验证、数字集成电路设计与仿真验证以及职业素养等进行评分。实操竞赛评分由过程结果评分、违规扣分两部分组成。</w:t>
      </w:r>
    </w:p>
    <w:p w14:paraId="04F0E075">
      <w:pPr>
        <w:spacing w:line="600" w:lineRule="exact"/>
        <w:ind w:firstLine="632" w:firstLineChars="200"/>
        <w:rPr>
          <w:rFonts w:eastAsia="仿宋"/>
          <w:color w:val="auto"/>
          <w:szCs w:val="32"/>
        </w:rPr>
      </w:pPr>
      <w:r>
        <w:rPr>
          <w:rFonts w:eastAsia="仿宋"/>
          <w:color w:val="auto"/>
          <w:szCs w:val="32"/>
        </w:rPr>
        <w:t>（1）结果评分</w:t>
      </w:r>
    </w:p>
    <w:p w14:paraId="27DFAA11">
      <w:pPr>
        <w:spacing w:line="600" w:lineRule="exact"/>
        <w:ind w:firstLine="632" w:firstLineChars="200"/>
        <w:rPr>
          <w:rFonts w:eastAsia="仿宋"/>
          <w:color w:val="auto"/>
          <w:szCs w:val="32"/>
        </w:rPr>
      </w:pPr>
      <w:r>
        <w:rPr>
          <w:rFonts w:eastAsia="仿宋"/>
          <w:color w:val="auto"/>
          <w:szCs w:val="32"/>
        </w:rPr>
        <w:t>由2名现场评分裁判根据评分细则和选手完成的质量，共同对选手的操作进行客观评分并记录评分结果，若现场评分裁判对选手的评分有较大分歧时，由现场裁判长裁决。</w:t>
      </w:r>
    </w:p>
    <w:p w14:paraId="4A8C258B">
      <w:pPr>
        <w:spacing w:line="600" w:lineRule="exact"/>
        <w:ind w:firstLine="632" w:firstLineChars="200"/>
        <w:rPr>
          <w:rFonts w:eastAsia="仿宋"/>
          <w:color w:val="auto"/>
          <w:szCs w:val="32"/>
        </w:rPr>
      </w:pPr>
      <w:r>
        <w:rPr>
          <w:rFonts w:eastAsia="仿宋"/>
          <w:color w:val="auto"/>
          <w:szCs w:val="32"/>
        </w:rPr>
        <w:t>（2）违规扣分</w:t>
      </w:r>
    </w:p>
    <w:p w14:paraId="7D891764">
      <w:pPr>
        <w:spacing w:line="600" w:lineRule="exact"/>
        <w:ind w:firstLine="632" w:firstLineChars="200"/>
        <w:rPr>
          <w:rFonts w:eastAsia="仿宋"/>
          <w:color w:val="auto"/>
          <w:szCs w:val="32"/>
        </w:rPr>
      </w:pPr>
      <w:r>
        <w:rPr>
          <w:rFonts w:eastAsia="仿宋"/>
          <w:color w:val="auto"/>
          <w:szCs w:val="32"/>
        </w:rPr>
        <w:t>选手竞赛中有下列情形者将予以扣分:</w:t>
      </w:r>
    </w:p>
    <w:p w14:paraId="0F5345A0">
      <w:pPr>
        <w:spacing w:line="600" w:lineRule="exact"/>
        <w:ind w:firstLine="632" w:firstLineChars="200"/>
        <w:rPr>
          <w:rFonts w:eastAsia="仿宋"/>
          <w:color w:val="auto"/>
          <w:szCs w:val="32"/>
        </w:rPr>
      </w:pPr>
      <w:r>
        <w:rPr>
          <w:rFonts w:eastAsia="仿宋"/>
          <w:color w:val="auto"/>
          <w:szCs w:val="32"/>
        </w:rPr>
        <w:t>1）在完成工作任务的过程中，因操作不当导致事故，扣总分15-25%，情况严重者取消竞赛资格。</w:t>
      </w:r>
    </w:p>
    <w:p w14:paraId="08A2CCFE">
      <w:pPr>
        <w:spacing w:line="600" w:lineRule="exact"/>
        <w:ind w:firstLine="632" w:firstLineChars="200"/>
        <w:rPr>
          <w:rFonts w:eastAsia="仿宋"/>
          <w:color w:val="auto"/>
          <w:szCs w:val="32"/>
        </w:rPr>
      </w:pPr>
      <w:r>
        <w:rPr>
          <w:rFonts w:eastAsia="仿宋"/>
          <w:color w:val="auto"/>
          <w:szCs w:val="32"/>
        </w:rPr>
        <w:t>2）因违规操作损坏赛场提供的设备，污染赛场环境等严重不符合职业规范的行为，视情节扣总分10-15%，情况严重者取消竞赛资格。</w:t>
      </w:r>
    </w:p>
    <w:p w14:paraId="689ED2C9">
      <w:pPr>
        <w:spacing w:line="600" w:lineRule="exact"/>
        <w:ind w:firstLine="632" w:firstLineChars="200"/>
        <w:rPr>
          <w:rFonts w:eastAsia="仿宋"/>
          <w:color w:val="auto"/>
          <w:szCs w:val="32"/>
        </w:rPr>
      </w:pPr>
      <w:r>
        <w:rPr>
          <w:rFonts w:eastAsia="仿宋"/>
          <w:color w:val="auto"/>
          <w:szCs w:val="32"/>
        </w:rPr>
        <w:t>3）扰乱赛场秩序,干扰裁判员工作，视情节扣总分5-10%,情况严重者取消竞赛资格。</w:t>
      </w:r>
    </w:p>
    <w:p w14:paraId="300950CC">
      <w:pPr>
        <w:spacing w:line="600" w:lineRule="exact"/>
        <w:ind w:firstLine="632" w:firstLineChars="200"/>
        <w:rPr>
          <w:rFonts w:eastAsia="仿宋"/>
          <w:color w:val="auto"/>
          <w:szCs w:val="32"/>
        </w:rPr>
      </w:pPr>
      <w:r>
        <w:rPr>
          <w:rFonts w:eastAsia="仿宋"/>
          <w:color w:val="auto"/>
          <w:szCs w:val="32"/>
        </w:rPr>
        <w:t>4）没有按照竞赛规程和任务书设定赛项赛题进行的，比赛现场工具摆放不整齐、作业流程混乱、着装不规范、资料归档不完整，视情节扣总分5-10%。</w:t>
      </w:r>
    </w:p>
    <w:p w14:paraId="706D6B89">
      <w:pPr>
        <w:spacing w:line="600" w:lineRule="exact"/>
        <w:ind w:firstLine="632" w:firstLineChars="200"/>
        <w:rPr>
          <w:rFonts w:eastAsia="仿宋"/>
          <w:color w:val="auto"/>
          <w:szCs w:val="32"/>
        </w:rPr>
      </w:pPr>
      <w:r>
        <w:rPr>
          <w:rFonts w:eastAsia="仿宋"/>
          <w:color w:val="auto"/>
          <w:szCs w:val="32"/>
        </w:rPr>
        <w:t>5）影响其他参赛选手正常比赛的行为，视情节扣总分5-10%。</w:t>
      </w:r>
    </w:p>
    <w:p w14:paraId="30C36746">
      <w:pPr>
        <w:spacing w:line="600" w:lineRule="exact"/>
        <w:ind w:firstLine="632" w:firstLineChars="200"/>
        <w:rPr>
          <w:rFonts w:eastAsia="仿宋"/>
          <w:color w:val="auto"/>
          <w:szCs w:val="32"/>
        </w:rPr>
      </w:pPr>
      <w:r>
        <w:rPr>
          <w:rFonts w:eastAsia="仿宋"/>
          <w:color w:val="auto"/>
          <w:szCs w:val="32"/>
        </w:rPr>
        <w:t>6）以上违规不设上限扣完为止。</w:t>
      </w:r>
    </w:p>
    <w:p w14:paraId="535DAFB0">
      <w:pPr>
        <w:spacing w:line="600" w:lineRule="exact"/>
        <w:ind w:firstLine="632" w:firstLineChars="200"/>
        <w:rPr>
          <w:rFonts w:eastAsia="仿宋"/>
          <w:color w:val="auto"/>
          <w:szCs w:val="32"/>
        </w:rPr>
      </w:pPr>
      <w:r>
        <w:rPr>
          <w:rFonts w:eastAsia="仿宋"/>
          <w:color w:val="auto"/>
          <w:szCs w:val="32"/>
        </w:rPr>
        <w:t>3．成绩并列</w:t>
      </w:r>
    </w:p>
    <w:p w14:paraId="0E8190E6">
      <w:pPr>
        <w:spacing w:line="600" w:lineRule="exact"/>
        <w:ind w:firstLine="632" w:firstLineChars="200"/>
        <w:rPr>
          <w:color w:val="auto"/>
        </w:rPr>
      </w:pPr>
      <w:r>
        <w:rPr>
          <w:rFonts w:eastAsia="仿宋"/>
          <w:color w:val="auto"/>
          <w:szCs w:val="32"/>
        </w:rPr>
        <w:t>当总成绩出现并列时，</w:t>
      </w:r>
      <w:r>
        <w:rPr>
          <w:rFonts w:hint="eastAsia" w:ascii="仿宋" w:hAnsi="仿宋" w:eastAsia="仿宋"/>
          <w:color w:val="auto"/>
          <w:szCs w:val="32"/>
        </w:rPr>
        <w:t>以任务3得分作为排名先后依据，若任务3得分依然相同，则以任务2得分作为排名先后依据，若任务2得分依然相同，则以任务1得分作为排名先后依据。</w:t>
      </w:r>
      <w:r>
        <w:rPr>
          <w:rFonts w:hint="eastAsia" w:ascii="仿宋" w:hAnsi="仿宋"/>
          <w:color w:val="auto"/>
        </w:rPr>
        <w:t>如果所有任务的成绩均相同，排名并列</w:t>
      </w:r>
      <w:r>
        <w:rPr>
          <w:rFonts w:hint="eastAsia"/>
          <w:color w:val="auto"/>
        </w:rPr>
        <w:t>。</w:t>
      </w:r>
    </w:p>
    <w:p w14:paraId="79237129">
      <w:pPr>
        <w:pStyle w:val="12"/>
        <w:spacing w:line="600" w:lineRule="exact"/>
        <w:ind w:firstLine="632"/>
        <w:rPr>
          <w:rFonts w:ascii="Times New Roman" w:hAnsi="Times New Roman"/>
          <w:color w:val="auto"/>
          <w:lang w:eastAsia="zh-CN"/>
        </w:rPr>
      </w:pPr>
      <w:bookmarkStart w:id="13" w:name="_Toc107852894"/>
      <w:bookmarkStart w:id="14" w:name="_Toc10691"/>
      <w:r>
        <w:rPr>
          <w:rFonts w:ascii="Times New Roman" w:hAnsi="Times New Roman"/>
          <w:color w:val="auto"/>
          <w:lang w:eastAsia="zh-CN"/>
        </w:rPr>
        <w:t>三、竞赛细则</w:t>
      </w:r>
      <w:bookmarkEnd w:id="13"/>
      <w:bookmarkEnd w:id="14"/>
    </w:p>
    <w:p w14:paraId="5FB93CA9">
      <w:pPr>
        <w:spacing w:line="600" w:lineRule="exact"/>
        <w:ind w:firstLine="632" w:firstLineChars="200"/>
        <w:outlineLvl w:val="1"/>
        <w:rPr>
          <w:rFonts w:eastAsia="楷体"/>
          <w:b/>
          <w:bCs/>
          <w:color w:val="auto"/>
          <w:szCs w:val="32"/>
        </w:rPr>
      </w:pPr>
      <w:bookmarkStart w:id="15" w:name="_Toc17820"/>
      <w:r>
        <w:rPr>
          <w:rFonts w:eastAsia="楷体"/>
          <w:b/>
          <w:bCs/>
          <w:color w:val="auto"/>
          <w:szCs w:val="32"/>
        </w:rPr>
        <w:t>（一）竞赛安排</w:t>
      </w:r>
      <w:bookmarkEnd w:id="15"/>
    </w:p>
    <w:p w14:paraId="62887AAD">
      <w:pPr>
        <w:pStyle w:val="8"/>
        <w:spacing w:line="600" w:lineRule="exact"/>
        <w:ind w:firstLine="632"/>
        <w:rPr>
          <w:rFonts w:ascii="Times New Roman" w:hAnsi="Times New Roman" w:eastAsia="仿宋"/>
          <w:color w:val="auto"/>
        </w:rPr>
      </w:pPr>
      <w:r>
        <w:rPr>
          <w:rFonts w:hint="eastAsia" w:ascii="仿宋" w:hAnsi="仿宋" w:eastAsia="仿宋"/>
          <w:color w:val="auto"/>
        </w:rPr>
        <w:t>本项目为单人赛项，</w:t>
      </w:r>
      <w:r>
        <w:rPr>
          <w:rFonts w:hint="eastAsia" w:ascii="仿宋" w:hAnsi="仿宋" w:eastAsia="仿宋" w:cs="仿宋"/>
          <w:color w:val="auto"/>
        </w:rPr>
        <w:t>比赛项目分3天完成，各任务比赛时间分别为：第一天、第二、第三天理论与实操同时进行，共150分钟。每位选手工位轮场采用抽签方式进行。</w:t>
      </w:r>
    </w:p>
    <w:p w14:paraId="52A8AA16">
      <w:pPr>
        <w:spacing w:line="600" w:lineRule="exact"/>
        <w:ind w:firstLine="632" w:firstLineChars="200"/>
        <w:outlineLvl w:val="1"/>
        <w:rPr>
          <w:rFonts w:eastAsia="楷体"/>
          <w:b/>
          <w:bCs/>
          <w:color w:val="auto"/>
          <w:szCs w:val="32"/>
        </w:rPr>
      </w:pPr>
      <w:bookmarkStart w:id="16" w:name="_Toc11459"/>
      <w:r>
        <w:rPr>
          <w:rFonts w:eastAsia="楷体"/>
          <w:b/>
          <w:bCs/>
          <w:color w:val="auto"/>
          <w:szCs w:val="32"/>
        </w:rPr>
        <w:t>（二）赛前准备</w:t>
      </w:r>
      <w:bookmarkEnd w:id="16"/>
    </w:p>
    <w:p w14:paraId="2B91EAAE">
      <w:pPr>
        <w:pStyle w:val="41"/>
        <w:spacing w:line="600" w:lineRule="exact"/>
        <w:ind w:firstLine="632"/>
        <w:rPr>
          <w:rFonts w:ascii="Times New Roman" w:hAnsi="Times New Roman" w:eastAsia="仿宋"/>
          <w:color w:val="auto"/>
        </w:rPr>
      </w:pPr>
      <w:r>
        <w:rPr>
          <w:rFonts w:ascii="Times New Roman" w:hAnsi="Times New Roman" w:eastAsia="仿宋"/>
          <w:color w:val="auto"/>
        </w:rPr>
        <w:t xml:space="preserve">根据项目实际需要，裁判长与承办单位于赛前 2 天对场地设备设施等准备工作进行最终确认；裁判长与裁判员于赛前 1  天进行集中培训、技术对接和设备设施、耗材确认。 </w:t>
      </w:r>
    </w:p>
    <w:p w14:paraId="17E4E324">
      <w:pPr>
        <w:pStyle w:val="41"/>
        <w:spacing w:line="600" w:lineRule="exact"/>
        <w:ind w:firstLine="632"/>
        <w:rPr>
          <w:rFonts w:ascii="Times New Roman" w:hAnsi="Times New Roman" w:eastAsia="仿宋"/>
          <w:color w:val="auto"/>
        </w:rPr>
      </w:pPr>
      <w:r>
        <w:rPr>
          <w:rFonts w:ascii="Times New Roman" w:hAnsi="Times New Roman" w:eastAsia="仿宋"/>
          <w:color w:val="auto"/>
        </w:rPr>
        <w:t>•</w:t>
      </w:r>
      <w:r>
        <w:rPr>
          <w:rFonts w:ascii="Times New Roman" w:hAnsi="Times New Roman" w:eastAsia="仿宋"/>
          <w:color w:val="auto"/>
        </w:rPr>
        <w:tab/>
      </w:r>
      <w:r>
        <w:rPr>
          <w:rFonts w:ascii="Times New Roman" w:hAnsi="Times New Roman" w:eastAsia="仿宋"/>
          <w:color w:val="auto"/>
        </w:rPr>
        <w:t xml:space="preserve">参赛选手报到时需领取参赛证卡、参赛资料、参赛物料，报到完毕后提前前往赛场，熟悉场地。 </w:t>
      </w:r>
    </w:p>
    <w:p w14:paraId="42EA8BF5">
      <w:pPr>
        <w:pStyle w:val="41"/>
        <w:spacing w:line="600" w:lineRule="exact"/>
        <w:ind w:firstLine="632"/>
        <w:rPr>
          <w:rFonts w:ascii="Times New Roman" w:hAnsi="Times New Roman" w:eastAsia="仿宋"/>
          <w:color w:val="auto"/>
        </w:rPr>
      </w:pPr>
      <w:r>
        <w:rPr>
          <w:rFonts w:ascii="Times New Roman" w:hAnsi="Times New Roman" w:eastAsia="仿宋"/>
          <w:color w:val="auto"/>
        </w:rPr>
        <w:t>•</w:t>
      </w:r>
      <w:r>
        <w:rPr>
          <w:rFonts w:ascii="Times New Roman" w:hAnsi="Times New Roman" w:eastAsia="仿宋"/>
          <w:color w:val="auto"/>
        </w:rPr>
        <w:tab/>
      </w:r>
      <w:r>
        <w:rPr>
          <w:rFonts w:ascii="Times New Roman" w:hAnsi="Times New Roman" w:eastAsia="仿宋"/>
          <w:color w:val="auto"/>
        </w:rPr>
        <w:t>选手的出场顺序抽签决定，同一参赛队选送的多名选手，在同一场完成比赛，确因设备等特殊原因不能同场时，必须安排相邻场次，不得隔场。</w:t>
      </w:r>
    </w:p>
    <w:p w14:paraId="3B081277">
      <w:pPr>
        <w:pStyle w:val="41"/>
        <w:spacing w:line="600" w:lineRule="exact"/>
        <w:ind w:firstLine="632"/>
        <w:rPr>
          <w:rFonts w:ascii="Times New Roman" w:hAnsi="Times New Roman" w:eastAsia="仿宋"/>
          <w:color w:val="auto"/>
        </w:rPr>
      </w:pPr>
      <w:r>
        <w:rPr>
          <w:rFonts w:ascii="Times New Roman" w:hAnsi="Times New Roman" w:eastAsia="仿宋"/>
          <w:color w:val="auto"/>
        </w:rPr>
        <w:t>•</w:t>
      </w:r>
      <w:r>
        <w:rPr>
          <w:rFonts w:ascii="Times New Roman" w:hAnsi="Times New Roman" w:eastAsia="仿宋"/>
          <w:color w:val="auto"/>
        </w:rPr>
        <w:tab/>
      </w:r>
      <w:r>
        <w:rPr>
          <w:rFonts w:ascii="Times New Roman" w:hAnsi="Times New Roman" w:eastAsia="仿宋"/>
          <w:color w:val="auto"/>
        </w:rPr>
        <w:t>赛前 30 分钟，到指定检录口进行检录，由检录人员核实编号，裁判员对选手携带的工具进行检查。开赛后迟到15 分钟的选手视为自动放弃参赛。</w:t>
      </w:r>
    </w:p>
    <w:p w14:paraId="3FB93E9D">
      <w:pPr>
        <w:pStyle w:val="41"/>
        <w:spacing w:line="600" w:lineRule="exact"/>
        <w:ind w:firstLine="632"/>
        <w:rPr>
          <w:rFonts w:ascii="Times New Roman" w:hAnsi="Times New Roman" w:eastAsia="仿宋"/>
          <w:color w:val="auto"/>
        </w:rPr>
      </w:pPr>
      <w:bookmarkStart w:id="17" w:name="_Hlk107512538"/>
      <w:bookmarkStart w:id="18" w:name="_Hlk107512277"/>
      <w:r>
        <w:rPr>
          <w:rFonts w:ascii="Times New Roman" w:hAnsi="Times New Roman" w:eastAsia="仿宋"/>
          <w:color w:val="auto"/>
        </w:rPr>
        <w:t>•</w:t>
      </w:r>
      <w:bookmarkEnd w:id="17"/>
      <w:r>
        <w:rPr>
          <w:rFonts w:ascii="Times New Roman" w:hAnsi="Times New Roman" w:eastAsia="仿宋"/>
          <w:color w:val="auto"/>
        </w:rPr>
        <w:tab/>
      </w:r>
      <w:bookmarkEnd w:id="18"/>
      <w:r>
        <w:rPr>
          <w:rFonts w:ascii="Times New Roman" w:hAnsi="Times New Roman" w:eastAsia="仿宋"/>
          <w:color w:val="auto"/>
        </w:rPr>
        <w:t xml:space="preserve">检录完毕，每位选手按照抽签工位号到指定位置。可携带竞赛规定必备的工具、用具（如笔、草稿纸等）等。所有通讯、照相、摄像、磁盘等工具一律不得带入比赛现场。 </w:t>
      </w:r>
    </w:p>
    <w:p w14:paraId="40A3EFA4">
      <w:pPr>
        <w:spacing w:line="600" w:lineRule="exact"/>
        <w:ind w:firstLine="632" w:firstLineChars="200"/>
        <w:outlineLvl w:val="1"/>
        <w:rPr>
          <w:rFonts w:eastAsia="楷体"/>
          <w:b/>
          <w:bCs/>
          <w:color w:val="auto"/>
          <w:szCs w:val="32"/>
        </w:rPr>
      </w:pPr>
      <w:bookmarkStart w:id="19" w:name="_Toc5227"/>
      <w:r>
        <w:rPr>
          <w:rFonts w:eastAsia="楷体"/>
          <w:b/>
          <w:bCs/>
          <w:color w:val="auto"/>
          <w:szCs w:val="32"/>
        </w:rPr>
        <w:t>（三）裁判长</w:t>
      </w:r>
      <w:bookmarkEnd w:id="19"/>
    </w:p>
    <w:p w14:paraId="6C2D41EA">
      <w:pPr>
        <w:pStyle w:val="41"/>
        <w:spacing w:line="600" w:lineRule="exact"/>
        <w:ind w:firstLine="632"/>
        <w:rPr>
          <w:rFonts w:ascii="Times New Roman" w:hAnsi="Times New Roman" w:eastAsia="仿宋"/>
          <w:color w:val="auto"/>
        </w:rPr>
      </w:pPr>
      <w:r>
        <w:rPr>
          <w:rFonts w:ascii="Times New Roman" w:hAnsi="Times New Roman" w:eastAsia="仿宋"/>
          <w:color w:val="auto"/>
        </w:rPr>
        <w:t>赛场实行裁判长负责制，全面负责本赛项的竞赛执裁工作。</w:t>
      </w:r>
    </w:p>
    <w:p w14:paraId="1F4697F5">
      <w:pPr>
        <w:spacing w:line="600" w:lineRule="exact"/>
        <w:ind w:firstLine="632" w:firstLineChars="200"/>
        <w:outlineLvl w:val="1"/>
        <w:rPr>
          <w:rFonts w:eastAsia="楷体"/>
          <w:b/>
          <w:bCs/>
          <w:color w:val="auto"/>
          <w:szCs w:val="32"/>
        </w:rPr>
      </w:pPr>
      <w:bookmarkStart w:id="20" w:name="_Toc24209"/>
      <w:r>
        <w:rPr>
          <w:rFonts w:eastAsia="楷体"/>
          <w:b/>
          <w:bCs/>
          <w:color w:val="auto"/>
          <w:szCs w:val="32"/>
        </w:rPr>
        <w:t>（四）裁判员的条件和组成</w:t>
      </w:r>
      <w:bookmarkEnd w:id="20"/>
    </w:p>
    <w:p w14:paraId="724065D9">
      <w:pPr>
        <w:pStyle w:val="41"/>
        <w:spacing w:line="600" w:lineRule="exact"/>
        <w:ind w:firstLine="632"/>
        <w:rPr>
          <w:rFonts w:ascii="Times New Roman" w:hAnsi="Times New Roman" w:eastAsia="仿宋"/>
          <w:color w:val="auto"/>
        </w:rPr>
      </w:pPr>
      <w:r>
        <w:rPr>
          <w:rFonts w:ascii="Times New Roman" w:hAnsi="Times New Roman" w:eastAsia="仿宋"/>
          <w:color w:val="auto"/>
        </w:rPr>
        <w:t>1.裁判员须符合裁判员工作管理规范,赛前由技术工作委员会统一组织裁判员培训。决赛参加执裁的裁判员由技术工作委员会抽取和推荐。被抽取或推荐的裁判员在大赛前可申请不参加裁判工作并放弃相应权利。一旦确认担任裁判员工作后，比赛中途不得更换人选。若裁判员不能满足裁判等技术工作需要，由裁判长按照大赛组委会相关要求处理。</w:t>
      </w:r>
    </w:p>
    <w:p w14:paraId="2B90197D">
      <w:pPr>
        <w:pStyle w:val="41"/>
        <w:spacing w:line="600" w:lineRule="exact"/>
        <w:ind w:firstLine="632"/>
        <w:rPr>
          <w:rFonts w:ascii="Times New Roman" w:hAnsi="Times New Roman" w:eastAsia="仿宋"/>
          <w:color w:val="auto"/>
        </w:rPr>
      </w:pPr>
      <w:r>
        <w:rPr>
          <w:rFonts w:ascii="Times New Roman" w:hAnsi="Times New Roman" w:eastAsia="仿宋"/>
          <w:color w:val="auto"/>
        </w:rPr>
        <w:t>2.裁判员应服从裁判长的管理，裁判员的工作由裁判长指派或抽签决定。在工作时间内，裁判员不得徇私舞弊、无故迟到、早退、中途离开工作地或放弃工作，否则将视其影响程度进行相应处理，直至取消裁判员资格并记录在案。</w:t>
      </w:r>
    </w:p>
    <w:p w14:paraId="522E9A5D">
      <w:pPr>
        <w:pStyle w:val="41"/>
        <w:spacing w:line="600" w:lineRule="exact"/>
        <w:ind w:firstLine="632"/>
        <w:rPr>
          <w:rFonts w:ascii="Times New Roman" w:hAnsi="Times New Roman" w:eastAsia="仿宋"/>
          <w:color w:val="auto"/>
        </w:rPr>
      </w:pPr>
      <w:r>
        <w:rPr>
          <w:rFonts w:ascii="Times New Roman" w:hAnsi="Times New Roman" w:eastAsia="仿宋"/>
          <w:color w:val="auto"/>
        </w:rPr>
        <w:t>3.裁判员按工作需要，由裁判长分组、分工。现场裁判组根据参赛工位和场次确定分组，每组选手可配1—2名裁判。各小组在裁判长的统一安排下开展相应工作。</w:t>
      </w:r>
    </w:p>
    <w:p w14:paraId="60E4C656">
      <w:pPr>
        <w:spacing w:line="600" w:lineRule="exact"/>
        <w:ind w:firstLine="632" w:firstLineChars="200"/>
        <w:outlineLvl w:val="1"/>
        <w:rPr>
          <w:rFonts w:eastAsia="楷体"/>
          <w:b/>
          <w:bCs/>
          <w:color w:val="auto"/>
          <w:szCs w:val="32"/>
        </w:rPr>
      </w:pPr>
      <w:bookmarkStart w:id="21" w:name="_Toc13173"/>
      <w:r>
        <w:rPr>
          <w:rFonts w:eastAsia="楷体"/>
          <w:b/>
          <w:bCs/>
          <w:color w:val="auto"/>
          <w:szCs w:val="32"/>
        </w:rPr>
        <w:t>（五）裁判员的工作内容</w:t>
      </w:r>
      <w:bookmarkEnd w:id="21"/>
    </w:p>
    <w:p w14:paraId="4399C84E">
      <w:pPr>
        <w:pStyle w:val="41"/>
        <w:spacing w:line="600" w:lineRule="exact"/>
        <w:ind w:firstLine="632"/>
        <w:rPr>
          <w:rFonts w:ascii="Times New Roman" w:hAnsi="Times New Roman" w:eastAsia="仿宋"/>
          <w:color w:val="auto"/>
        </w:rPr>
      </w:pPr>
      <w:r>
        <w:rPr>
          <w:rFonts w:ascii="Times New Roman" w:hAnsi="Times New Roman" w:eastAsia="仿宋"/>
          <w:color w:val="auto"/>
        </w:rPr>
        <w:t>1.裁判员赛前培训</w:t>
      </w:r>
    </w:p>
    <w:p w14:paraId="7DA623DC">
      <w:pPr>
        <w:pStyle w:val="41"/>
        <w:spacing w:line="600" w:lineRule="exact"/>
        <w:ind w:firstLine="632"/>
        <w:rPr>
          <w:rFonts w:ascii="Times New Roman" w:hAnsi="Times New Roman" w:eastAsia="仿宋"/>
          <w:color w:val="auto"/>
        </w:rPr>
      </w:pPr>
      <w:r>
        <w:rPr>
          <w:rFonts w:ascii="Times New Roman" w:hAnsi="Times New Roman" w:eastAsia="仿宋"/>
          <w:color w:val="auto"/>
        </w:rPr>
        <w:t>裁判员需在赛前参加裁判工作培训，掌握与执裁工作相关的大赛制度要求和赛项竞赛规则，具体包括:竞赛技术规则、竞赛技术平台、评分方式、评分标准、成绩管理流程、安全注意事项和安全应急预案等。</w:t>
      </w:r>
    </w:p>
    <w:p w14:paraId="69BAB2B8">
      <w:pPr>
        <w:pStyle w:val="41"/>
        <w:spacing w:line="600" w:lineRule="exact"/>
        <w:ind w:firstLine="632"/>
        <w:rPr>
          <w:rFonts w:ascii="Times New Roman" w:hAnsi="Times New Roman" w:eastAsia="仿宋"/>
          <w:color w:val="auto"/>
        </w:rPr>
      </w:pPr>
      <w:r>
        <w:rPr>
          <w:rFonts w:ascii="Times New Roman" w:hAnsi="Times New Roman" w:eastAsia="仿宋"/>
          <w:color w:val="auto"/>
        </w:rPr>
        <w:t>2.裁判员分组</w:t>
      </w:r>
    </w:p>
    <w:p w14:paraId="3A672A2A">
      <w:pPr>
        <w:pStyle w:val="41"/>
        <w:spacing w:line="600" w:lineRule="exact"/>
        <w:ind w:firstLine="632"/>
        <w:rPr>
          <w:rFonts w:ascii="Times New Roman" w:hAnsi="Times New Roman" w:eastAsia="仿宋"/>
          <w:color w:val="auto"/>
        </w:rPr>
      </w:pPr>
      <w:r>
        <w:rPr>
          <w:rFonts w:ascii="Times New Roman" w:hAnsi="Times New Roman" w:eastAsia="仿宋"/>
          <w:color w:val="auto"/>
        </w:rPr>
        <w:t>在裁判长的安排下，对裁判员进行分组，并明确组内人员分工及工作职责、工作流程和工作要求等，裁判组5人，裁判长1人，加密员1人，打分员3人。</w:t>
      </w:r>
    </w:p>
    <w:p w14:paraId="22C967A0">
      <w:pPr>
        <w:pStyle w:val="41"/>
        <w:spacing w:line="600" w:lineRule="exact"/>
        <w:ind w:firstLine="632"/>
        <w:rPr>
          <w:rFonts w:ascii="Times New Roman" w:hAnsi="Times New Roman" w:eastAsia="仿宋"/>
          <w:color w:val="auto"/>
        </w:rPr>
      </w:pPr>
      <w:r>
        <w:rPr>
          <w:rFonts w:ascii="Times New Roman" w:hAnsi="Times New Roman" w:eastAsia="仿宋"/>
          <w:color w:val="auto"/>
        </w:rPr>
        <w:t>3.赛前准备</w:t>
      </w:r>
    </w:p>
    <w:p w14:paraId="23991ADA">
      <w:pPr>
        <w:pStyle w:val="41"/>
        <w:spacing w:line="600" w:lineRule="exact"/>
        <w:ind w:firstLine="632"/>
        <w:rPr>
          <w:rFonts w:ascii="Times New Roman" w:hAnsi="Times New Roman" w:eastAsia="仿宋"/>
          <w:color w:val="auto"/>
        </w:rPr>
      </w:pPr>
      <w:r>
        <w:rPr>
          <w:rFonts w:ascii="Times New Roman" w:hAnsi="Times New Roman" w:eastAsia="仿宋"/>
          <w:color w:val="auto"/>
        </w:rPr>
        <w:t>裁判执裁前对赛场设备设施的规范性、完整性和安全性进行检查,做好执裁的准备工作。</w:t>
      </w:r>
    </w:p>
    <w:p w14:paraId="43A7D9BD">
      <w:pPr>
        <w:pStyle w:val="41"/>
        <w:spacing w:line="600" w:lineRule="exact"/>
        <w:ind w:firstLine="632"/>
        <w:rPr>
          <w:rFonts w:ascii="Times New Roman" w:hAnsi="Times New Roman" w:eastAsia="仿宋"/>
          <w:color w:val="auto"/>
        </w:rPr>
      </w:pPr>
      <w:r>
        <w:rPr>
          <w:rFonts w:ascii="Times New Roman" w:hAnsi="Times New Roman" w:eastAsia="仿宋"/>
          <w:color w:val="auto"/>
        </w:rPr>
        <w:t>4.现场执裁</w:t>
      </w:r>
    </w:p>
    <w:p w14:paraId="1958F883">
      <w:pPr>
        <w:pStyle w:val="41"/>
        <w:spacing w:line="600" w:lineRule="exact"/>
        <w:ind w:firstLine="632"/>
        <w:rPr>
          <w:rFonts w:ascii="Times New Roman" w:hAnsi="Times New Roman" w:eastAsia="仿宋"/>
          <w:color w:val="auto"/>
        </w:rPr>
      </w:pPr>
      <w:r>
        <w:rPr>
          <w:rFonts w:ascii="Times New Roman" w:hAnsi="Times New Roman" w:eastAsia="仿宋"/>
          <w:color w:val="auto"/>
        </w:rPr>
        <w:t>现场裁判负责引导选手在赛位或等候区域等待竞赛指令。期间，现场裁判需向选手宣读竞赛须知。提醒选手遵照安全规定和操作规范进行竞赛。竞赛过程中，裁判员不得单独接近选手，除非选手举手示意裁判长解决竞赛中出现的问题，或选手出现严重违规行为。裁判员无权解释竞赛赛题内容。竞赛中现场裁判需做好赛场纪律的维护，对有违规行为的选手提出警告，对严重违规选手，应按竞赛规程予以停赛或取消竞赛资格等处理，并记录在《赛场情况记录表》。在具有危险性的作业环节，裁判员要严防选手出现错误操作。现场裁判适时提醒选手竞赛剩余时间，到竞赛结束时，选手仍未停止作业，现场裁判在确保安全前提下有权强制终止选手作业。加密裁判和现场裁判负责检查选手携带的物品,违规物品一律清出赛场。竞赛结束后裁判员要命令选手停止竞赛，监督选手提交任务工单、电子存储设备、草稿纸等一切竞赛文件。竞赛换场期间，现场裁判须做好选手的隔离工作。</w:t>
      </w:r>
    </w:p>
    <w:p w14:paraId="05426CB2">
      <w:pPr>
        <w:pStyle w:val="41"/>
        <w:spacing w:line="600" w:lineRule="exact"/>
        <w:ind w:firstLine="632"/>
        <w:rPr>
          <w:rFonts w:ascii="Times New Roman" w:hAnsi="Times New Roman" w:eastAsia="仿宋"/>
          <w:color w:val="auto"/>
        </w:rPr>
      </w:pPr>
      <w:r>
        <w:rPr>
          <w:rFonts w:ascii="Times New Roman" w:hAnsi="Times New Roman" w:eastAsia="仿宋"/>
          <w:color w:val="auto"/>
        </w:rPr>
        <w:t>5.竞赛试题加密和解密</w:t>
      </w:r>
    </w:p>
    <w:p w14:paraId="6050977E">
      <w:pPr>
        <w:pStyle w:val="41"/>
        <w:spacing w:line="600" w:lineRule="exact"/>
        <w:ind w:firstLine="632"/>
        <w:rPr>
          <w:rFonts w:ascii="Times New Roman" w:hAnsi="Times New Roman" w:eastAsia="仿宋"/>
          <w:color w:val="auto"/>
        </w:rPr>
      </w:pPr>
      <w:r>
        <w:rPr>
          <w:rFonts w:ascii="Times New Roman" w:hAnsi="Times New Roman" w:eastAsia="仿宋"/>
          <w:color w:val="auto"/>
        </w:rPr>
        <w:t>加密由加密裁判员负责;评分结果得出后，加密裁判在监督人员监督下对加密结果进行解密，并形成最终成绩单。</w:t>
      </w:r>
    </w:p>
    <w:p w14:paraId="0ED0AAC6">
      <w:pPr>
        <w:pStyle w:val="41"/>
        <w:spacing w:line="600" w:lineRule="exact"/>
        <w:ind w:firstLine="632"/>
        <w:rPr>
          <w:rFonts w:ascii="Times New Roman" w:hAnsi="Times New Roman" w:eastAsia="仿宋"/>
          <w:color w:val="auto"/>
        </w:rPr>
      </w:pPr>
      <w:r>
        <w:rPr>
          <w:rFonts w:ascii="Times New Roman" w:hAnsi="Times New Roman" w:eastAsia="仿宋"/>
          <w:color w:val="auto"/>
        </w:rPr>
        <w:t>6.竞赛材料和作品管理</w:t>
      </w:r>
    </w:p>
    <w:p w14:paraId="763413EA">
      <w:pPr>
        <w:pStyle w:val="41"/>
        <w:spacing w:line="600" w:lineRule="exact"/>
        <w:ind w:firstLine="632"/>
        <w:rPr>
          <w:rFonts w:ascii="Times New Roman" w:hAnsi="Times New Roman" w:eastAsia="仿宋"/>
          <w:color w:val="auto"/>
        </w:rPr>
      </w:pPr>
      <w:r>
        <w:rPr>
          <w:rFonts w:ascii="Times New Roman" w:hAnsi="Times New Roman" w:eastAsia="仿宋"/>
          <w:color w:val="auto"/>
        </w:rPr>
        <w:t>现场裁判须在规定时间发放赛题、竞赛技术设备，赛后回收、密封所有竞赛作品和资料并将其交给承办单位就地保存。</w:t>
      </w:r>
    </w:p>
    <w:p w14:paraId="46ECFBBB">
      <w:pPr>
        <w:pStyle w:val="41"/>
        <w:spacing w:line="600" w:lineRule="exact"/>
        <w:ind w:firstLine="632"/>
        <w:rPr>
          <w:rFonts w:ascii="Times New Roman" w:hAnsi="Times New Roman" w:eastAsia="仿宋"/>
          <w:color w:val="auto"/>
        </w:rPr>
      </w:pPr>
      <w:r>
        <w:rPr>
          <w:rFonts w:ascii="Times New Roman" w:hAnsi="Times New Roman" w:eastAsia="仿宋"/>
          <w:color w:val="auto"/>
        </w:rPr>
        <w:t>7.成绩复核及数据录入、统计如在成绩复核中发现错误，裁判长须会同相关评分裁判更正成绩并签字确认。</w:t>
      </w:r>
    </w:p>
    <w:p w14:paraId="0C821B5D">
      <w:pPr>
        <w:spacing w:line="600" w:lineRule="exact"/>
        <w:ind w:firstLine="632" w:firstLineChars="200"/>
        <w:outlineLvl w:val="1"/>
        <w:rPr>
          <w:rFonts w:eastAsia="楷体"/>
          <w:b/>
          <w:bCs/>
          <w:color w:val="auto"/>
          <w:szCs w:val="32"/>
        </w:rPr>
      </w:pPr>
      <w:bookmarkStart w:id="22" w:name="_Toc14006"/>
      <w:r>
        <w:rPr>
          <w:rFonts w:eastAsia="楷体"/>
          <w:b/>
          <w:bCs/>
          <w:color w:val="auto"/>
          <w:szCs w:val="32"/>
        </w:rPr>
        <w:t>（六）裁判员在评判工作中的任务</w:t>
      </w:r>
      <w:bookmarkEnd w:id="22"/>
    </w:p>
    <w:p w14:paraId="76607DDF">
      <w:pPr>
        <w:pStyle w:val="41"/>
        <w:spacing w:line="600" w:lineRule="exact"/>
        <w:ind w:firstLine="632"/>
        <w:rPr>
          <w:rFonts w:ascii="Times New Roman" w:hAnsi="Times New Roman" w:eastAsia="仿宋"/>
          <w:color w:val="auto"/>
        </w:rPr>
      </w:pPr>
      <w:r>
        <w:rPr>
          <w:rFonts w:ascii="Times New Roman" w:hAnsi="Times New Roman" w:eastAsia="仿宋"/>
          <w:color w:val="auto"/>
        </w:rPr>
        <w:t>现场裁判根据裁判长的安排，在竞赛过程中进行执裁，根据参赛选手的现场表现，依据赛题要求、评分细则完成过程记录和评分，填写记录评分表并签字确认;结果评分裁判根据参赛选手提交的竞赛成果，依据评分细则进行评分;统分裁判负责在监督人员监督下完成统分工作，统分表须由统分裁判、裁判长、监督仲裁组成员共同签字确认。各模块统分结束后，统分裁判在监督仲裁人员监督下完成汇总计分工作，填写成绩汇总表。在正式公布竞赛成绩之前，任何人员不得泄露评分结果。</w:t>
      </w:r>
    </w:p>
    <w:p w14:paraId="6EC9D1F7">
      <w:pPr>
        <w:spacing w:line="600" w:lineRule="exact"/>
        <w:ind w:firstLine="632" w:firstLineChars="200"/>
        <w:outlineLvl w:val="1"/>
        <w:rPr>
          <w:rFonts w:eastAsia="楷体"/>
          <w:b/>
          <w:bCs/>
          <w:color w:val="auto"/>
          <w:szCs w:val="32"/>
        </w:rPr>
      </w:pPr>
      <w:bookmarkStart w:id="23" w:name="_Toc4955"/>
      <w:r>
        <w:rPr>
          <w:rFonts w:eastAsia="楷体"/>
          <w:b/>
          <w:bCs/>
          <w:color w:val="auto"/>
          <w:szCs w:val="32"/>
        </w:rPr>
        <w:t>（七）参赛选手须知</w:t>
      </w:r>
      <w:bookmarkEnd w:id="23"/>
    </w:p>
    <w:p w14:paraId="4F88D79B">
      <w:pPr>
        <w:pStyle w:val="41"/>
        <w:spacing w:line="600" w:lineRule="exact"/>
        <w:ind w:firstLine="632"/>
        <w:rPr>
          <w:rFonts w:ascii="Times New Roman" w:hAnsi="Times New Roman" w:eastAsia="仿宋"/>
          <w:color w:val="auto"/>
        </w:rPr>
      </w:pPr>
      <w:r>
        <w:rPr>
          <w:rFonts w:ascii="Times New Roman" w:hAnsi="Times New Roman" w:eastAsia="仿宋"/>
          <w:color w:val="auto"/>
        </w:rPr>
        <w:t>1.参赛选手应严格遵守竞赛规则和竞赛纪律，服从裁判员和竞赛工作人员的统一指挥安排，自觉维护赛场秩序，不得因申诉或对处理意见不服而停止竞赛，否则以弃权处理。</w:t>
      </w:r>
    </w:p>
    <w:p w14:paraId="4FC43E48">
      <w:pPr>
        <w:pStyle w:val="41"/>
        <w:spacing w:line="600" w:lineRule="exact"/>
        <w:ind w:firstLine="632"/>
        <w:rPr>
          <w:rFonts w:ascii="Times New Roman" w:hAnsi="Times New Roman" w:eastAsia="仿宋"/>
          <w:color w:val="auto"/>
        </w:rPr>
      </w:pPr>
      <w:r>
        <w:rPr>
          <w:rFonts w:ascii="Times New Roman" w:hAnsi="Times New Roman" w:eastAsia="仿宋"/>
          <w:color w:val="auto"/>
        </w:rPr>
        <w:t>2.参赛选手在赛前熟悉竞赛设备和竞赛时间内，应该严格遵守竞赛设备工艺守则和竞赛设备安全操作规程，杜绝出现安全事故。</w:t>
      </w:r>
    </w:p>
    <w:p w14:paraId="36963C5B">
      <w:pPr>
        <w:pStyle w:val="41"/>
        <w:spacing w:line="600" w:lineRule="exact"/>
        <w:ind w:firstLine="632"/>
        <w:rPr>
          <w:rFonts w:ascii="Times New Roman" w:hAnsi="Times New Roman" w:eastAsia="仿宋"/>
          <w:color w:val="auto"/>
        </w:rPr>
      </w:pPr>
      <w:r>
        <w:rPr>
          <w:rFonts w:ascii="Times New Roman" w:hAnsi="Times New Roman" w:eastAsia="仿宋"/>
          <w:color w:val="auto"/>
        </w:rPr>
        <w:t>3.参赛选手不得将通讯工具、任何技术资料、工具书、自编电子或文字资料、笔记本电脑、通讯工具、摄像工具以及其他即插即用的硬件设备带入比赛现场，否则取消选手比赛资格。</w:t>
      </w:r>
    </w:p>
    <w:p w14:paraId="3C962DA0">
      <w:pPr>
        <w:pStyle w:val="41"/>
        <w:spacing w:line="600" w:lineRule="exact"/>
        <w:ind w:firstLine="632"/>
        <w:rPr>
          <w:rFonts w:ascii="Times New Roman" w:hAnsi="Times New Roman" w:eastAsia="仿宋"/>
          <w:color w:val="auto"/>
        </w:rPr>
      </w:pPr>
      <w:r>
        <w:rPr>
          <w:rFonts w:ascii="Times New Roman" w:hAnsi="Times New Roman" w:eastAsia="仿宋"/>
          <w:color w:val="auto"/>
        </w:rPr>
        <w:t>4.参赛选手应严格按竞赛流程进行竞赛。</w:t>
      </w:r>
    </w:p>
    <w:p w14:paraId="6861204D">
      <w:pPr>
        <w:pStyle w:val="41"/>
        <w:spacing w:line="600" w:lineRule="exact"/>
        <w:ind w:firstLine="632"/>
        <w:rPr>
          <w:rFonts w:ascii="Times New Roman" w:hAnsi="Times New Roman" w:eastAsia="仿宋"/>
          <w:color w:val="auto"/>
        </w:rPr>
      </w:pPr>
      <w:r>
        <w:rPr>
          <w:rFonts w:ascii="Times New Roman" w:hAnsi="Times New Roman" w:eastAsia="仿宋"/>
          <w:color w:val="auto"/>
        </w:rPr>
        <w:t>5.参赛选手必须持本人身份证、并佩戴组委会签发的参赛证件,按竞赛规定的时间到指定的场地参赛。</w:t>
      </w:r>
    </w:p>
    <w:p w14:paraId="71210741">
      <w:pPr>
        <w:pStyle w:val="41"/>
        <w:spacing w:line="600" w:lineRule="exact"/>
        <w:ind w:firstLine="632"/>
        <w:rPr>
          <w:rFonts w:ascii="Times New Roman" w:hAnsi="Times New Roman" w:eastAsia="仿宋"/>
          <w:color w:val="auto"/>
        </w:rPr>
      </w:pPr>
      <w:r>
        <w:rPr>
          <w:rFonts w:ascii="Times New Roman" w:hAnsi="Times New Roman" w:eastAsia="仿宋"/>
          <w:color w:val="auto"/>
        </w:rPr>
        <w:t>6.严格遵守实操考核时间，参赛选手按照裁判长指令开始、结束竞赛。</w:t>
      </w:r>
    </w:p>
    <w:p w14:paraId="1B204E4A">
      <w:pPr>
        <w:pStyle w:val="41"/>
        <w:spacing w:line="600" w:lineRule="exact"/>
        <w:ind w:firstLine="632"/>
        <w:rPr>
          <w:rFonts w:ascii="Times New Roman" w:hAnsi="Times New Roman" w:eastAsia="仿宋"/>
          <w:color w:val="auto"/>
        </w:rPr>
      </w:pPr>
      <w:r>
        <w:rPr>
          <w:rFonts w:ascii="Times New Roman" w:hAnsi="Times New Roman" w:eastAsia="仿宋"/>
          <w:color w:val="auto"/>
        </w:rPr>
        <w:t>7.参赛选手须在赛前30分钟到达赛场进行检录、抽取工位号，在赛前10分钟统一入场，进行赛前准备，等候比赛开始指令。正式竞赛开始但尚未检录的选手，不得参加竞赛。已检录入场的参赛选手未经允许，不得擅自离开。</w:t>
      </w:r>
    </w:p>
    <w:p w14:paraId="41682228">
      <w:pPr>
        <w:pStyle w:val="41"/>
        <w:spacing w:line="600" w:lineRule="exact"/>
        <w:ind w:firstLine="632"/>
        <w:rPr>
          <w:rFonts w:ascii="Times New Roman" w:hAnsi="Times New Roman" w:eastAsia="仿宋"/>
          <w:color w:val="auto"/>
        </w:rPr>
      </w:pPr>
      <w:r>
        <w:rPr>
          <w:rFonts w:ascii="Times New Roman" w:hAnsi="Times New Roman" w:eastAsia="仿宋"/>
          <w:color w:val="auto"/>
        </w:rPr>
        <w:t>8.参赛选手按规定进入竞赛工位，在现场工作人员引导下，进行赛前准备，检查并确认竞赛设备、竞赛工位计算机、配套的工量具、相关软件等，并签字确认。</w:t>
      </w:r>
    </w:p>
    <w:p w14:paraId="52F337FD">
      <w:pPr>
        <w:pStyle w:val="41"/>
        <w:spacing w:line="600" w:lineRule="exact"/>
        <w:ind w:firstLine="632"/>
        <w:rPr>
          <w:rFonts w:ascii="Times New Roman" w:hAnsi="Times New Roman" w:eastAsia="仿宋"/>
          <w:color w:val="auto"/>
        </w:rPr>
      </w:pPr>
      <w:r>
        <w:rPr>
          <w:rFonts w:ascii="Times New Roman" w:hAnsi="Times New Roman" w:eastAsia="仿宋"/>
          <w:color w:val="auto"/>
        </w:rPr>
        <w:t>9.裁判长宣布比赛开始，参赛选手方可进行竞赛操作。</w:t>
      </w:r>
    </w:p>
    <w:p w14:paraId="57B7CE7C">
      <w:pPr>
        <w:pStyle w:val="41"/>
        <w:spacing w:line="600" w:lineRule="exact"/>
        <w:ind w:firstLine="632"/>
        <w:rPr>
          <w:rFonts w:ascii="Times New Roman" w:hAnsi="Times New Roman" w:eastAsia="仿宋"/>
          <w:color w:val="auto"/>
        </w:rPr>
      </w:pPr>
      <w:r>
        <w:rPr>
          <w:rFonts w:ascii="Times New Roman" w:hAnsi="Times New Roman" w:eastAsia="仿宋"/>
          <w:color w:val="auto"/>
        </w:rPr>
        <w:t>10.参赛选手必须及时备份竞赛中自己的竞赛数据，防止意外断电及其它情况造成程序或资料的丢失。并将全部数据文件存储至计算机指定盘符下，不按要求存储数据，导致数据丢失者，责任自负。</w:t>
      </w:r>
    </w:p>
    <w:p w14:paraId="41794243">
      <w:pPr>
        <w:pStyle w:val="41"/>
        <w:spacing w:line="600" w:lineRule="exact"/>
        <w:ind w:firstLine="632"/>
        <w:rPr>
          <w:rFonts w:ascii="Times New Roman" w:hAnsi="Times New Roman" w:eastAsia="仿宋"/>
          <w:color w:val="auto"/>
        </w:rPr>
      </w:pPr>
      <w:r>
        <w:rPr>
          <w:rFonts w:ascii="Times New Roman" w:hAnsi="Times New Roman" w:eastAsia="仿宋"/>
          <w:color w:val="auto"/>
        </w:rPr>
        <w:t>11.竞赛过程中，选手若需休息、饮水或去洗手间，一律计算在比赛时间内。食品和饮水由赛场统一提供。</w:t>
      </w:r>
    </w:p>
    <w:p w14:paraId="63EFEEA9">
      <w:pPr>
        <w:pStyle w:val="41"/>
        <w:spacing w:line="600" w:lineRule="exact"/>
        <w:ind w:firstLine="632"/>
        <w:rPr>
          <w:rFonts w:ascii="Times New Roman" w:hAnsi="Times New Roman" w:eastAsia="仿宋"/>
          <w:color w:val="auto"/>
        </w:rPr>
      </w:pPr>
      <w:r>
        <w:rPr>
          <w:rFonts w:ascii="Times New Roman" w:hAnsi="Times New Roman" w:eastAsia="仿宋"/>
          <w:color w:val="auto"/>
        </w:rPr>
        <w:t>12.竞赛过程中，参赛选手须严格遵守相关操作规程，确保人身及设备安全，并接受裁判员的监督和警示，若因选手个人因素造成人身安全事故和设备故障，不予延时，情节特别严重者，由裁判长视具体情况作出处理决定(最高至终止比赛)并由裁判长上报大赛监督仲裁组;若因非选手个人因素造成设备故障，由大赛裁判组视具体情况作出延时处理并由裁判长上报竞赛监督仲裁组。</w:t>
      </w:r>
    </w:p>
    <w:p w14:paraId="06A3BFEF">
      <w:pPr>
        <w:pStyle w:val="41"/>
        <w:spacing w:line="600" w:lineRule="exact"/>
        <w:ind w:firstLine="632"/>
        <w:rPr>
          <w:rFonts w:ascii="Times New Roman" w:hAnsi="Times New Roman" w:eastAsia="仿宋"/>
          <w:color w:val="auto"/>
        </w:rPr>
      </w:pPr>
      <w:r>
        <w:rPr>
          <w:rFonts w:ascii="Times New Roman" w:hAnsi="Times New Roman" w:eastAsia="仿宋"/>
          <w:color w:val="auto"/>
        </w:rPr>
        <w:t>13.参赛选手在竞赛过程中不得擅自离开赛场，如有特殊情况，需经裁判员同意后，特殊处理。</w:t>
      </w:r>
    </w:p>
    <w:p w14:paraId="5306F4F0">
      <w:pPr>
        <w:pStyle w:val="41"/>
        <w:spacing w:line="600" w:lineRule="exact"/>
        <w:ind w:firstLine="632"/>
        <w:rPr>
          <w:rFonts w:ascii="Times New Roman" w:hAnsi="Times New Roman" w:eastAsia="仿宋"/>
          <w:color w:val="auto"/>
        </w:rPr>
      </w:pPr>
      <w:r>
        <w:rPr>
          <w:rFonts w:ascii="Times New Roman" w:hAnsi="Times New Roman" w:eastAsia="仿宋"/>
          <w:color w:val="auto"/>
        </w:rPr>
        <w:t>14.参赛选手在竞赛过程中，如遇问题，需举手向裁判人员提问。选手之间不得发生任何交流，否则，按作弊处理。</w:t>
      </w:r>
    </w:p>
    <w:p w14:paraId="4CEF6F1B">
      <w:pPr>
        <w:pStyle w:val="41"/>
        <w:spacing w:line="600" w:lineRule="exact"/>
        <w:ind w:firstLine="632"/>
        <w:rPr>
          <w:rFonts w:ascii="Times New Roman" w:hAnsi="Times New Roman" w:eastAsia="仿宋"/>
          <w:color w:val="auto"/>
        </w:rPr>
      </w:pPr>
      <w:r>
        <w:rPr>
          <w:rFonts w:ascii="Times New Roman" w:hAnsi="Times New Roman" w:eastAsia="仿宋"/>
          <w:color w:val="auto"/>
        </w:rPr>
        <w:t>15.参赛选手在竞赛赛过程中，不得私自使用优盘。赛项任务有特殊指定的除外，且必须使用赛场统一提供的优盘。</w:t>
      </w:r>
    </w:p>
    <w:p w14:paraId="1886496F">
      <w:pPr>
        <w:pStyle w:val="41"/>
        <w:spacing w:line="600" w:lineRule="exact"/>
        <w:ind w:firstLine="632"/>
        <w:rPr>
          <w:rFonts w:ascii="Times New Roman" w:hAnsi="Times New Roman" w:eastAsia="仿宋"/>
          <w:color w:val="auto"/>
        </w:rPr>
      </w:pPr>
      <w:r>
        <w:rPr>
          <w:rFonts w:ascii="Times New Roman" w:hAnsi="Times New Roman" w:eastAsia="仿宋"/>
          <w:color w:val="auto"/>
        </w:rPr>
        <w:t>16.参赛选手在实操考核竞赛过程中，必须戴安全帽(女选手长发不得外露)、穿工作服、防砸防刺穿劳保绝缘工作鞋以及佩戴护目镜。</w:t>
      </w:r>
    </w:p>
    <w:p w14:paraId="72BBED01">
      <w:pPr>
        <w:pStyle w:val="41"/>
        <w:spacing w:line="600" w:lineRule="exact"/>
        <w:ind w:firstLine="632"/>
        <w:rPr>
          <w:rFonts w:ascii="Times New Roman" w:hAnsi="Times New Roman" w:eastAsia="仿宋"/>
          <w:color w:val="auto"/>
        </w:rPr>
      </w:pPr>
      <w:r>
        <w:rPr>
          <w:rFonts w:ascii="Times New Roman" w:hAnsi="Times New Roman" w:eastAsia="仿宋"/>
          <w:color w:val="auto"/>
        </w:rPr>
        <w:t>17.竞赛过程中需要裁判验收的各项任务，任务完成后裁判只验收1次，请根据赛题说明，确认完成后再提请裁判验收。如果选手对评定结果有较大争议由带队指导教师在比赛结束后2小时内向大赛组委会提出书面申请，超时视为放弃。</w:t>
      </w:r>
    </w:p>
    <w:p w14:paraId="2E803CB8">
      <w:pPr>
        <w:pStyle w:val="41"/>
        <w:spacing w:line="600" w:lineRule="exact"/>
        <w:ind w:firstLine="632"/>
        <w:rPr>
          <w:rFonts w:ascii="Times New Roman" w:hAnsi="Times New Roman" w:eastAsia="仿宋"/>
          <w:color w:val="auto"/>
        </w:rPr>
      </w:pPr>
      <w:r>
        <w:rPr>
          <w:rFonts w:ascii="Times New Roman" w:hAnsi="Times New Roman" w:eastAsia="仿宋"/>
          <w:color w:val="auto"/>
        </w:rPr>
        <w:t>18.裁判长在比赛结束前15分钟对选手做出提示。裁判长宣布比赛结束后，选手应立即停止竞赛操作，并按下竞赛设备停止键，现场裁判员监督竞赛设备的停止，在规定时间内必须把竞赛作品、赛题、图纸、草稿纸等所有相关内容上交至现场裁判员，如选手未按规定执行，裁判有权按下竞赛设备停止键，要求选手至指定位置。</w:t>
      </w:r>
    </w:p>
    <w:p w14:paraId="08A63457">
      <w:pPr>
        <w:pStyle w:val="41"/>
        <w:spacing w:line="600" w:lineRule="exact"/>
        <w:ind w:firstLine="632"/>
        <w:rPr>
          <w:rFonts w:ascii="Times New Roman" w:hAnsi="Times New Roman" w:eastAsia="仿宋"/>
          <w:color w:val="auto"/>
        </w:rPr>
      </w:pPr>
      <w:r>
        <w:rPr>
          <w:rFonts w:ascii="Times New Roman" w:hAnsi="Times New Roman" w:eastAsia="仿宋"/>
          <w:color w:val="auto"/>
        </w:rPr>
        <w:t>19.竞赛结束后，由现场裁判员和选手检查确认提交的内容，现场裁判员当选手面封装上交竞赛作品，选手在收件表上签字确认，现场裁判员签字确认。</w:t>
      </w:r>
    </w:p>
    <w:p w14:paraId="6B32AABF">
      <w:pPr>
        <w:pStyle w:val="41"/>
        <w:spacing w:line="600" w:lineRule="exact"/>
        <w:ind w:firstLine="632"/>
        <w:rPr>
          <w:rFonts w:ascii="Times New Roman" w:hAnsi="Times New Roman" w:eastAsia="仿宋"/>
          <w:color w:val="auto"/>
        </w:rPr>
      </w:pPr>
      <w:r>
        <w:rPr>
          <w:rFonts w:ascii="Times New Roman" w:hAnsi="Times New Roman" w:eastAsia="仿宋"/>
          <w:color w:val="auto"/>
        </w:rPr>
        <w:t>20.比赛结束，选手应立即清理现场，包括竞赛设备及周边卫生并恢复竞赛设备原始状态等。经现场裁判员和现场工作人员确认后方可离开工位。经裁判长统一确认后， 选手统一离开赛场。</w:t>
      </w:r>
    </w:p>
    <w:p w14:paraId="11CD439F">
      <w:pPr>
        <w:pStyle w:val="41"/>
        <w:spacing w:line="600" w:lineRule="exact"/>
        <w:ind w:firstLine="632"/>
        <w:rPr>
          <w:rFonts w:ascii="Times New Roman" w:hAnsi="Times New Roman" w:eastAsia="仿宋"/>
          <w:color w:val="auto"/>
        </w:rPr>
      </w:pPr>
      <w:r>
        <w:rPr>
          <w:rFonts w:ascii="Times New Roman" w:hAnsi="Times New Roman" w:eastAsia="仿宋"/>
          <w:color w:val="auto"/>
        </w:rPr>
        <w:t>21.参赛选手在竞赛期间未经组委会的批准，不得接受其他单位和个人进行的与竞赛内容相关的采访;参赛选手不得私自公开比赛相关资料。</w:t>
      </w:r>
    </w:p>
    <w:p w14:paraId="0AA7E356">
      <w:pPr>
        <w:pStyle w:val="12"/>
        <w:spacing w:line="600" w:lineRule="exact"/>
        <w:ind w:firstLine="632"/>
        <w:rPr>
          <w:rFonts w:ascii="Times New Roman" w:hAnsi="Times New Roman"/>
          <w:color w:val="auto"/>
          <w:lang w:eastAsia="zh-CN"/>
        </w:rPr>
      </w:pPr>
      <w:bookmarkStart w:id="24" w:name="_Toc17826"/>
      <w:bookmarkStart w:id="25" w:name="_Toc107852895"/>
      <w:r>
        <w:rPr>
          <w:rFonts w:ascii="Times New Roman" w:hAnsi="Times New Roman"/>
          <w:color w:val="auto"/>
          <w:lang w:eastAsia="zh-CN"/>
        </w:rPr>
        <w:t>四、竞赛场地、设施设备等安排</w:t>
      </w:r>
      <w:bookmarkEnd w:id="24"/>
      <w:bookmarkEnd w:id="25"/>
    </w:p>
    <w:p w14:paraId="65C91309">
      <w:pPr>
        <w:pStyle w:val="13"/>
        <w:tabs>
          <w:tab w:val="clear" w:pos="840"/>
        </w:tabs>
        <w:spacing w:line="600" w:lineRule="exact"/>
        <w:ind w:firstLine="634"/>
        <w:rPr>
          <w:rFonts w:ascii="Times New Roman" w:hAnsi="Times New Roman"/>
          <w:color w:val="auto"/>
        </w:rPr>
      </w:pPr>
      <w:bookmarkStart w:id="26" w:name="_Toc107852896"/>
      <w:bookmarkStart w:id="27" w:name="_Toc9173"/>
      <w:r>
        <w:rPr>
          <w:rFonts w:ascii="Times New Roman" w:hAnsi="Times New Roman"/>
          <w:color w:val="auto"/>
        </w:rPr>
        <w:t>（一）赛场规格要求</w:t>
      </w:r>
      <w:bookmarkEnd w:id="26"/>
      <w:bookmarkEnd w:id="27"/>
    </w:p>
    <w:p w14:paraId="6DEC3455">
      <w:pPr>
        <w:pStyle w:val="41"/>
        <w:spacing w:line="600" w:lineRule="exact"/>
        <w:ind w:firstLine="632"/>
        <w:rPr>
          <w:rFonts w:ascii="Times New Roman" w:hAnsi="Times New Roman" w:eastAsia="仿宋"/>
          <w:color w:val="auto"/>
        </w:rPr>
      </w:pPr>
      <w:r>
        <w:rPr>
          <w:rFonts w:ascii="Times New Roman" w:hAnsi="Times New Roman" w:eastAsia="仿宋"/>
          <w:color w:val="auto"/>
        </w:rPr>
        <w:t>1.场地面积要求</w:t>
      </w:r>
    </w:p>
    <w:p w14:paraId="19A08895">
      <w:pPr>
        <w:pStyle w:val="41"/>
        <w:spacing w:line="600" w:lineRule="exact"/>
        <w:ind w:firstLine="632"/>
        <w:rPr>
          <w:rFonts w:ascii="Times New Roman" w:hAnsi="Times New Roman" w:eastAsia="仿宋"/>
          <w:color w:val="auto"/>
        </w:rPr>
      </w:pPr>
      <w:r>
        <w:rPr>
          <w:rFonts w:ascii="Times New Roman" w:hAnsi="Times New Roman" w:eastAsia="仿宋"/>
          <w:color w:val="auto"/>
        </w:rPr>
        <w:t>每个参赛队工作区间面积不小于7平米（3m×2.5m），确保参赛队之间互不干扰。工作区间内放置有2张工作台，2把工作椅（凳），其中1张作为调试操作平台使用，工作台上面摆放电子仪器仪表和电子制作工具等，工作台内提供有220V电源。</w:t>
      </w:r>
    </w:p>
    <w:p w14:paraId="3EA47E97">
      <w:pPr>
        <w:pStyle w:val="41"/>
        <w:spacing w:line="600" w:lineRule="exact"/>
        <w:ind w:firstLine="632"/>
        <w:rPr>
          <w:rFonts w:ascii="Times New Roman" w:hAnsi="Times New Roman" w:eastAsia="仿宋"/>
          <w:color w:val="auto"/>
        </w:rPr>
      </w:pPr>
      <w:r>
        <w:rPr>
          <w:rFonts w:ascii="Times New Roman" w:hAnsi="Times New Roman" w:eastAsia="仿宋"/>
          <w:color w:val="auto"/>
        </w:rPr>
        <w:t>2.竞赛在室内进行，场地应通风良好。净高不少于4米，采光照明良好，赛位标明编号，赛位内粘贴安全操作须知。每个赛位采用220VAC/50Hz交流供电，供电负荷不小于1.5kW，配备220VAC/50Hz交流电源插座不少于4个，具有电源保护装置和安全保护措施。</w:t>
      </w:r>
    </w:p>
    <w:p w14:paraId="4799451D">
      <w:pPr>
        <w:pStyle w:val="41"/>
        <w:spacing w:line="600" w:lineRule="exact"/>
        <w:ind w:firstLine="632"/>
        <w:rPr>
          <w:rFonts w:ascii="Times New Roman" w:hAnsi="Times New Roman" w:eastAsia="仿宋"/>
          <w:color w:val="auto"/>
        </w:rPr>
      </w:pPr>
      <w:r>
        <w:rPr>
          <w:rFonts w:ascii="Times New Roman" w:hAnsi="Times New Roman" w:eastAsia="仿宋"/>
          <w:color w:val="auto"/>
        </w:rPr>
        <w:t>3.场地消防和逃生要求</w:t>
      </w:r>
    </w:p>
    <w:p w14:paraId="5DFD56B4">
      <w:pPr>
        <w:pStyle w:val="41"/>
        <w:spacing w:line="600" w:lineRule="exact"/>
        <w:ind w:firstLine="632"/>
        <w:rPr>
          <w:rFonts w:ascii="Times New Roman" w:hAnsi="Times New Roman" w:eastAsia="仿宋"/>
          <w:color w:val="auto"/>
        </w:rPr>
      </w:pPr>
      <w:r>
        <w:rPr>
          <w:rFonts w:ascii="Times New Roman" w:hAnsi="Times New Roman" w:eastAsia="仿宋"/>
          <w:color w:val="auto"/>
        </w:rPr>
        <w:t>赛场必须留有安全通道。竞赛前必须明确告诉选手和裁判员安全通道和安全门位置。赛场必须配备灭火设备，并置于显著位置，现场消防器材和消防栓合格有效，应急照明设施状态合格，赛场明显位置张贴紧急疏散图，赛场地面张贴荧光疏散指示箭头。赛场出入口专人负责，赛场组织人员要做好竞赛安全、健康和公共卫生及突发事件预防与应急处理等工作。</w:t>
      </w:r>
    </w:p>
    <w:p w14:paraId="5AF42A2E">
      <w:pPr>
        <w:pStyle w:val="13"/>
        <w:tabs>
          <w:tab w:val="clear" w:pos="840"/>
        </w:tabs>
        <w:spacing w:line="600" w:lineRule="exact"/>
        <w:ind w:firstLine="634"/>
        <w:rPr>
          <w:rFonts w:ascii="Times New Roman" w:hAnsi="Times New Roman"/>
          <w:color w:val="auto"/>
        </w:rPr>
      </w:pPr>
      <w:bookmarkStart w:id="28" w:name="_Toc273"/>
      <w:r>
        <w:rPr>
          <w:rFonts w:ascii="Times New Roman" w:hAnsi="Times New Roman"/>
          <w:color w:val="auto"/>
        </w:rPr>
        <w:t>（二）场地布局图</w:t>
      </w:r>
      <w:bookmarkEnd w:id="28"/>
    </w:p>
    <w:p w14:paraId="2C164479">
      <w:pPr>
        <w:jc w:val="center"/>
        <w:rPr>
          <w:color w:val="auto"/>
          <w:spacing w:val="-2"/>
          <w:sz w:val="28"/>
        </w:rPr>
      </w:pPr>
      <w:r>
        <w:rPr>
          <w:color w:val="auto"/>
        </w:rPr>
        <w:pict>
          <v:shape id="_x0000_s2050" o:spid="_x0000_s2050" o:spt="75" type="#_x0000_t75" style="position:absolute;left:0pt;margin-left:43.65pt;margin-top:10.25pt;height:324.85pt;width:344.2pt;mso-wrap-distance-bottom:0pt;mso-wrap-distance-top:0pt;z-index:251659264;mso-width-relative:page;mso-height-relative:page;" filled="f" o:preferrelative="t" stroked="f" coordsize="21600,21600">
            <v:path/>
            <v:fill on="f" focussize="0,0"/>
            <v:stroke on="f" joinstyle="miter"/>
            <v:imagedata r:id="rId11" cropbottom="10929f" o:title=""/>
            <o:lock v:ext="edit" aspectratio="t"/>
            <w10:wrap type="topAndBottom"/>
          </v:shape>
        </w:pict>
      </w:r>
      <w:r>
        <w:rPr>
          <w:rFonts w:eastAsia="仿宋"/>
          <w:b/>
          <w:bCs/>
          <w:color w:val="auto"/>
          <w:sz w:val="24"/>
          <w:szCs w:val="24"/>
        </w:rPr>
        <w:t>*最终以场地实际布局为主</w:t>
      </w:r>
    </w:p>
    <w:p w14:paraId="6D4D9A71">
      <w:pPr>
        <w:pStyle w:val="13"/>
        <w:tabs>
          <w:tab w:val="clear" w:pos="840"/>
        </w:tabs>
        <w:spacing w:line="600" w:lineRule="exact"/>
        <w:ind w:firstLine="634"/>
        <w:rPr>
          <w:rFonts w:ascii="Times New Roman" w:hAnsi="Times New Roman"/>
          <w:color w:val="auto"/>
        </w:rPr>
      </w:pPr>
      <w:bookmarkStart w:id="29" w:name="_Toc15630"/>
      <w:r>
        <w:rPr>
          <w:rFonts w:ascii="Times New Roman" w:hAnsi="Times New Roman"/>
          <w:color w:val="auto"/>
        </w:rPr>
        <w:t>（三）基础设施清单</w:t>
      </w:r>
      <w:bookmarkEnd w:id="29"/>
    </w:p>
    <w:p w14:paraId="552AC724">
      <w:pPr>
        <w:spacing w:line="600" w:lineRule="exact"/>
        <w:ind w:firstLine="632" w:firstLineChars="200"/>
        <w:rPr>
          <w:rFonts w:eastAsia="仿宋"/>
          <w:b w:val="0"/>
          <w:bCs w:val="0"/>
          <w:color w:val="auto"/>
          <w:szCs w:val="32"/>
          <w:lang w:val="en-GB"/>
        </w:rPr>
      </w:pPr>
      <w:r>
        <w:rPr>
          <w:rFonts w:eastAsia="仿宋"/>
          <w:b w:val="0"/>
          <w:bCs w:val="0"/>
          <w:color w:val="auto"/>
          <w:szCs w:val="32"/>
          <w:lang w:val="en-GB"/>
        </w:rPr>
        <w:t>1.主要设备参数</w:t>
      </w:r>
    </w:p>
    <w:p w14:paraId="65268977">
      <w:pPr>
        <w:spacing w:line="600" w:lineRule="exact"/>
        <w:ind w:firstLine="632" w:firstLineChars="200"/>
        <w:rPr>
          <w:rFonts w:eastAsia="仿宋"/>
          <w:color w:val="auto"/>
          <w:szCs w:val="32"/>
        </w:rPr>
      </w:pPr>
      <w:r>
        <w:rPr>
          <w:rFonts w:eastAsia="仿宋"/>
          <w:color w:val="auto"/>
          <w:szCs w:val="32"/>
        </w:rPr>
        <w:t>为了引导更多的单位参与竞赛并考虑到参赛单位的实际情况，此次选拔赛设备由赛场提供。</w:t>
      </w:r>
    </w:p>
    <w:p w14:paraId="12748ED2">
      <w:pPr>
        <w:spacing w:line="600" w:lineRule="exact"/>
        <w:ind w:firstLine="632" w:firstLineChars="200"/>
        <w:rPr>
          <w:rFonts w:eastAsia="仿宋"/>
          <w:color w:val="auto"/>
          <w:szCs w:val="32"/>
        </w:rPr>
      </w:pPr>
      <w:r>
        <w:rPr>
          <w:rFonts w:eastAsia="仿宋"/>
          <w:color w:val="auto"/>
          <w:szCs w:val="32"/>
        </w:rPr>
        <w:t>表6 集成电路应用技术项目赛场提供设施、设备清单表</w:t>
      </w:r>
    </w:p>
    <w:p w14:paraId="047D0B6C">
      <w:pPr>
        <w:spacing w:line="560" w:lineRule="exact"/>
        <w:jc w:val="center"/>
        <w:rPr>
          <w:rFonts w:hint="eastAsia" w:ascii="仿宋" w:hAnsi="仿宋" w:eastAsia="仿宋" w:cs="仿宋"/>
          <w:color w:val="auto"/>
          <w:sz w:val="28"/>
          <w:szCs w:val="28"/>
        </w:rPr>
      </w:pPr>
    </w:p>
    <w:p w14:paraId="1C97DA0B">
      <w:pPr>
        <w:spacing w:line="560" w:lineRule="exact"/>
        <w:jc w:val="center"/>
        <w:rPr>
          <w:rFonts w:eastAsia="仿宋"/>
          <w:color w:val="auto"/>
          <w:sz w:val="28"/>
          <w:szCs w:val="28"/>
        </w:rPr>
      </w:pPr>
      <w:r>
        <w:rPr>
          <w:rFonts w:hint="eastAsia" w:ascii="仿宋" w:hAnsi="仿宋" w:eastAsia="仿宋" w:cs="仿宋"/>
          <w:color w:val="auto"/>
          <w:sz w:val="28"/>
          <w:szCs w:val="28"/>
        </w:rPr>
        <w:t>表6  主要设备参数</w:t>
      </w:r>
    </w:p>
    <w:tbl>
      <w:tblPr>
        <w:tblStyle w:val="9"/>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3341"/>
        <w:gridCol w:w="1265"/>
        <w:gridCol w:w="1004"/>
        <w:gridCol w:w="2220"/>
      </w:tblGrid>
      <w:tr w14:paraId="652B6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43" w:type="dxa"/>
            <w:vAlign w:val="center"/>
          </w:tcPr>
          <w:p w14:paraId="0894A3FA">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序号</w:t>
            </w:r>
          </w:p>
        </w:tc>
        <w:tc>
          <w:tcPr>
            <w:tcW w:w="3341" w:type="dxa"/>
            <w:vAlign w:val="center"/>
          </w:tcPr>
          <w:p w14:paraId="49636857">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技术平台</w:t>
            </w:r>
          </w:p>
        </w:tc>
        <w:tc>
          <w:tcPr>
            <w:tcW w:w="1265" w:type="dxa"/>
            <w:vAlign w:val="center"/>
          </w:tcPr>
          <w:p w14:paraId="05A6A621">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单位</w:t>
            </w:r>
          </w:p>
        </w:tc>
        <w:tc>
          <w:tcPr>
            <w:tcW w:w="1004" w:type="dxa"/>
            <w:vAlign w:val="center"/>
          </w:tcPr>
          <w:p w14:paraId="653FEF44">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数量</w:t>
            </w:r>
          </w:p>
        </w:tc>
        <w:tc>
          <w:tcPr>
            <w:tcW w:w="2220" w:type="dxa"/>
            <w:vAlign w:val="center"/>
          </w:tcPr>
          <w:p w14:paraId="60CAF525">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备注</w:t>
            </w:r>
          </w:p>
        </w:tc>
      </w:tr>
      <w:tr w14:paraId="7DAC0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43" w:type="dxa"/>
            <w:vAlign w:val="center"/>
          </w:tcPr>
          <w:p w14:paraId="3B758D0D">
            <w:pPr>
              <w:widowControl/>
              <w:spacing w:line="560" w:lineRule="exact"/>
              <w:jc w:val="center"/>
              <w:rPr>
                <w:rFonts w:hint="eastAsia" w:ascii="宋体" w:hAnsi="宋体" w:cs="宋体"/>
                <w:color w:val="auto"/>
                <w:sz w:val="24"/>
              </w:rPr>
            </w:pPr>
            <w:r>
              <w:rPr>
                <w:rFonts w:hint="eastAsia" w:ascii="宋体" w:hAnsi="宋体" w:cs="宋体"/>
                <w:color w:val="auto"/>
                <w:sz w:val="24"/>
              </w:rPr>
              <w:t>1</w:t>
            </w:r>
          </w:p>
        </w:tc>
        <w:tc>
          <w:tcPr>
            <w:tcW w:w="3341" w:type="dxa"/>
            <w:vAlign w:val="center"/>
          </w:tcPr>
          <w:p w14:paraId="27B0F381">
            <w:pPr>
              <w:widowControl/>
              <w:spacing w:line="560" w:lineRule="exact"/>
              <w:jc w:val="center"/>
              <w:rPr>
                <w:rFonts w:hint="eastAsia" w:ascii="宋体" w:hAnsi="宋体" w:cs="宋体"/>
                <w:color w:val="auto"/>
                <w:sz w:val="24"/>
              </w:rPr>
            </w:pPr>
            <w:r>
              <w:rPr>
                <w:rFonts w:hint="eastAsia" w:ascii="宋体" w:hAnsi="宋体" w:cs="宋体"/>
                <w:color w:val="auto"/>
                <w:sz w:val="24"/>
              </w:rPr>
              <w:t>可视化平台</w:t>
            </w:r>
          </w:p>
        </w:tc>
        <w:tc>
          <w:tcPr>
            <w:tcW w:w="1265" w:type="dxa"/>
            <w:vAlign w:val="center"/>
          </w:tcPr>
          <w:p w14:paraId="4A7A7627">
            <w:pPr>
              <w:widowControl/>
              <w:spacing w:line="560" w:lineRule="exact"/>
              <w:jc w:val="center"/>
              <w:rPr>
                <w:rFonts w:hint="eastAsia" w:ascii="宋体" w:hAnsi="宋体" w:cs="宋体"/>
                <w:color w:val="auto"/>
                <w:sz w:val="24"/>
              </w:rPr>
            </w:pPr>
            <w:r>
              <w:rPr>
                <w:rFonts w:hint="eastAsia" w:ascii="宋体" w:hAnsi="宋体" w:cs="宋体"/>
                <w:color w:val="auto"/>
                <w:sz w:val="24"/>
              </w:rPr>
              <w:t>台</w:t>
            </w:r>
          </w:p>
        </w:tc>
        <w:tc>
          <w:tcPr>
            <w:tcW w:w="1004" w:type="dxa"/>
            <w:vAlign w:val="center"/>
          </w:tcPr>
          <w:p w14:paraId="57138B49">
            <w:pPr>
              <w:widowControl/>
              <w:spacing w:line="560" w:lineRule="exact"/>
              <w:jc w:val="center"/>
              <w:rPr>
                <w:rFonts w:hint="eastAsia" w:ascii="宋体" w:hAnsi="宋体" w:cs="宋体"/>
                <w:color w:val="auto"/>
                <w:sz w:val="24"/>
              </w:rPr>
            </w:pPr>
            <w:r>
              <w:rPr>
                <w:rFonts w:hint="eastAsia" w:ascii="宋体" w:hAnsi="宋体" w:cs="宋体"/>
                <w:color w:val="auto"/>
                <w:sz w:val="24"/>
              </w:rPr>
              <w:t>5</w:t>
            </w:r>
          </w:p>
        </w:tc>
        <w:tc>
          <w:tcPr>
            <w:tcW w:w="2220" w:type="dxa"/>
            <w:vAlign w:val="center"/>
          </w:tcPr>
          <w:p w14:paraId="23D3568C">
            <w:pPr>
              <w:widowControl/>
              <w:spacing w:line="560" w:lineRule="exact"/>
              <w:jc w:val="center"/>
              <w:rPr>
                <w:rFonts w:hint="eastAsia" w:ascii="宋体" w:hAnsi="宋体" w:cs="宋体"/>
                <w:color w:val="auto"/>
                <w:sz w:val="24"/>
              </w:rPr>
            </w:pPr>
          </w:p>
        </w:tc>
      </w:tr>
      <w:tr w14:paraId="0950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43" w:type="dxa"/>
            <w:vAlign w:val="center"/>
          </w:tcPr>
          <w:p w14:paraId="4BEEDEDD">
            <w:pPr>
              <w:widowControl/>
              <w:spacing w:line="560" w:lineRule="exact"/>
              <w:jc w:val="center"/>
              <w:rPr>
                <w:rFonts w:hint="eastAsia" w:ascii="宋体" w:hAnsi="宋体" w:cs="宋体"/>
                <w:color w:val="auto"/>
                <w:sz w:val="24"/>
              </w:rPr>
            </w:pPr>
            <w:r>
              <w:rPr>
                <w:rFonts w:hint="eastAsia" w:ascii="宋体" w:hAnsi="宋体" w:cs="宋体"/>
                <w:color w:val="auto"/>
                <w:sz w:val="24"/>
              </w:rPr>
              <w:t>2</w:t>
            </w:r>
          </w:p>
        </w:tc>
        <w:tc>
          <w:tcPr>
            <w:tcW w:w="3341" w:type="dxa"/>
            <w:vAlign w:val="center"/>
          </w:tcPr>
          <w:p w14:paraId="25E8AE29">
            <w:pPr>
              <w:widowControl/>
              <w:spacing w:line="560" w:lineRule="exact"/>
              <w:jc w:val="center"/>
              <w:rPr>
                <w:rFonts w:hint="eastAsia" w:ascii="宋体" w:hAnsi="宋体" w:cs="宋体"/>
                <w:color w:val="auto"/>
                <w:sz w:val="24"/>
              </w:rPr>
            </w:pPr>
            <w:r>
              <w:rPr>
                <w:rFonts w:hint="eastAsia" w:ascii="宋体" w:hAnsi="宋体" w:cs="宋体"/>
                <w:color w:val="auto"/>
                <w:sz w:val="24"/>
              </w:rPr>
              <w:t>固定工作站</w:t>
            </w:r>
          </w:p>
        </w:tc>
        <w:tc>
          <w:tcPr>
            <w:tcW w:w="1265" w:type="dxa"/>
            <w:vAlign w:val="center"/>
          </w:tcPr>
          <w:p w14:paraId="6A6E279E">
            <w:pPr>
              <w:widowControl/>
              <w:spacing w:line="560" w:lineRule="exact"/>
              <w:jc w:val="center"/>
              <w:rPr>
                <w:rFonts w:hint="eastAsia" w:ascii="宋体" w:hAnsi="宋体" w:cs="宋体"/>
                <w:color w:val="auto"/>
                <w:sz w:val="24"/>
              </w:rPr>
            </w:pPr>
            <w:r>
              <w:rPr>
                <w:rFonts w:hint="eastAsia" w:ascii="宋体" w:hAnsi="宋体" w:cs="宋体"/>
                <w:color w:val="auto"/>
                <w:sz w:val="24"/>
              </w:rPr>
              <w:t>个</w:t>
            </w:r>
          </w:p>
        </w:tc>
        <w:tc>
          <w:tcPr>
            <w:tcW w:w="1004" w:type="dxa"/>
            <w:vAlign w:val="center"/>
          </w:tcPr>
          <w:p w14:paraId="1EF2D89A">
            <w:pPr>
              <w:widowControl/>
              <w:spacing w:line="560" w:lineRule="exact"/>
              <w:jc w:val="center"/>
              <w:rPr>
                <w:rFonts w:hint="eastAsia" w:ascii="宋体" w:hAnsi="宋体" w:cs="宋体"/>
                <w:color w:val="auto"/>
                <w:sz w:val="24"/>
              </w:rPr>
            </w:pPr>
            <w:r>
              <w:rPr>
                <w:rFonts w:hint="eastAsia" w:ascii="宋体" w:hAnsi="宋体" w:cs="宋体"/>
                <w:color w:val="auto"/>
                <w:sz w:val="24"/>
              </w:rPr>
              <w:t>5</w:t>
            </w:r>
          </w:p>
        </w:tc>
        <w:tc>
          <w:tcPr>
            <w:tcW w:w="2220" w:type="dxa"/>
            <w:vAlign w:val="center"/>
          </w:tcPr>
          <w:p w14:paraId="656C5D9D">
            <w:pPr>
              <w:widowControl/>
              <w:spacing w:line="560" w:lineRule="exact"/>
              <w:jc w:val="center"/>
              <w:rPr>
                <w:rFonts w:hint="eastAsia" w:ascii="宋体" w:hAnsi="宋体" w:cs="宋体"/>
                <w:color w:val="auto"/>
                <w:sz w:val="24"/>
              </w:rPr>
            </w:pPr>
          </w:p>
        </w:tc>
      </w:tr>
      <w:tr w14:paraId="3F10E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1143" w:type="dxa"/>
            <w:vAlign w:val="center"/>
          </w:tcPr>
          <w:p w14:paraId="6911C69B">
            <w:pPr>
              <w:widowControl/>
              <w:spacing w:line="560" w:lineRule="exact"/>
              <w:jc w:val="center"/>
              <w:rPr>
                <w:rFonts w:hint="eastAsia" w:ascii="宋体" w:hAnsi="宋体" w:cs="宋体"/>
                <w:color w:val="auto"/>
                <w:sz w:val="24"/>
              </w:rPr>
            </w:pPr>
            <w:r>
              <w:rPr>
                <w:rFonts w:hint="eastAsia" w:ascii="宋体" w:hAnsi="宋体" w:cs="宋体"/>
                <w:color w:val="auto"/>
                <w:sz w:val="24"/>
              </w:rPr>
              <w:t>3</w:t>
            </w:r>
          </w:p>
        </w:tc>
        <w:tc>
          <w:tcPr>
            <w:tcW w:w="3341" w:type="dxa"/>
            <w:vAlign w:val="center"/>
          </w:tcPr>
          <w:p w14:paraId="69FD1A6C">
            <w:pPr>
              <w:widowControl/>
              <w:spacing w:line="560" w:lineRule="exact"/>
              <w:jc w:val="center"/>
              <w:rPr>
                <w:rFonts w:hint="eastAsia" w:ascii="宋体" w:hAnsi="宋体" w:cs="宋体"/>
                <w:color w:val="auto"/>
                <w:sz w:val="24"/>
              </w:rPr>
            </w:pPr>
            <w:r>
              <w:rPr>
                <w:rFonts w:hint="eastAsia" w:ascii="宋体" w:hAnsi="宋体" w:cs="宋体"/>
                <w:color w:val="auto"/>
                <w:sz w:val="24"/>
              </w:rPr>
              <w:t>集成电路工程技术人员应用平台标准配件</w:t>
            </w:r>
          </w:p>
        </w:tc>
        <w:tc>
          <w:tcPr>
            <w:tcW w:w="1265" w:type="dxa"/>
            <w:vAlign w:val="center"/>
          </w:tcPr>
          <w:p w14:paraId="2DEB9394">
            <w:pPr>
              <w:widowControl/>
              <w:spacing w:line="560" w:lineRule="exact"/>
              <w:jc w:val="center"/>
              <w:rPr>
                <w:rFonts w:hint="eastAsia" w:ascii="宋体" w:hAnsi="宋体" w:cs="宋体"/>
                <w:color w:val="auto"/>
                <w:sz w:val="24"/>
              </w:rPr>
            </w:pPr>
            <w:r>
              <w:rPr>
                <w:rFonts w:hint="eastAsia" w:ascii="宋体" w:hAnsi="宋体" w:cs="宋体"/>
                <w:color w:val="auto"/>
                <w:sz w:val="24"/>
              </w:rPr>
              <w:t>套</w:t>
            </w:r>
          </w:p>
        </w:tc>
        <w:tc>
          <w:tcPr>
            <w:tcW w:w="1004" w:type="dxa"/>
            <w:vAlign w:val="center"/>
          </w:tcPr>
          <w:p w14:paraId="41894F49">
            <w:pPr>
              <w:widowControl/>
              <w:spacing w:line="560" w:lineRule="exact"/>
              <w:jc w:val="center"/>
              <w:rPr>
                <w:rFonts w:hint="eastAsia" w:ascii="宋体" w:hAnsi="宋体" w:cs="宋体"/>
                <w:color w:val="auto"/>
                <w:sz w:val="24"/>
              </w:rPr>
            </w:pPr>
            <w:r>
              <w:rPr>
                <w:rFonts w:hint="eastAsia" w:ascii="宋体" w:hAnsi="宋体" w:cs="宋体"/>
                <w:color w:val="auto"/>
                <w:sz w:val="24"/>
              </w:rPr>
              <w:t>5</w:t>
            </w:r>
          </w:p>
        </w:tc>
        <w:tc>
          <w:tcPr>
            <w:tcW w:w="2220" w:type="dxa"/>
            <w:vAlign w:val="center"/>
          </w:tcPr>
          <w:p w14:paraId="4BB3780A">
            <w:pPr>
              <w:widowControl/>
              <w:spacing w:line="560" w:lineRule="exact"/>
              <w:jc w:val="center"/>
              <w:rPr>
                <w:rFonts w:hint="eastAsia" w:ascii="宋体" w:hAnsi="宋体" w:cs="宋体"/>
                <w:color w:val="auto"/>
                <w:sz w:val="24"/>
              </w:rPr>
            </w:pPr>
          </w:p>
        </w:tc>
      </w:tr>
    </w:tbl>
    <w:p w14:paraId="076B87E0">
      <w:pPr>
        <w:pStyle w:val="69"/>
        <w:spacing w:line="560" w:lineRule="exact"/>
        <w:ind w:firstLine="634"/>
        <w:rPr>
          <w:rFonts w:ascii="Times New Roman" w:hAnsi="Times New Roman" w:eastAsia="仿宋"/>
          <w:b w:val="0"/>
          <w:bCs w:val="0"/>
          <w:color w:val="auto"/>
          <w:sz w:val="32"/>
          <w:szCs w:val="32"/>
        </w:rPr>
      </w:pPr>
      <w:r>
        <w:rPr>
          <w:rFonts w:hint="eastAsia" w:ascii="Times New Roman" w:hAnsi="Times New Roman" w:eastAsia="仿宋"/>
          <w:b w:val="0"/>
          <w:bCs w:val="0"/>
          <w:color w:val="auto"/>
          <w:sz w:val="32"/>
          <w:szCs w:val="32"/>
        </w:rPr>
        <w:t>2.其他</w:t>
      </w:r>
    </w:p>
    <w:p w14:paraId="43485000">
      <w:pPr>
        <w:spacing w:line="560" w:lineRule="exact"/>
        <w:jc w:val="center"/>
        <w:rPr>
          <w:rFonts w:eastAsia="仿宋"/>
          <w:color w:val="auto"/>
          <w:sz w:val="28"/>
          <w:szCs w:val="28"/>
        </w:rPr>
      </w:pPr>
      <w:r>
        <w:rPr>
          <w:rFonts w:hint="eastAsia" w:ascii="仿宋" w:hAnsi="仿宋" w:eastAsia="仿宋" w:cs="仿宋"/>
          <w:color w:val="auto"/>
          <w:sz w:val="28"/>
          <w:szCs w:val="28"/>
        </w:rPr>
        <w:t>表7  其他</w:t>
      </w:r>
    </w:p>
    <w:tbl>
      <w:tblPr>
        <w:tblStyle w:val="9"/>
        <w:tblW w:w="8414" w:type="dxa"/>
        <w:tblInd w:w="-5" w:type="dxa"/>
        <w:tblLayout w:type="fixed"/>
        <w:tblCellMar>
          <w:top w:w="0" w:type="dxa"/>
          <w:left w:w="108" w:type="dxa"/>
          <w:bottom w:w="0" w:type="dxa"/>
          <w:right w:w="108" w:type="dxa"/>
        </w:tblCellMar>
      </w:tblPr>
      <w:tblGrid>
        <w:gridCol w:w="1148"/>
        <w:gridCol w:w="2989"/>
        <w:gridCol w:w="1877"/>
        <w:gridCol w:w="942"/>
        <w:gridCol w:w="1458"/>
      </w:tblGrid>
      <w:tr w14:paraId="1CA25A36">
        <w:tblPrEx>
          <w:tblCellMar>
            <w:top w:w="0" w:type="dxa"/>
            <w:left w:w="108" w:type="dxa"/>
            <w:bottom w:w="0" w:type="dxa"/>
            <w:right w:w="108" w:type="dxa"/>
          </w:tblCellMar>
        </w:tblPrEx>
        <w:trPr>
          <w:trHeight w:val="1361" w:hRule="atLeast"/>
        </w:trPr>
        <w:tc>
          <w:tcPr>
            <w:tcW w:w="1148" w:type="dxa"/>
            <w:tcBorders>
              <w:top w:val="single" w:color="auto" w:sz="4" w:space="0"/>
              <w:left w:val="single" w:color="auto" w:sz="4" w:space="0"/>
              <w:bottom w:val="single" w:color="auto" w:sz="4" w:space="0"/>
              <w:right w:val="single" w:color="auto" w:sz="4" w:space="0"/>
            </w:tcBorders>
            <w:vAlign w:val="center"/>
          </w:tcPr>
          <w:p w14:paraId="4831EF9C">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序号</w:t>
            </w:r>
          </w:p>
        </w:tc>
        <w:tc>
          <w:tcPr>
            <w:tcW w:w="2989" w:type="dxa"/>
            <w:tcBorders>
              <w:top w:val="single" w:color="auto" w:sz="4" w:space="0"/>
              <w:left w:val="nil"/>
              <w:bottom w:val="single" w:color="auto" w:sz="4" w:space="0"/>
              <w:right w:val="single" w:color="auto" w:sz="4" w:space="0"/>
            </w:tcBorders>
            <w:vAlign w:val="center"/>
          </w:tcPr>
          <w:p w14:paraId="3EC204D2">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名称</w:t>
            </w:r>
          </w:p>
        </w:tc>
        <w:tc>
          <w:tcPr>
            <w:tcW w:w="1877" w:type="dxa"/>
            <w:tcBorders>
              <w:top w:val="single" w:color="auto" w:sz="4" w:space="0"/>
              <w:left w:val="nil"/>
              <w:bottom w:val="single" w:color="auto" w:sz="4" w:space="0"/>
              <w:right w:val="single" w:color="auto" w:sz="4" w:space="0"/>
            </w:tcBorders>
            <w:vAlign w:val="center"/>
          </w:tcPr>
          <w:p w14:paraId="343FBB44">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规格型号</w:t>
            </w:r>
          </w:p>
          <w:p w14:paraId="0BFFE46A">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（品牌）</w:t>
            </w:r>
          </w:p>
        </w:tc>
        <w:tc>
          <w:tcPr>
            <w:tcW w:w="942" w:type="dxa"/>
            <w:tcBorders>
              <w:top w:val="single" w:color="auto" w:sz="4" w:space="0"/>
              <w:left w:val="nil"/>
              <w:bottom w:val="single" w:color="auto" w:sz="4" w:space="0"/>
              <w:right w:val="single" w:color="auto" w:sz="4" w:space="0"/>
            </w:tcBorders>
            <w:vAlign w:val="center"/>
          </w:tcPr>
          <w:p w14:paraId="72EA7FA3">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单位</w:t>
            </w:r>
          </w:p>
        </w:tc>
        <w:tc>
          <w:tcPr>
            <w:tcW w:w="1458" w:type="dxa"/>
            <w:tcBorders>
              <w:top w:val="single" w:color="auto" w:sz="4" w:space="0"/>
              <w:left w:val="nil"/>
              <w:bottom w:val="single" w:color="auto" w:sz="4" w:space="0"/>
              <w:right w:val="single" w:color="auto" w:sz="4" w:space="0"/>
            </w:tcBorders>
            <w:vAlign w:val="center"/>
          </w:tcPr>
          <w:p w14:paraId="292F74D8">
            <w:pPr>
              <w:widowControl/>
              <w:spacing w:line="560" w:lineRule="exact"/>
              <w:jc w:val="center"/>
              <w:rPr>
                <w:rFonts w:hint="eastAsia" w:ascii="宋体" w:hAnsi="宋体" w:cs="宋体"/>
                <w:b/>
                <w:bCs/>
                <w:color w:val="auto"/>
                <w:sz w:val="24"/>
              </w:rPr>
            </w:pPr>
            <w:r>
              <w:rPr>
                <w:rFonts w:hint="eastAsia" w:ascii="宋体" w:hAnsi="宋体" w:cs="宋体"/>
                <w:b/>
                <w:bCs/>
                <w:color w:val="auto"/>
                <w:sz w:val="24"/>
              </w:rPr>
              <w:t>数量</w:t>
            </w:r>
          </w:p>
        </w:tc>
      </w:tr>
      <w:tr w14:paraId="671662A1">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5F709543">
            <w:pPr>
              <w:widowControl/>
              <w:spacing w:line="560" w:lineRule="exact"/>
              <w:jc w:val="center"/>
              <w:rPr>
                <w:rFonts w:hint="eastAsia" w:ascii="宋体" w:hAnsi="宋体" w:cs="宋体"/>
                <w:color w:val="auto"/>
                <w:sz w:val="24"/>
              </w:rPr>
            </w:pPr>
            <w:r>
              <w:rPr>
                <w:rFonts w:hint="eastAsia" w:ascii="宋体" w:hAnsi="宋体" w:cs="宋体"/>
                <w:color w:val="auto"/>
                <w:sz w:val="24"/>
              </w:rPr>
              <w:t>1</w:t>
            </w:r>
          </w:p>
        </w:tc>
        <w:tc>
          <w:tcPr>
            <w:tcW w:w="2989" w:type="dxa"/>
            <w:tcBorders>
              <w:top w:val="single" w:color="auto" w:sz="4" w:space="0"/>
              <w:left w:val="single" w:color="auto" w:sz="4" w:space="0"/>
              <w:bottom w:val="single" w:color="auto" w:sz="4" w:space="0"/>
              <w:right w:val="single" w:color="auto" w:sz="4" w:space="0"/>
            </w:tcBorders>
            <w:vAlign w:val="center"/>
          </w:tcPr>
          <w:p w14:paraId="7D1B2326">
            <w:pPr>
              <w:widowControl/>
              <w:spacing w:line="560" w:lineRule="exact"/>
              <w:jc w:val="center"/>
              <w:rPr>
                <w:rFonts w:hint="eastAsia" w:ascii="宋体" w:hAnsi="宋体" w:cs="宋体"/>
                <w:color w:val="auto"/>
                <w:sz w:val="24"/>
              </w:rPr>
            </w:pPr>
            <w:r>
              <w:rPr>
                <w:rFonts w:hint="eastAsia" w:ascii="宋体" w:hAnsi="宋体" w:cs="宋体"/>
                <w:color w:val="auto"/>
                <w:sz w:val="24"/>
              </w:rPr>
              <w:t>U盘</w:t>
            </w:r>
          </w:p>
        </w:tc>
        <w:tc>
          <w:tcPr>
            <w:tcW w:w="1877" w:type="dxa"/>
            <w:tcBorders>
              <w:top w:val="single" w:color="auto" w:sz="4" w:space="0"/>
              <w:left w:val="single" w:color="auto" w:sz="4" w:space="0"/>
              <w:bottom w:val="single" w:color="auto" w:sz="4" w:space="0"/>
              <w:right w:val="single" w:color="auto" w:sz="4" w:space="0"/>
            </w:tcBorders>
            <w:vAlign w:val="center"/>
          </w:tcPr>
          <w:p w14:paraId="152053A8">
            <w:pPr>
              <w:widowControl/>
              <w:spacing w:line="560" w:lineRule="exact"/>
              <w:jc w:val="center"/>
              <w:rPr>
                <w:rFonts w:hint="eastAsia" w:ascii="宋体" w:hAnsi="宋体" w:cs="宋体"/>
                <w:color w:val="auto"/>
                <w:sz w:val="24"/>
              </w:rPr>
            </w:pPr>
            <w:r>
              <w:rPr>
                <w:rFonts w:hint="eastAsia" w:ascii="宋体" w:hAnsi="宋体" w:cs="宋体"/>
                <w:color w:val="auto"/>
                <w:sz w:val="24"/>
              </w:rPr>
              <w:t>32G</w:t>
            </w:r>
          </w:p>
        </w:tc>
        <w:tc>
          <w:tcPr>
            <w:tcW w:w="942" w:type="dxa"/>
            <w:tcBorders>
              <w:top w:val="single" w:color="auto" w:sz="4" w:space="0"/>
              <w:left w:val="single" w:color="auto" w:sz="4" w:space="0"/>
              <w:bottom w:val="single" w:color="auto" w:sz="4" w:space="0"/>
              <w:right w:val="single" w:color="auto" w:sz="4" w:space="0"/>
            </w:tcBorders>
            <w:vAlign w:val="center"/>
          </w:tcPr>
          <w:p w14:paraId="14360869">
            <w:pPr>
              <w:widowControl/>
              <w:spacing w:line="560" w:lineRule="exact"/>
              <w:jc w:val="center"/>
              <w:rPr>
                <w:rFonts w:hint="eastAsia" w:ascii="宋体" w:hAnsi="宋体" w:cs="宋体"/>
                <w:color w:val="auto"/>
                <w:sz w:val="24"/>
              </w:rPr>
            </w:pPr>
            <w:r>
              <w:rPr>
                <w:rFonts w:hint="eastAsia" w:ascii="宋体" w:hAnsi="宋体" w:cs="宋体"/>
                <w:color w:val="auto"/>
                <w:sz w:val="24"/>
              </w:rPr>
              <w:t>个</w:t>
            </w:r>
          </w:p>
        </w:tc>
        <w:tc>
          <w:tcPr>
            <w:tcW w:w="1458" w:type="dxa"/>
            <w:tcBorders>
              <w:top w:val="single" w:color="auto" w:sz="4" w:space="0"/>
              <w:left w:val="single" w:color="auto" w:sz="4" w:space="0"/>
              <w:bottom w:val="single" w:color="auto" w:sz="4" w:space="0"/>
              <w:right w:val="single" w:color="auto" w:sz="4" w:space="0"/>
            </w:tcBorders>
            <w:vAlign w:val="center"/>
          </w:tcPr>
          <w:p w14:paraId="77ED5658">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r w14:paraId="014E35AB">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60D2B3A5">
            <w:pPr>
              <w:widowControl/>
              <w:spacing w:line="560" w:lineRule="exact"/>
              <w:jc w:val="center"/>
              <w:rPr>
                <w:rFonts w:hint="eastAsia" w:ascii="宋体" w:hAnsi="宋体" w:cs="宋体"/>
                <w:color w:val="auto"/>
                <w:sz w:val="24"/>
              </w:rPr>
            </w:pPr>
            <w:r>
              <w:rPr>
                <w:rFonts w:hint="eastAsia" w:ascii="宋体" w:hAnsi="宋体" w:cs="宋体"/>
                <w:color w:val="auto"/>
                <w:sz w:val="24"/>
              </w:rPr>
              <w:t>2</w:t>
            </w:r>
          </w:p>
        </w:tc>
        <w:tc>
          <w:tcPr>
            <w:tcW w:w="2989" w:type="dxa"/>
            <w:tcBorders>
              <w:top w:val="single" w:color="auto" w:sz="4" w:space="0"/>
              <w:left w:val="single" w:color="auto" w:sz="4" w:space="0"/>
              <w:bottom w:val="single" w:color="auto" w:sz="4" w:space="0"/>
              <w:right w:val="single" w:color="auto" w:sz="4" w:space="0"/>
            </w:tcBorders>
            <w:vAlign w:val="center"/>
          </w:tcPr>
          <w:p w14:paraId="0E42B622">
            <w:pPr>
              <w:widowControl/>
              <w:spacing w:line="560" w:lineRule="exact"/>
              <w:jc w:val="center"/>
              <w:rPr>
                <w:rFonts w:hint="eastAsia" w:ascii="宋体" w:hAnsi="宋体" w:cs="宋体"/>
                <w:color w:val="auto"/>
                <w:sz w:val="24"/>
              </w:rPr>
            </w:pPr>
            <w:r>
              <w:rPr>
                <w:rFonts w:hint="eastAsia" w:ascii="宋体" w:hAnsi="宋体" w:cs="宋体"/>
                <w:color w:val="auto"/>
                <w:sz w:val="24"/>
              </w:rPr>
              <w:t>固定工作站</w:t>
            </w:r>
          </w:p>
        </w:tc>
        <w:tc>
          <w:tcPr>
            <w:tcW w:w="1877" w:type="dxa"/>
            <w:tcBorders>
              <w:top w:val="single" w:color="auto" w:sz="4" w:space="0"/>
              <w:left w:val="single" w:color="auto" w:sz="4" w:space="0"/>
              <w:bottom w:val="single" w:color="auto" w:sz="4" w:space="0"/>
              <w:right w:val="single" w:color="auto" w:sz="4" w:space="0"/>
            </w:tcBorders>
            <w:vAlign w:val="center"/>
          </w:tcPr>
          <w:p w14:paraId="3051ED20">
            <w:pPr>
              <w:widowControl/>
              <w:spacing w:line="560" w:lineRule="exact"/>
              <w:jc w:val="center"/>
              <w:rPr>
                <w:rFonts w:hint="eastAsia" w:ascii="宋体" w:hAnsi="宋体" w:cs="宋体"/>
                <w:color w:val="auto"/>
                <w:sz w:val="24"/>
              </w:rPr>
            </w:pPr>
            <w:r>
              <w:rPr>
                <w:rFonts w:hint="eastAsia" w:ascii="宋体" w:hAnsi="宋体" w:cs="宋体"/>
                <w:color w:val="auto"/>
                <w:sz w:val="24"/>
              </w:rPr>
              <w:t>通用型</w:t>
            </w:r>
          </w:p>
        </w:tc>
        <w:tc>
          <w:tcPr>
            <w:tcW w:w="942" w:type="dxa"/>
            <w:tcBorders>
              <w:top w:val="single" w:color="auto" w:sz="4" w:space="0"/>
              <w:left w:val="single" w:color="auto" w:sz="4" w:space="0"/>
              <w:bottom w:val="single" w:color="auto" w:sz="4" w:space="0"/>
              <w:right w:val="single" w:color="auto" w:sz="4" w:space="0"/>
            </w:tcBorders>
            <w:vAlign w:val="center"/>
          </w:tcPr>
          <w:p w14:paraId="5202B5FF">
            <w:pPr>
              <w:widowControl/>
              <w:spacing w:line="560" w:lineRule="exact"/>
              <w:jc w:val="center"/>
              <w:rPr>
                <w:rFonts w:hint="eastAsia" w:ascii="宋体" w:hAnsi="宋体" w:cs="宋体"/>
                <w:color w:val="auto"/>
                <w:sz w:val="24"/>
              </w:rPr>
            </w:pPr>
            <w:r>
              <w:rPr>
                <w:rFonts w:hint="eastAsia" w:ascii="宋体" w:hAnsi="宋体" w:cs="宋体"/>
                <w:color w:val="auto"/>
                <w:sz w:val="24"/>
              </w:rPr>
              <w:t>台</w:t>
            </w:r>
          </w:p>
        </w:tc>
        <w:tc>
          <w:tcPr>
            <w:tcW w:w="1458" w:type="dxa"/>
            <w:tcBorders>
              <w:top w:val="single" w:color="auto" w:sz="4" w:space="0"/>
              <w:left w:val="single" w:color="auto" w:sz="4" w:space="0"/>
              <w:bottom w:val="single" w:color="auto" w:sz="4" w:space="0"/>
              <w:right w:val="single" w:color="auto" w:sz="4" w:space="0"/>
            </w:tcBorders>
            <w:vAlign w:val="center"/>
          </w:tcPr>
          <w:p w14:paraId="4D0CDB84">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r w14:paraId="01445A05">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4C475681">
            <w:pPr>
              <w:widowControl/>
              <w:spacing w:line="560" w:lineRule="exact"/>
              <w:jc w:val="center"/>
              <w:rPr>
                <w:rFonts w:hint="eastAsia" w:ascii="宋体" w:hAnsi="宋体" w:cs="宋体"/>
                <w:color w:val="auto"/>
                <w:sz w:val="24"/>
              </w:rPr>
            </w:pPr>
            <w:r>
              <w:rPr>
                <w:rFonts w:hint="eastAsia" w:ascii="宋体" w:hAnsi="宋体" w:cs="宋体"/>
                <w:color w:val="auto"/>
                <w:sz w:val="24"/>
              </w:rPr>
              <w:t>3</w:t>
            </w:r>
          </w:p>
        </w:tc>
        <w:tc>
          <w:tcPr>
            <w:tcW w:w="2989" w:type="dxa"/>
            <w:tcBorders>
              <w:top w:val="single" w:color="auto" w:sz="4" w:space="0"/>
              <w:left w:val="single" w:color="auto" w:sz="4" w:space="0"/>
              <w:bottom w:val="single" w:color="auto" w:sz="4" w:space="0"/>
              <w:right w:val="single" w:color="auto" w:sz="4" w:space="0"/>
            </w:tcBorders>
            <w:vAlign w:val="center"/>
          </w:tcPr>
          <w:p w14:paraId="67CE7624">
            <w:pPr>
              <w:widowControl/>
              <w:spacing w:line="560" w:lineRule="exact"/>
              <w:jc w:val="center"/>
              <w:rPr>
                <w:rFonts w:hint="eastAsia" w:ascii="宋体" w:hAnsi="宋体" w:cs="宋体"/>
                <w:color w:val="auto"/>
                <w:sz w:val="24"/>
              </w:rPr>
            </w:pPr>
            <w:r>
              <w:rPr>
                <w:rFonts w:hint="eastAsia" w:ascii="宋体" w:hAnsi="宋体" w:cs="宋体"/>
                <w:color w:val="auto"/>
                <w:sz w:val="24"/>
              </w:rPr>
              <w:t>工作台</w:t>
            </w:r>
          </w:p>
        </w:tc>
        <w:tc>
          <w:tcPr>
            <w:tcW w:w="1877" w:type="dxa"/>
            <w:tcBorders>
              <w:top w:val="single" w:color="auto" w:sz="4" w:space="0"/>
              <w:left w:val="single" w:color="auto" w:sz="4" w:space="0"/>
              <w:bottom w:val="single" w:color="auto" w:sz="4" w:space="0"/>
              <w:right w:val="single" w:color="auto" w:sz="4" w:space="0"/>
            </w:tcBorders>
            <w:vAlign w:val="center"/>
          </w:tcPr>
          <w:p w14:paraId="769736C4">
            <w:pPr>
              <w:widowControl/>
              <w:spacing w:line="560" w:lineRule="exact"/>
              <w:jc w:val="center"/>
              <w:rPr>
                <w:rFonts w:hint="eastAsia" w:ascii="宋体" w:hAnsi="宋体" w:cs="宋体"/>
                <w:color w:val="auto"/>
                <w:sz w:val="24"/>
              </w:rPr>
            </w:pPr>
            <w:r>
              <w:rPr>
                <w:rFonts w:hint="eastAsia" w:ascii="宋体" w:hAnsi="宋体" w:cs="宋体"/>
                <w:color w:val="auto"/>
                <w:sz w:val="24"/>
              </w:rPr>
              <w:t>通用型</w:t>
            </w:r>
          </w:p>
        </w:tc>
        <w:tc>
          <w:tcPr>
            <w:tcW w:w="942" w:type="dxa"/>
            <w:tcBorders>
              <w:top w:val="single" w:color="auto" w:sz="4" w:space="0"/>
              <w:left w:val="single" w:color="auto" w:sz="4" w:space="0"/>
              <w:bottom w:val="single" w:color="auto" w:sz="4" w:space="0"/>
              <w:right w:val="single" w:color="auto" w:sz="4" w:space="0"/>
            </w:tcBorders>
            <w:vAlign w:val="center"/>
          </w:tcPr>
          <w:p w14:paraId="221CE86D">
            <w:pPr>
              <w:widowControl/>
              <w:spacing w:line="560" w:lineRule="exact"/>
              <w:jc w:val="center"/>
              <w:rPr>
                <w:rFonts w:hint="eastAsia" w:ascii="宋体" w:hAnsi="宋体" w:cs="宋体"/>
                <w:color w:val="auto"/>
                <w:sz w:val="24"/>
              </w:rPr>
            </w:pPr>
            <w:r>
              <w:rPr>
                <w:rFonts w:hint="eastAsia" w:ascii="宋体" w:hAnsi="宋体" w:cs="宋体"/>
                <w:color w:val="auto"/>
                <w:sz w:val="24"/>
              </w:rPr>
              <w:t>台</w:t>
            </w:r>
          </w:p>
        </w:tc>
        <w:tc>
          <w:tcPr>
            <w:tcW w:w="1458" w:type="dxa"/>
            <w:tcBorders>
              <w:top w:val="single" w:color="auto" w:sz="4" w:space="0"/>
              <w:left w:val="single" w:color="auto" w:sz="4" w:space="0"/>
              <w:bottom w:val="single" w:color="auto" w:sz="4" w:space="0"/>
              <w:right w:val="single" w:color="auto" w:sz="4" w:space="0"/>
            </w:tcBorders>
            <w:vAlign w:val="center"/>
          </w:tcPr>
          <w:p w14:paraId="4A0D74BD">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r w14:paraId="0F1F90E0">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57C53833">
            <w:pPr>
              <w:widowControl/>
              <w:spacing w:line="560" w:lineRule="exact"/>
              <w:jc w:val="center"/>
              <w:rPr>
                <w:rFonts w:hint="eastAsia" w:ascii="宋体" w:hAnsi="宋体" w:cs="宋体"/>
                <w:color w:val="auto"/>
                <w:sz w:val="24"/>
              </w:rPr>
            </w:pPr>
            <w:r>
              <w:rPr>
                <w:rFonts w:hint="eastAsia" w:ascii="宋体" w:hAnsi="宋体" w:cs="宋体"/>
                <w:color w:val="auto"/>
                <w:sz w:val="24"/>
              </w:rPr>
              <w:t>4</w:t>
            </w:r>
          </w:p>
        </w:tc>
        <w:tc>
          <w:tcPr>
            <w:tcW w:w="2989" w:type="dxa"/>
            <w:tcBorders>
              <w:top w:val="single" w:color="auto" w:sz="4" w:space="0"/>
              <w:left w:val="single" w:color="auto" w:sz="4" w:space="0"/>
              <w:bottom w:val="single" w:color="auto" w:sz="4" w:space="0"/>
              <w:right w:val="single" w:color="auto" w:sz="4" w:space="0"/>
            </w:tcBorders>
            <w:vAlign w:val="center"/>
          </w:tcPr>
          <w:p w14:paraId="4409D0F9">
            <w:pPr>
              <w:widowControl/>
              <w:spacing w:line="560" w:lineRule="exact"/>
              <w:jc w:val="center"/>
              <w:rPr>
                <w:rFonts w:hint="eastAsia" w:ascii="宋体" w:hAnsi="宋体" w:cs="宋体"/>
                <w:color w:val="auto"/>
                <w:sz w:val="24"/>
              </w:rPr>
            </w:pPr>
            <w:r>
              <w:rPr>
                <w:rFonts w:hint="eastAsia" w:ascii="宋体" w:hAnsi="宋体" w:cs="宋体"/>
                <w:color w:val="auto"/>
                <w:sz w:val="24"/>
              </w:rPr>
              <w:t>接线板</w:t>
            </w:r>
          </w:p>
        </w:tc>
        <w:tc>
          <w:tcPr>
            <w:tcW w:w="1877" w:type="dxa"/>
            <w:tcBorders>
              <w:top w:val="single" w:color="auto" w:sz="4" w:space="0"/>
              <w:left w:val="single" w:color="auto" w:sz="4" w:space="0"/>
              <w:bottom w:val="single" w:color="auto" w:sz="4" w:space="0"/>
              <w:right w:val="single" w:color="auto" w:sz="4" w:space="0"/>
            </w:tcBorders>
            <w:vAlign w:val="center"/>
          </w:tcPr>
          <w:p w14:paraId="47A2AF22">
            <w:pPr>
              <w:widowControl/>
              <w:spacing w:line="560" w:lineRule="exact"/>
              <w:jc w:val="center"/>
              <w:rPr>
                <w:rFonts w:hint="eastAsia" w:ascii="宋体" w:hAnsi="宋体" w:cs="宋体"/>
                <w:color w:val="auto"/>
                <w:sz w:val="24"/>
              </w:rPr>
            </w:pPr>
            <w:r>
              <w:rPr>
                <w:rFonts w:hint="eastAsia" w:ascii="宋体" w:hAnsi="宋体" w:cs="宋体"/>
                <w:color w:val="auto"/>
                <w:sz w:val="24"/>
              </w:rPr>
              <w:t>公牛10米</w:t>
            </w:r>
          </w:p>
        </w:tc>
        <w:tc>
          <w:tcPr>
            <w:tcW w:w="942" w:type="dxa"/>
            <w:tcBorders>
              <w:top w:val="single" w:color="auto" w:sz="4" w:space="0"/>
              <w:left w:val="single" w:color="auto" w:sz="4" w:space="0"/>
              <w:bottom w:val="single" w:color="auto" w:sz="4" w:space="0"/>
              <w:right w:val="single" w:color="auto" w:sz="4" w:space="0"/>
            </w:tcBorders>
            <w:vAlign w:val="center"/>
          </w:tcPr>
          <w:p w14:paraId="47257A8D">
            <w:pPr>
              <w:widowControl/>
              <w:spacing w:line="560" w:lineRule="exact"/>
              <w:jc w:val="center"/>
              <w:rPr>
                <w:rFonts w:hint="eastAsia" w:ascii="宋体" w:hAnsi="宋体" w:cs="宋体"/>
                <w:color w:val="auto"/>
                <w:sz w:val="24"/>
              </w:rPr>
            </w:pPr>
            <w:r>
              <w:rPr>
                <w:rFonts w:hint="eastAsia" w:ascii="宋体" w:hAnsi="宋体" w:cs="宋体"/>
                <w:color w:val="auto"/>
                <w:sz w:val="24"/>
              </w:rPr>
              <w:t>只</w:t>
            </w:r>
          </w:p>
        </w:tc>
        <w:tc>
          <w:tcPr>
            <w:tcW w:w="1458" w:type="dxa"/>
            <w:tcBorders>
              <w:top w:val="single" w:color="auto" w:sz="4" w:space="0"/>
              <w:left w:val="single" w:color="auto" w:sz="4" w:space="0"/>
              <w:bottom w:val="single" w:color="auto" w:sz="4" w:space="0"/>
              <w:right w:val="single" w:color="auto" w:sz="4" w:space="0"/>
            </w:tcBorders>
            <w:vAlign w:val="center"/>
          </w:tcPr>
          <w:p w14:paraId="03DB4CD7">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r w14:paraId="0E8668F4">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4905A0C4">
            <w:pPr>
              <w:widowControl/>
              <w:spacing w:line="560" w:lineRule="exact"/>
              <w:jc w:val="center"/>
              <w:rPr>
                <w:rFonts w:hint="eastAsia" w:ascii="宋体" w:hAnsi="宋体" w:cs="宋体"/>
                <w:color w:val="auto"/>
                <w:sz w:val="24"/>
              </w:rPr>
            </w:pPr>
            <w:r>
              <w:rPr>
                <w:rFonts w:hint="eastAsia" w:ascii="宋体" w:hAnsi="宋体" w:cs="宋体"/>
                <w:color w:val="auto"/>
                <w:sz w:val="24"/>
              </w:rPr>
              <w:t>5</w:t>
            </w:r>
          </w:p>
        </w:tc>
        <w:tc>
          <w:tcPr>
            <w:tcW w:w="2989" w:type="dxa"/>
            <w:tcBorders>
              <w:top w:val="single" w:color="auto" w:sz="4" w:space="0"/>
              <w:left w:val="single" w:color="auto" w:sz="4" w:space="0"/>
              <w:bottom w:val="single" w:color="auto" w:sz="4" w:space="0"/>
              <w:right w:val="single" w:color="auto" w:sz="4" w:space="0"/>
            </w:tcBorders>
            <w:noWrap/>
            <w:vAlign w:val="center"/>
          </w:tcPr>
          <w:p w14:paraId="77F54C4D">
            <w:pPr>
              <w:widowControl/>
              <w:spacing w:line="560" w:lineRule="exact"/>
              <w:jc w:val="center"/>
              <w:rPr>
                <w:rFonts w:hint="eastAsia" w:ascii="宋体" w:hAnsi="宋体" w:cs="宋体"/>
                <w:color w:val="auto"/>
                <w:sz w:val="24"/>
              </w:rPr>
            </w:pPr>
            <w:r>
              <w:rPr>
                <w:rFonts w:hint="eastAsia" w:ascii="宋体" w:hAnsi="宋体" w:cs="宋体"/>
                <w:color w:val="auto"/>
                <w:sz w:val="24"/>
              </w:rPr>
              <w:t>裁判桌/椅</w:t>
            </w:r>
          </w:p>
        </w:tc>
        <w:tc>
          <w:tcPr>
            <w:tcW w:w="1877" w:type="dxa"/>
            <w:tcBorders>
              <w:top w:val="single" w:color="auto" w:sz="4" w:space="0"/>
              <w:left w:val="single" w:color="auto" w:sz="4" w:space="0"/>
              <w:bottom w:val="single" w:color="auto" w:sz="4" w:space="0"/>
              <w:right w:val="single" w:color="auto" w:sz="4" w:space="0"/>
            </w:tcBorders>
            <w:vAlign w:val="center"/>
          </w:tcPr>
          <w:p w14:paraId="187D22A8">
            <w:pPr>
              <w:widowControl/>
              <w:spacing w:line="560" w:lineRule="exact"/>
              <w:jc w:val="center"/>
              <w:rPr>
                <w:rFonts w:hint="eastAsia" w:ascii="宋体" w:hAnsi="宋体" w:cs="宋体"/>
                <w:color w:val="auto"/>
                <w:sz w:val="24"/>
              </w:rPr>
            </w:pPr>
            <w:r>
              <w:rPr>
                <w:rFonts w:hint="eastAsia" w:ascii="宋体" w:hAnsi="宋体" w:cs="宋体"/>
                <w:color w:val="auto"/>
                <w:sz w:val="24"/>
              </w:rPr>
              <w:t>通用型</w:t>
            </w:r>
          </w:p>
        </w:tc>
        <w:tc>
          <w:tcPr>
            <w:tcW w:w="942" w:type="dxa"/>
            <w:tcBorders>
              <w:top w:val="single" w:color="auto" w:sz="4" w:space="0"/>
              <w:left w:val="single" w:color="auto" w:sz="4" w:space="0"/>
              <w:bottom w:val="single" w:color="auto" w:sz="4" w:space="0"/>
              <w:right w:val="single" w:color="auto" w:sz="4" w:space="0"/>
            </w:tcBorders>
            <w:vAlign w:val="center"/>
          </w:tcPr>
          <w:p w14:paraId="13A7441A">
            <w:pPr>
              <w:widowControl/>
              <w:spacing w:line="560" w:lineRule="exact"/>
              <w:jc w:val="center"/>
              <w:rPr>
                <w:rFonts w:hint="eastAsia" w:ascii="宋体" w:hAnsi="宋体" w:cs="宋体"/>
                <w:color w:val="auto"/>
                <w:sz w:val="24"/>
              </w:rPr>
            </w:pPr>
            <w:r>
              <w:rPr>
                <w:rFonts w:hint="eastAsia" w:ascii="宋体" w:hAnsi="宋体" w:cs="宋体"/>
                <w:color w:val="auto"/>
                <w:sz w:val="24"/>
              </w:rPr>
              <w:t>套</w:t>
            </w:r>
          </w:p>
        </w:tc>
        <w:tc>
          <w:tcPr>
            <w:tcW w:w="1458" w:type="dxa"/>
            <w:tcBorders>
              <w:top w:val="single" w:color="auto" w:sz="4" w:space="0"/>
              <w:left w:val="single" w:color="auto" w:sz="4" w:space="0"/>
              <w:bottom w:val="single" w:color="auto" w:sz="4" w:space="0"/>
              <w:right w:val="single" w:color="auto" w:sz="4" w:space="0"/>
            </w:tcBorders>
            <w:vAlign w:val="center"/>
          </w:tcPr>
          <w:p w14:paraId="12EC4E59">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r w14:paraId="2739264E">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55750A18">
            <w:pPr>
              <w:widowControl/>
              <w:spacing w:line="560" w:lineRule="exact"/>
              <w:jc w:val="center"/>
              <w:rPr>
                <w:rFonts w:hint="eastAsia" w:ascii="宋体" w:hAnsi="宋体" w:cs="宋体"/>
                <w:color w:val="auto"/>
                <w:sz w:val="24"/>
              </w:rPr>
            </w:pPr>
            <w:r>
              <w:rPr>
                <w:rFonts w:hint="eastAsia" w:ascii="宋体" w:hAnsi="宋体" w:cs="宋体"/>
                <w:color w:val="auto"/>
                <w:sz w:val="24"/>
              </w:rPr>
              <w:t>6</w:t>
            </w:r>
          </w:p>
        </w:tc>
        <w:tc>
          <w:tcPr>
            <w:tcW w:w="2989" w:type="dxa"/>
            <w:tcBorders>
              <w:top w:val="single" w:color="auto" w:sz="4" w:space="0"/>
              <w:left w:val="single" w:color="auto" w:sz="4" w:space="0"/>
              <w:bottom w:val="single" w:color="auto" w:sz="4" w:space="0"/>
              <w:right w:val="single" w:color="auto" w:sz="4" w:space="0"/>
            </w:tcBorders>
            <w:noWrap/>
            <w:vAlign w:val="center"/>
          </w:tcPr>
          <w:p w14:paraId="06111011">
            <w:pPr>
              <w:widowControl/>
              <w:spacing w:line="560" w:lineRule="exact"/>
              <w:jc w:val="center"/>
              <w:rPr>
                <w:rFonts w:hint="eastAsia" w:ascii="宋体" w:hAnsi="宋体" w:cs="宋体"/>
                <w:color w:val="auto"/>
                <w:sz w:val="24"/>
              </w:rPr>
            </w:pPr>
            <w:r>
              <w:rPr>
                <w:rFonts w:hint="eastAsia" w:ascii="宋体" w:hAnsi="宋体" w:cs="宋体"/>
                <w:color w:val="auto"/>
                <w:sz w:val="24"/>
              </w:rPr>
              <w:t>选手桌/椅</w:t>
            </w:r>
          </w:p>
        </w:tc>
        <w:tc>
          <w:tcPr>
            <w:tcW w:w="1877" w:type="dxa"/>
            <w:tcBorders>
              <w:top w:val="single" w:color="auto" w:sz="4" w:space="0"/>
              <w:left w:val="single" w:color="auto" w:sz="4" w:space="0"/>
              <w:bottom w:val="single" w:color="auto" w:sz="4" w:space="0"/>
              <w:right w:val="single" w:color="auto" w:sz="4" w:space="0"/>
            </w:tcBorders>
            <w:vAlign w:val="center"/>
          </w:tcPr>
          <w:p w14:paraId="57A20B61">
            <w:pPr>
              <w:widowControl/>
              <w:spacing w:line="560" w:lineRule="exact"/>
              <w:jc w:val="center"/>
              <w:rPr>
                <w:rFonts w:hint="eastAsia" w:ascii="宋体" w:hAnsi="宋体" w:cs="宋体"/>
                <w:color w:val="auto"/>
                <w:sz w:val="24"/>
              </w:rPr>
            </w:pPr>
            <w:r>
              <w:rPr>
                <w:rFonts w:hint="eastAsia" w:ascii="宋体" w:hAnsi="宋体" w:cs="宋体"/>
                <w:color w:val="auto"/>
                <w:sz w:val="24"/>
              </w:rPr>
              <w:t>通用型</w:t>
            </w:r>
          </w:p>
        </w:tc>
        <w:tc>
          <w:tcPr>
            <w:tcW w:w="942" w:type="dxa"/>
            <w:tcBorders>
              <w:top w:val="single" w:color="auto" w:sz="4" w:space="0"/>
              <w:left w:val="single" w:color="auto" w:sz="4" w:space="0"/>
              <w:bottom w:val="single" w:color="auto" w:sz="4" w:space="0"/>
              <w:right w:val="single" w:color="auto" w:sz="4" w:space="0"/>
            </w:tcBorders>
            <w:vAlign w:val="center"/>
          </w:tcPr>
          <w:p w14:paraId="7E9B72B5">
            <w:pPr>
              <w:widowControl/>
              <w:spacing w:line="560" w:lineRule="exact"/>
              <w:jc w:val="center"/>
              <w:rPr>
                <w:rFonts w:hint="eastAsia" w:ascii="宋体" w:hAnsi="宋体" w:cs="宋体"/>
                <w:color w:val="auto"/>
                <w:sz w:val="24"/>
              </w:rPr>
            </w:pPr>
            <w:r>
              <w:rPr>
                <w:rFonts w:hint="eastAsia" w:ascii="宋体" w:hAnsi="宋体" w:cs="宋体"/>
                <w:color w:val="auto"/>
                <w:sz w:val="24"/>
              </w:rPr>
              <w:t>套</w:t>
            </w:r>
          </w:p>
        </w:tc>
        <w:tc>
          <w:tcPr>
            <w:tcW w:w="1458" w:type="dxa"/>
            <w:tcBorders>
              <w:top w:val="single" w:color="auto" w:sz="4" w:space="0"/>
              <w:left w:val="single" w:color="auto" w:sz="4" w:space="0"/>
              <w:bottom w:val="single" w:color="auto" w:sz="4" w:space="0"/>
              <w:right w:val="single" w:color="auto" w:sz="4" w:space="0"/>
            </w:tcBorders>
            <w:vAlign w:val="center"/>
          </w:tcPr>
          <w:p w14:paraId="2C8C8E3B">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r w14:paraId="4E079A1F">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567F5301">
            <w:pPr>
              <w:widowControl/>
              <w:spacing w:line="560" w:lineRule="exact"/>
              <w:jc w:val="center"/>
              <w:rPr>
                <w:rFonts w:hint="eastAsia" w:ascii="宋体" w:hAnsi="宋体" w:cs="宋体"/>
                <w:color w:val="auto"/>
                <w:sz w:val="24"/>
              </w:rPr>
            </w:pPr>
            <w:r>
              <w:rPr>
                <w:rFonts w:hint="eastAsia" w:ascii="宋体" w:hAnsi="宋体" w:cs="宋体"/>
                <w:color w:val="auto"/>
                <w:sz w:val="24"/>
              </w:rPr>
              <w:t>7</w:t>
            </w:r>
          </w:p>
        </w:tc>
        <w:tc>
          <w:tcPr>
            <w:tcW w:w="2989" w:type="dxa"/>
            <w:tcBorders>
              <w:top w:val="single" w:color="auto" w:sz="4" w:space="0"/>
              <w:left w:val="single" w:color="auto" w:sz="4" w:space="0"/>
              <w:bottom w:val="single" w:color="auto" w:sz="4" w:space="0"/>
              <w:right w:val="single" w:color="auto" w:sz="4" w:space="0"/>
            </w:tcBorders>
            <w:vAlign w:val="center"/>
          </w:tcPr>
          <w:p w14:paraId="6DA030F1">
            <w:pPr>
              <w:widowControl/>
              <w:spacing w:line="560" w:lineRule="exact"/>
              <w:jc w:val="center"/>
              <w:rPr>
                <w:rFonts w:hint="eastAsia" w:ascii="宋体" w:hAnsi="宋体" w:cs="宋体"/>
                <w:color w:val="auto"/>
                <w:sz w:val="24"/>
              </w:rPr>
            </w:pPr>
            <w:r>
              <w:rPr>
                <w:rFonts w:hint="eastAsia" w:ascii="宋体" w:hAnsi="宋体" w:cs="宋体"/>
                <w:color w:val="auto"/>
                <w:sz w:val="24"/>
              </w:rPr>
              <w:t>签字笔（红色）</w:t>
            </w:r>
          </w:p>
        </w:tc>
        <w:tc>
          <w:tcPr>
            <w:tcW w:w="1877" w:type="dxa"/>
            <w:tcBorders>
              <w:top w:val="single" w:color="auto" w:sz="4" w:space="0"/>
              <w:left w:val="single" w:color="auto" w:sz="4" w:space="0"/>
              <w:bottom w:val="single" w:color="auto" w:sz="4" w:space="0"/>
              <w:right w:val="single" w:color="auto" w:sz="4" w:space="0"/>
            </w:tcBorders>
            <w:vAlign w:val="center"/>
          </w:tcPr>
          <w:p w14:paraId="358276C0">
            <w:pPr>
              <w:widowControl/>
              <w:spacing w:line="560" w:lineRule="exact"/>
              <w:jc w:val="center"/>
              <w:rPr>
                <w:rFonts w:hint="eastAsia" w:ascii="宋体" w:hAnsi="宋体" w:cs="宋体"/>
                <w:color w:val="auto"/>
                <w:sz w:val="24"/>
              </w:rPr>
            </w:pPr>
            <w:r>
              <w:rPr>
                <w:rFonts w:hint="eastAsia" w:ascii="宋体" w:hAnsi="宋体" w:cs="宋体"/>
                <w:color w:val="auto"/>
                <w:sz w:val="24"/>
              </w:rPr>
              <w:t>晨光</w:t>
            </w:r>
          </w:p>
        </w:tc>
        <w:tc>
          <w:tcPr>
            <w:tcW w:w="942" w:type="dxa"/>
            <w:tcBorders>
              <w:top w:val="single" w:color="auto" w:sz="4" w:space="0"/>
              <w:left w:val="single" w:color="auto" w:sz="4" w:space="0"/>
              <w:bottom w:val="single" w:color="auto" w:sz="4" w:space="0"/>
              <w:right w:val="single" w:color="auto" w:sz="4" w:space="0"/>
            </w:tcBorders>
            <w:vAlign w:val="center"/>
          </w:tcPr>
          <w:p w14:paraId="69127E7C">
            <w:pPr>
              <w:widowControl/>
              <w:spacing w:line="560" w:lineRule="exact"/>
              <w:jc w:val="center"/>
              <w:rPr>
                <w:rFonts w:hint="eastAsia" w:ascii="宋体" w:hAnsi="宋体" w:cs="宋体"/>
                <w:color w:val="auto"/>
                <w:sz w:val="24"/>
              </w:rPr>
            </w:pPr>
            <w:r>
              <w:rPr>
                <w:rFonts w:hint="eastAsia" w:ascii="宋体" w:hAnsi="宋体" w:cs="宋体"/>
                <w:color w:val="auto"/>
                <w:sz w:val="24"/>
              </w:rPr>
              <w:t>盒</w:t>
            </w:r>
          </w:p>
        </w:tc>
        <w:tc>
          <w:tcPr>
            <w:tcW w:w="1458" w:type="dxa"/>
            <w:tcBorders>
              <w:top w:val="single" w:color="auto" w:sz="4" w:space="0"/>
              <w:left w:val="single" w:color="auto" w:sz="4" w:space="0"/>
              <w:bottom w:val="single" w:color="auto" w:sz="4" w:space="0"/>
              <w:right w:val="single" w:color="auto" w:sz="4" w:space="0"/>
            </w:tcBorders>
            <w:vAlign w:val="center"/>
          </w:tcPr>
          <w:p w14:paraId="058B59FB">
            <w:pPr>
              <w:widowControl/>
              <w:spacing w:line="560" w:lineRule="exact"/>
              <w:jc w:val="center"/>
              <w:rPr>
                <w:rFonts w:hint="eastAsia" w:ascii="宋体" w:hAnsi="宋体" w:cs="宋体"/>
                <w:color w:val="auto"/>
                <w:sz w:val="24"/>
              </w:rPr>
            </w:pPr>
            <w:r>
              <w:rPr>
                <w:rFonts w:hint="eastAsia" w:ascii="宋体" w:hAnsi="宋体" w:cs="宋体"/>
                <w:color w:val="auto"/>
                <w:sz w:val="24"/>
              </w:rPr>
              <w:t>按工位*2</w:t>
            </w:r>
          </w:p>
        </w:tc>
      </w:tr>
      <w:tr w14:paraId="337CEDF7">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14B069FC">
            <w:pPr>
              <w:widowControl/>
              <w:spacing w:line="560" w:lineRule="exact"/>
              <w:jc w:val="center"/>
              <w:rPr>
                <w:rFonts w:hint="eastAsia" w:ascii="宋体" w:hAnsi="宋体" w:cs="宋体"/>
                <w:color w:val="auto"/>
                <w:sz w:val="24"/>
              </w:rPr>
            </w:pPr>
            <w:r>
              <w:rPr>
                <w:rFonts w:hint="eastAsia" w:ascii="宋体" w:hAnsi="宋体" w:cs="宋体"/>
                <w:color w:val="auto"/>
                <w:sz w:val="24"/>
              </w:rPr>
              <w:t>8</w:t>
            </w:r>
          </w:p>
        </w:tc>
        <w:tc>
          <w:tcPr>
            <w:tcW w:w="2989" w:type="dxa"/>
            <w:tcBorders>
              <w:top w:val="single" w:color="auto" w:sz="4" w:space="0"/>
              <w:left w:val="single" w:color="auto" w:sz="4" w:space="0"/>
              <w:bottom w:val="single" w:color="auto" w:sz="4" w:space="0"/>
              <w:right w:val="single" w:color="auto" w:sz="4" w:space="0"/>
            </w:tcBorders>
            <w:vAlign w:val="center"/>
          </w:tcPr>
          <w:p w14:paraId="4EDEB067">
            <w:pPr>
              <w:widowControl/>
              <w:spacing w:line="560" w:lineRule="exact"/>
              <w:jc w:val="center"/>
              <w:rPr>
                <w:rFonts w:hint="eastAsia" w:ascii="宋体" w:hAnsi="宋体" w:cs="宋体"/>
                <w:color w:val="auto"/>
                <w:sz w:val="24"/>
              </w:rPr>
            </w:pPr>
            <w:r>
              <w:rPr>
                <w:rFonts w:hint="eastAsia" w:ascii="宋体" w:hAnsi="宋体" w:cs="宋体"/>
                <w:color w:val="auto"/>
                <w:sz w:val="24"/>
              </w:rPr>
              <w:t>签字笔（黑色）</w:t>
            </w:r>
          </w:p>
        </w:tc>
        <w:tc>
          <w:tcPr>
            <w:tcW w:w="1877" w:type="dxa"/>
            <w:tcBorders>
              <w:top w:val="single" w:color="auto" w:sz="4" w:space="0"/>
              <w:left w:val="single" w:color="auto" w:sz="4" w:space="0"/>
              <w:bottom w:val="single" w:color="auto" w:sz="4" w:space="0"/>
              <w:right w:val="single" w:color="auto" w:sz="4" w:space="0"/>
            </w:tcBorders>
            <w:vAlign w:val="center"/>
          </w:tcPr>
          <w:p w14:paraId="502240AD">
            <w:pPr>
              <w:widowControl/>
              <w:spacing w:line="560" w:lineRule="exact"/>
              <w:jc w:val="center"/>
              <w:rPr>
                <w:rFonts w:hint="eastAsia" w:ascii="宋体" w:hAnsi="宋体" w:cs="宋体"/>
                <w:color w:val="auto"/>
                <w:sz w:val="24"/>
              </w:rPr>
            </w:pPr>
            <w:r>
              <w:rPr>
                <w:rFonts w:hint="eastAsia" w:ascii="宋体" w:hAnsi="宋体" w:cs="宋体"/>
                <w:color w:val="auto"/>
                <w:sz w:val="24"/>
              </w:rPr>
              <w:t>晨光</w:t>
            </w:r>
          </w:p>
        </w:tc>
        <w:tc>
          <w:tcPr>
            <w:tcW w:w="942" w:type="dxa"/>
            <w:tcBorders>
              <w:top w:val="single" w:color="auto" w:sz="4" w:space="0"/>
              <w:left w:val="single" w:color="auto" w:sz="4" w:space="0"/>
              <w:bottom w:val="single" w:color="auto" w:sz="4" w:space="0"/>
              <w:right w:val="single" w:color="auto" w:sz="4" w:space="0"/>
            </w:tcBorders>
            <w:vAlign w:val="center"/>
          </w:tcPr>
          <w:p w14:paraId="4D17FDD8">
            <w:pPr>
              <w:widowControl/>
              <w:spacing w:line="560" w:lineRule="exact"/>
              <w:jc w:val="center"/>
              <w:rPr>
                <w:rFonts w:hint="eastAsia" w:ascii="宋体" w:hAnsi="宋体" w:cs="宋体"/>
                <w:color w:val="auto"/>
                <w:sz w:val="24"/>
              </w:rPr>
            </w:pPr>
            <w:r>
              <w:rPr>
                <w:rFonts w:hint="eastAsia" w:ascii="宋体" w:hAnsi="宋体" w:cs="宋体"/>
                <w:color w:val="auto"/>
                <w:sz w:val="24"/>
              </w:rPr>
              <w:t>盒</w:t>
            </w:r>
          </w:p>
        </w:tc>
        <w:tc>
          <w:tcPr>
            <w:tcW w:w="1458" w:type="dxa"/>
            <w:tcBorders>
              <w:top w:val="single" w:color="auto" w:sz="4" w:space="0"/>
              <w:left w:val="single" w:color="auto" w:sz="4" w:space="0"/>
              <w:bottom w:val="single" w:color="auto" w:sz="4" w:space="0"/>
              <w:right w:val="single" w:color="auto" w:sz="4" w:space="0"/>
            </w:tcBorders>
            <w:vAlign w:val="center"/>
          </w:tcPr>
          <w:p w14:paraId="2C722EDF">
            <w:pPr>
              <w:widowControl/>
              <w:spacing w:line="560" w:lineRule="exact"/>
              <w:jc w:val="center"/>
              <w:rPr>
                <w:rFonts w:hint="eastAsia" w:ascii="宋体" w:hAnsi="宋体" w:cs="宋体"/>
                <w:color w:val="auto"/>
                <w:sz w:val="24"/>
              </w:rPr>
            </w:pPr>
            <w:r>
              <w:rPr>
                <w:rFonts w:hint="eastAsia" w:ascii="宋体" w:hAnsi="宋体" w:cs="宋体"/>
                <w:color w:val="auto"/>
                <w:sz w:val="24"/>
              </w:rPr>
              <w:t>按工位*2</w:t>
            </w:r>
          </w:p>
        </w:tc>
      </w:tr>
      <w:tr w14:paraId="18298CF9">
        <w:tblPrEx>
          <w:tblCellMar>
            <w:top w:w="0" w:type="dxa"/>
            <w:left w:w="108" w:type="dxa"/>
            <w:bottom w:w="0" w:type="dxa"/>
            <w:right w:w="108" w:type="dxa"/>
          </w:tblCellMar>
        </w:tblPrEx>
        <w:trPr>
          <w:trHeight w:val="686" w:hRule="atLeast"/>
        </w:trPr>
        <w:tc>
          <w:tcPr>
            <w:tcW w:w="1148" w:type="dxa"/>
            <w:tcBorders>
              <w:top w:val="single" w:color="auto" w:sz="4" w:space="0"/>
              <w:left w:val="single" w:color="auto" w:sz="4" w:space="0"/>
              <w:bottom w:val="single" w:color="auto" w:sz="4" w:space="0"/>
              <w:right w:val="single" w:color="auto" w:sz="4" w:space="0"/>
            </w:tcBorders>
            <w:vAlign w:val="center"/>
          </w:tcPr>
          <w:p w14:paraId="5AC1E51C">
            <w:pPr>
              <w:widowControl/>
              <w:spacing w:line="560" w:lineRule="exact"/>
              <w:jc w:val="center"/>
              <w:rPr>
                <w:rFonts w:hint="eastAsia" w:ascii="宋体" w:hAnsi="宋体" w:cs="宋体"/>
                <w:color w:val="auto"/>
                <w:sz w:val="24"/>
              </w:rPr>
            </w:pPr>
            <w:r>
              <w:rPr>
                <w:rFonts w:hint="eastAsia" w:ascii="宋体" w:hAnsi="宋体" w:cs="宋体"/>
                <w:color w:val="auto"/>
                <w:sz w:val="24"/>
              </w:rPr>
              <w:t>9</w:t>
            </w:r>
          </w:p>
        </w:tc>
        <w:tc>
          <w:tcPr>
            <w:tcW w:w="2989" w:type="dxa"/>
            <w:tcBorders>
              <w:top w:val="single" w:color="auto" w:sz="4" w:space="0"/>
              <w:left w:val="single" w:color="auto" w:sz="4" w:space="0"/>
              <w:bottom w:val="single" w:color="auto" w:sz="4" w:space="0"/>
              <w:right w:val="single" w:color="auto" w:sz="4" w:space="0"/>
            </w:tcBorders>
            <w:vAlign w:val="center"/>
          </w:tcPr>
          <w:p w14:paraId="5B7F4ED8">
            <w:pPr>
              <w:widowControl/>
              <w:spacing w:line="560" w:lineRule="exact"/>
              <w:jc w:val="center"/>
              <w:rPr>
                <w:rFonts w:hint="eastAsia" w:ascii="宋体" w:hAnsi="宋体" w:cs="宋体"/>
                <w:color w:val="auto"/>
                <w:sz w:val="24"/>
              </w:rPr>
            </w:pPr>
            <w:r>
              <w:rPr>
                <w:rFonts w:hint="eastAsia" w:ascii="宋体" w:hAnsi="宋体" w:cs="宋体"/>
                <w:color w:val="auto"/>
                <w:sz w:val="24"/>
              </w:rPr>
              <w:t>计算器</w:t>
            </w:r>
          </w:p>
        </w:tc>
        <w:tc>
          <w:tcPr>
            <w:tcW w:w="1877" w:type="dxa"/>
            <w:tcBorders>
              <w:top w:val="single" w:color="auto" w:sz="4" w:space="0"/>
              <w:left w:val="single" w:color="auto" w:sz="4" w:space="0"/>
              <w:bottom w:val="single" w:color="auto" w:sz="4" w:space="0"/>
              <w:right w:val="single" w:color="auto" w:sz="4" w:space="0"/>
            </w:tcBorders>
            <w:vAlign w:val="center"/>
          </w:tcPr>
          <w:p w14:paraId="3E008EFC">
            <w:pPr>
              <w:widowControl/>
              <w:spacing w:line="560" w:lineRule="exact"/>
              <w:jc w:val="center"/>
              <w:rPr>
                <w:rFonts w:hint="eastAsia" w:ascii="宋体" w:hAnsi="宋体" w:cs="宋体"/>
                <w:color w:val="auto"/>
                <w:sz w:val="24"/>
              </w:rPr>
            </w:pPr>
            <w:r>
              <w:rPr>
                <w:rFonts w:hint="eastAsia" w:ascii="宋体" w:hAnsi="宋体" w:cs="宋体"/>
                <w:color w:val="auto"/>
                <w:sz w:val="24"/>
              </w:rPr>
              <w:t>通用型</w:t>
            </w:r>
          </w:p>
        </w:tc>
        <w:tc>
          <w:tcPr>
            <w:tcW w:w="942" w:type="dxa"/>
            <w:tcBorders>
              <w:top w:val="single" w:color="auto" w:sz="4" w:space="0"/>
              <w:left w:val="single" w:color="auto" w:sz="4" w:space="0"/>
              <w:bottom w:val="single" w:color="auto" w:sz="4" w:space="0"/>
              <w:right w:val="single" w:color="auto" w:sz="4" w:space="0"/>
            </w:tcBorders>
            <w:vAlign w:val="center"/>
          </w:tcPr>
          <w:p w14:paraId="367A1D35">
            <w:pPr>
              <w:widowControl/>
              <w:spacing w:line="560" w:lineRule="exact"/>
              <w:jc w:val="center"/>
              <w:rPr>
                <w:rFonts w:hint="eastAsia" w:ascii="宋体" w:hAnsi="宋体" w:cs="宋体"/>
                <w:color w:val="auto"/>
                <w:sz w:val="24"/>
              </w:rPr>
            </w:pPr>
            <w:r>
              <w:rPr>
                <w:rFonts w:hint="eastAsia" w:ascii="宋体" w:hAnsi="宋体" w:cs="宋体"/>
                <w:color w:val="auto"/>
                <w:sz w:val="24"/>
              </w:rPr>
              <w:t>只</w:t>
            </w:r>
          </w:p>
        </w:tc>
        <w:tc>
          <w:tcPr>
            <w:tcW w:w="1458" w:type="dxa"/>
            <w:tcBorders>
              <w:top w:val="single" w:color="auto" w:sz="4" w:space="0"/>
              <w:left w:val="single" w:color="auto" w:sz="4" w:space="0"/>
              <w:bottom w:val="single" w:color="auto" w:sz="4" w:space="0"/>
              <w:right w:val="single" w:color="auto" w:sz="4" w:space="0"/>
            </w:tcBorders>
            <w:vAlign w:val="center"/>
          </w:tcPr>
          <w:p w14:paraId="05BF54EC">
            <w:pPr>
              <w:widowControl/>
              <w:spacing w:line="560" w:lineRule="exact"/>
              <w:jc w:val="center"/>
              <w:rPr>
                <w:rFonts w:hint="eastAsia" w:ascii="宋体" w:hAnsi="宋体" w:cs="宋体"/>
                <w:color w:val="auto"/>
                <w:sz w:val="24"/>
              </w:rPr>
            </w:pPr>
            <w:r>
              <w:rPr>
                <w:rFonts w:hint="eastAsia" w:ascii="宋体" w:hAnsi="宋体" w:cs="宋体"/>
                <w:color w:val="auto"/>
                <w:sz w:val="24"/>
              </w:rPr>
              <w:t>按工位</w:t>
            </w:r>
          </w:p>
        </w:tc>
      </w:tr>
    </w:tbl>
    <w:p w14:paraId="77B8FFAA">
      <w:pPr>
        <w:spacing w:line="600" w:lineRule="exact"/>
        <w:ind w:firstLine="733" w:firstLineChars="232"/>
        <w:rPr>
          <w:rFonts w:eastAsia="仿宋"/>
          <w:color w:val="auto"/>
          <w:szCs w:val="32"/>
        </w:rPr>
      </w:pPr>
      <w:r>
        <w:rPr>
          <w:rFonts w:hint="eastAsia" w:eastAsia="仿宋"/>
          <w:color w:val="auto"/>
          <w:szCs w:val="32"/>
        </w:rPr>
        <w:t>3.</w:t>
      </w:r>
      <w:r>
        <w:rPr>
          <w:rFonts w:eastAsia="仿宋"/>
          <w:color w:val="auto"/>
          <w:szCs w:val="32"/>
        </w:rPr>
        <w:t>无需选手自带工具、材料，选手穿戴的防护品需自备，如防砸鞋、护目镜等安全护具。</w:t>
      </w:r>
    </w:p>
    <w:p w14:paraId="0F351EFD">
      <w:pPr>
        <w:spacing w:line="600" w:lineRule="exact"/>
        <w:ind w:firstLine="632" w:firstLineChars="200"/>
        <w:rPr>
          <w:rFonts w:eastAsia="仿宋"/>
          <w:color w:val="auto"/>
          <w:szCs w:val="32"/>
        </w:rPr>
      </w:pPr>
      <w:r>
        <w:rPr>
          <w:rFonts w:eastAsia="仿宋"/>
          <w:color w:val="auto"/>
          <w:szCs w:val="32"/>
        </w:rPr>
        <w:t>参赛选手禁止携带U盘、智能手表等任何形式的通讯设备。</w:t>
      </w:r>
    </w:p>
    <w:p w14:paraId="03F277B3">
      <w:pPr>
        <w:spacing w:line="600" w:lineRule="exact"/>
        <w:ind w:firstLine="632" w:firstLineChars="200"/>
        <w:rPr>
          <w:rFonts w:eastAsia="仿宋"/>
          <w:color w:val="auto"/>
          <w:szCs w:val="32"/>
        </w:rPr>
      </w:pPr>
      <w:r>
        <w:rPr>
          <w:rFonts w:eastAsia="仿宋"/>
          <w:color w:val="auto"/>
          <w:szCs w:val="32"/>
        </w:rPr>
        <w:t>通常情况下：未明确在选手携带工具清单中的，一律不得带入赛场。另外，赛场配发的各类工具、材料，选手一律不得带出赛场。</w:t>
      </w:r>
    </w:p>
    <w:p w14:paraId="07E6D2D1">
      <w:pPr>
        <w:pStyle w:val="12"/>
        <w:spacing w:line="600" w:lineRule="exact"/>
        <w:ind w:firstLine="632"/>
        <w:rPr>
          <w:rFonts w:ascii="Times New Roman" w:hAnsi="Times New Roman"/>
          <w:color w:val="auto"/>
          <w:lang w:eastAsia="zh-CN"/>
        </w:rPr>
      </w:pPr>
      <w:bookmarkStart w:id="30" w:name="_Toc107852899"/>
      <w:bookmarkStart w:id="31" w:name="_Toc7286"/>
      <w:r>
        <w:rPr>
          <w:rFonts w:ascii="Times New Roman" w:hAnsi="Times New Roman"/>
          <w:color w:val="auto"/>
          <w:lang w:eastAsia="zh-CN"/>
        </w:rPr>
        <w:t>五、安全、健康要求</w:t>
      </w:r>
      <w:bookmarkEnd w:id="30"/>
      <w:bookmarkEnd w:id="31"/>
    </w:p>
    <w:p w14:paraId="3D3245A9">
      <w:pPr>
        <w:spacing w:line="600" w:lineRule="exact"/>
        <w:ind w:firstLine="632" w:firstLineChars="200"/>
        <w:outlineLvl w:val="1"/>
        <w:rPr>
          <w:rFonts w:eastAsia="楷体"/>
          <w:b/>
          <w:bCs/>
          <w:color w:val="auto"/>
          <w:szCs w:val="32"/>
        </w:rPr>
      </w:pPr>
      <w:bookmarkStart w:id="32" w:name="_Toc52136086"/>
      <w:bookmarkStart w:id="33" w:name="_Toc22742"/>
      <w:r>
        <w:rPr>
          <w:rFonts w:eastAsia="楷体"/>
          <w:b/>
          <w:bCs/>
          <w:color w:val="auto"/>
          <w:szCs w:val="32"/>
        </w:rPr>
        <w:t>（一）场地消防和逃生要求</w:t>
      </w:r>
      <w:bookmarkEnd w:id="32"/>
      <w:bookmarkEnd w:id="33"/>
      <w:r>
        <w:rPr>
          <w:rFonts w:eastAsia="楷体"/>
          <w:b/>
          <w:bCs/>
          <w:color w:val="auto"/>
          <w:szCs w:val="32"/>
        </w:rPr>
        <w:t xml:space="preserve"> </w:t>
      </w:r>
    </w:p>
    <w:p w14:paraId="4CA744E7">
      <w:pPr>
        <w:spacing w:line="600" w:lineRule="exact"/>
        <w:ind w:firstLine="632" w:firstLineChars="200"/>
        <w:rPr>
          <w:rFonts w:eastAsia="微软雅黑"/>
          <w:color w:val="auto"/>
          <w:szCs w:val="32"/>
        </w:rPr>
      </w:pPr>
      <w:r>
        <w:rPr>
          <w:rFonts w:eastAsia="微软雅黑"/>
          <w:color w:val="auto"/>
          <w:szCs w:val="32"/>
        </w:rPr>
        <w:t>•</w:t>
      </w:r>
      <w:r>
        <w:rPr>
          <w:rFonts w:eastAsia="仿宋"/>
          <w:color w:val="auto"/>
          <w:szCs w:val="32"/>
        </w:rPr>
        <w:t xml:space="preserve">赛场必须留有安全通道。竞赛前必须明确告诉选手和裁判员安全通道和安全门位置。 </w:t>
      </w:r>
    </w:p>
    <w:p w14:paraId="480B29F5">
      <w:pPr>
        <w:spacing w:line="600" w:lineRule="exact"/>
        <w:ind w:firstLine="632" w:firstLineChars="200"/>
        <w:rPr>
          <w:rFonts w:eastAsia="微软雅黑"/>
          <w:color w:val="auto"/>
          <w:szCs w:val="32"/>
        </w:rPr>
      </w:pPr>
      <w:r>
        <w:rPr>
          <w:rFonts w:eastAsia="微软雅黑"/>
          <w:color w:val="auto"/>
          <w:szCs w:val="32"/>
        </w:rPr>
        <w:t>•</w:t>
      </w:r>
      <w:r>
        <w:rPr>
          <w:rFonts w:eastAsia="仿宋"/>
          <w:color w:val="auto"/>
          <w:szCs w:val="32"/>
        </w:rPr>
        <w:t xml:space="preserve">赛场必须配备灭火设备，并置于显著位置。 </w:t>
      </w:r>
    </w:p>
    <w:p w14:paraId="6F558640">
      <w:pPr>
        <w:spacing w:line="600" w:lineRule="exact"/>
        <w:ind w:firstLine="632" w:firstLineChars="200"/>
        <w:rPr>
          <w:rFonts w:eastAsia="微软雅黑"/>
          <w:color w:val="auto"/>
          <w:szCs w:val="32"/>
        </w:rPr>
      </w:pPr>
      <w:r>
        <w:rPr>
          <w:rFonts w:eastAsia="微软雅黑"/>
          <w:color w:val="auto"/>
          <w:szCs w:val="32"/>
        </w:rPr>
        <w:t>•</w:t>
      </w:r>
      <w:r>
        <w:rPr>
          <w:rFonts w:eastAsia="仿宋"/>
          <w:color w:val="auto"/>
          <w:szCs w:val="32"/>
        </w:rPr>
        <w:t xml:space="preserve">赛场应具备良好的通风、照明和操作空间的条件。 </w:t>
      </w:r>
    </w:p>
    <w:p w14:paraId="3F0C34D2">
      <w:pPr>
        <w:spacing w:line="600" w:lineRule="exact"/>
        <w:ind w:firstLine="632" w:firstLineChars="200"/>
        <w:rPr>
          <w:rFonts w:eastAsia="微软雅黑"/>
          <w:color w:val="auto"/>
          <w:szCs w:val="32"/>
        </w:rPr>
      </w:pPr>
      <w:r>
        <w:rPr>
          <w:rFonts w:eastAsia="微软雅黑"/>
          <w:color w:val="auto"/>
          <w:szCs w:val="32"/>
        </w:rPr>
        <w:t>•</w:t>
      </w:r>
      <w:r>
        <w:rPr>
          <w:rFonts w:eastAsia="仿宋"/>
          <w:color w:val="auto"/>
          <w:szCs w:val="32"/>
        </w:rPr>
        <w:t xml:space="preserve">组委会应做好竞赛安全、健康和公共卫生及突发事件预防与应急处理等工作。 </w:t>
      </w:r>
    </w:p>
    <w:p w14:paraId="52532199">
      <w:pPr>
        <w:spacing w:line="600" w:lineRule="exact"/>
        <w:ind w:firstLine="632" w:firstLineChars="200"/>
        <w:outlineLvl w:val="1"/>
        <w:rPr>
          <w:rFonts w:eastAsia="楷体"/>
          <w:b/>
          <w:bCs/>
          <w:color w:val="auto"/>
          <w:szCs w:val="32"/>
        </w:rPr>
      </w:pPr>
      <w:bookmarkStart w:id="34" w:name="_Toc52136087"/>
      <w:bookmarkStart w:id="35" w:name="_Toc5599"/>
      <w:r>
        <w:rPr>
          <w:rFonts w:eastAsia="楷体"/>
          <w:b/>
          <w:bCs/>
          <w:color w:val="auto"/>
          <w:szCs w:val="32"/>
        </w:rPr>
        <w:t>（二）医疗设备和措施</w:t>
      </w:r>
      <w:bookmarkEnd w:id="34"/>
      <w:bookmarkEnd w:id="35"/>
      <w:r>
        <w:rPr>
          <w:rFonts w:eastAsia="楷体"/>
          <w:b/>
          <w:bCs/>
          <w:color w:val="auto"/>
          <w:szCs w:val="32"/>
        </w:rPr>
        <w:t xml:space="preserve"> </w:t>
      </w:r>
    </w:p>
    <w:p w14:paraId="5A3CC518">
      <w:pPr>
        <w:spacing w:line="600" w:lineRule="exact"/>
        <w:ind w:firstLine="632" w:firstLineChars="200"/>
        <w:rPr>
          <w:rFonts w:eastAsia="仿宋"/>
          <w:color w:val="auto"/>
          <w:szCs w:val="32"/>
        </w:rPr>
      </w:pPr>
      <w:r>
        <w:rPr>
          <w:rFonts w:eastAsia="仿宋"/>
          <w:color w:val="auto"/>
          <w:szCs w:val="32"/>
        </w:rPr>
        <w:t>赛场应准备表</w:t>
      </w:r>
      <w:r>
        <w:rPr>
          <w:rFonts w:hint="eastAsia" w:eastAsia="仿宋"/>
          <w:color w:val="auto"/>
          <w:szCs w:val="32"/>
        </w:rPr>
        <w:t>8</w:t>
      </w:r>
      <w:r>
        <w:rPr>
          <w:rFonts w:eastAsia="仿宋"/>
          <w:color w:val="auto"/>
          <w:szCs w:val="32"/>
        </w:rPr>
        <w:t xml:space="preserve">所列的常规医疗物品，并配备一名医务人员随时准备处理现场突发伤害事故。 </w:t>
      </w:r>
    </w:p>
    <w:p w14:paraId="686213BD">
      <w:pPr>
        <w:spacing w:line="600" w:lineRule="exact"/>
        <w:ind w:firstLine="632" w:firstLineChars="200"/>
        <w:jc w:val="center"/>
        <w:rPr>
          <w:rFonts w:eastAsia="仿宋"/>
          <w:color w:val="auto"/>
          <w:szCs w:val="32"/>
        </w:rPr>
      </w:pPr>
      <w:r>
        <w:rPr>
          <w:rFonts w:eastAsia="仿宋"/>
          <w:color w:val="auto"/>
          <w:szCs w:val="32"/>
        </w:rPr>
        <w:t>表</w:t>
      </w:r>
      <w:r>
        <w:rPr>
          <w:rFonts w:hint="eastAsia" w:eastAsia="仿宋"/>
          <w:color w:val="auto"/>
          <w:szCs w:val="32"/>
        </w:rPr>
        <w:t>8</w:t>
      </w:r>
      <w:r>
        <w:rPr>
          <w:rFonts w:eastAsia="仿宋"/>
          <w:color w:val="auto"/>
          <w:szCs w:val="32"/>
        </w:rPr>
        <w:t>常规医疗物品清单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1919"/>
        <w:gridCol w:w="1420"/>
        <w:gridCol w:w="1055"/>
        <w:gridCol w:w="1355"/>
      </w:tblGrid>
      <w:tr w14:paraId="2716B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 w:type="dxa"/>
          </w:tcPr>
          <w:p w14:paraId="159C3AB1">
            <w:pPr>
              <w:spacing w:line="600" w:lineRule="exact"/>
              <w:jc w:val="center"/>
              <w:rPr>
                <w:rFonts w:eastAsia="仿宋"/>
                <w:color w:val="auto"/>
                <w:sz w:val="28"/>
                <w:szCs w:val="28"/>
              </w:rPr>
            </w:pPr>
            <w:r>
              <w:rPr>
                <w:rFonts w:eastAsia="仿宋"/>
                <w:color w:val="auto"/>
                <w:sz w:val="28"/>
                <w:szCs w:val="28"/>
              </w:rPr>
              <w:t>序号</w:t>
            </w:r>
          </w:p>
        </w:tc>
        <w:tc>
          <w:tcPr>
            <w:tcW w:w="1919" w:type="dxa"/>
          </w:tcPr>
          <w:p w14:paraId="25844389">
            <w:pPr>
              <w:spacing w:line="600" w:lineRule="exact"/>
              <w:ind w:firstLine="552" w:firstLineChars="200"/>
              <w:rPr>
                <w:rFonts w:eastAsia="仿宋"/>
                <w:color w:val="auto"/>
                <w:sz w:val="28"/>
                <w:szCs w:val="28"/>
              </w:rPr>
            </w:pPr>
            <w:r>
              <w:rPr>
                <w:rFonts w:eastAsia="仿宋"/>
                <w:color w:val="auto"/>
                <w:sz w:val="28"/>
                <w:szCs w:val="28"/>
              </w:rPr>
              <w:t>名称</w:t>
            </w:r>
          </w:p>
        </w:tc>
        <w:tc>
          <w:tcPr>
            <w:tcW w:w="1420" w:type="dxa"/>
          </w:tcPr>
          <w:p w14:paraId="5E1FB130">
            <w:pPr>
              <w:spacing w:line="600" w:lineRule="exact"/>
              <w:ind w:firstLine="276" w:firstLineChars="100"/>
              <w:rPr>
                <w:rFonts w:eastAsia="仿宋"/>
                <w:color w:val="auto"/>
                <w:sz w:val="28"/>
                <w:szCs w:val="28"/>
              </w:rPr>
            </w:pPr>
            <w:r>
              <w:rPr>
                <w:rFonts w:eastAsia="仿宋"/>
                <w:color w:val="auto"/>
                <w:sz w:val="28"/>
                <w:szCs w:val="28"/>
              </w:rPr>
              <w:t>规格</w:t>
            </w:r>
          </w:p>
        </w:tc>
        <w:tc>
          <w:tcPr>
            <w:tcW w:w="1055" w:type="dxa"/>
          </w:tcPr>
          <w:p w14:paraId="00DD7727">
            <w:pPr>
              <w:spacing w:line="600" w:lineRule="exact"/>
              <w:jc w:val="center"/>
              <w:rPr>
                <w:rFonts w:eastAsia="仿宋"/>
                <w:color w:val="auto"/>
                <w:sz w:val="28"/>
                <w:szCs w:val="28"/>
              </w:rPr>
            </w:pPr>
            <w:r>
              <w:rPr>
                <w:rFonts w:eastAsia="仿宋"/>
                <w:color w:val="auto"/>
                <w:sz w:val="28"/>
                <w:szCs w:val="28"/>
              </w:rPr>
              <w:t>数量</w:t>
            </w:r>
          </w:p>
        </w:tc>
        <w:tc>
          <w:tcPr>
            <w:tcW w:w="1355" w:type="dxa"/>
          </w:tcPr>
          <w:p w14:paraId="4B30B82F">
            <w:pPr>
              <w:spacing w:line="600" w:lineRule="exact"/>
              <w:jc w:val="center"/>
              <w:rPr>
                <w:rFonts w:eastAsia="仿宋"/>
                <w:color w:val="auto"/>
                <w:sz w:val="28"/>
                <w:szCs w:val="28"/>
              </w:rPr>
            </w:pPr>
            <w:r>
              <w:rPr>
                <w:rFonts w:eastAsia="仿宋"/>
                <w:color w:val="auto"/>
                <w:sz w:val="28"/>
                <w:szCs w:val="28"/>
              </w:rPr>
              <w:t>备注</w:t>
            </w:r>
          </w:p>
        </w:tc>
      </w:tr>
      <w:tr w14:paraId="000A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 w:type="dxa"/>
          </w:tcPr>
          <w:p w14:paraId="2CCD8BFE">
            <w:pPr>
              <w:spacing w:line="600" w:lineRule="exact"/>
              <w:jc w:val="center"/>
              <w:rPr>
                <w:rFonts w:eastAsia="仿宋"/>
                <w:color w:val="auto"/>
                <w:sz w:val="28"/>
                <w:szCs w:val="28"/>
              </w:rPr>
            </w:pPr>
            <w:r>
              <w:rPr>
                <w:rFonts w:eastAsia="仿宋"/>
                <w:color w:val="auto"/>
                <w:sz w:val="28"/>
                <w:szCs w:val="28"/>
              </w:rPr>
              <w:t>1</w:t>
            </w:r>
          </w:p>
        </w:tc>
        <w:tc>
          <w:tcPr>
            <w:tcW w:w="1919" w:type="dxa"/>
          </w:tcPr>
          <w:p w14:paraId="648059E6">
            <w:pPr>
              <w:spacing w:line="600" w:lineRule="exact"/>
              <w:ind w:firstLine="552" w:firstLineChars="200"/>
              <w:rPr>
                <w:rFonts w:eastAsia="仿宋"/>
                <w:color w:val="auto"/>
                <w:sz w:val="28"/>
                <w:szCs w:val="28"/>
              </w:rPr>
            </w:pPr>
            <w:r>
              <w:rPr>
                <w:rFonts w:eastAsia="仿宋"/>
                <w:color w:val="auto"/>
                <w:sz w:val="28"/>
                <w:szCs w:val="28"/>
              </w:rPr>
              <w:t>酒精棉</w:t>
            </w:r>
          </w:p>
        </w:tc>
        <w:tc>
          <w:tcPr>
            <w:tcW w:w="1420" w:type="dxa"/>
          </w:tcPr>
          <w:p w14:paraId="2B05C976">
            <w:pPr>
              <w:spacing w:line="600" w:lineRule="exact"/>
              <w:ind w:firstLine="552" w:firstLineChars="200"/>
              <w:jc w:val="center"/>
              <w:rPr>
                <w:rFonts w:eastAsia="仿宋"/>
                <w:color w:val="auto"/>
                <w:sz w:val="28"/>
                <w:szCs w:val="28"/>
              </w:rPr>
            </w:pPr>
          </w:p>
        </w:tc>
        <w:tc>
          <w:tcPr>
            <w:tcW w:w="1055" w:type="dxa"/>
          </w:tcPr>
          <w:p w14:paraId="180E85D7">
            <w:pPr>
              <w:spacing w:line="600" w:lineRule="exact"/>
              <w:jc w:val="center"/>
              <w:rPr>
                <w:rFonts w:eastAsia="仿宋"/>
                <w:color w:val="auto"/>
                <w:sz w:val="28"/>
                <w:szCs w:val="28"/>
              </w:rPr>
            </w:pPr>
            <w:r>
              <w:rPr>
                <w:rFonts w:eastAsia="仿宋"/>
                <w:color w:val="auto"/>
                <w:sz w:val="28"/>
                <w:szCs w:val="28"/>
              </w:rPr>
              <w:t>1盒</w:t>
            </w:r>
          </w:p>
        </w:tc>
        <w:tc>
          <w:tcPr>
            <w:tcW w:w="1355" w:type="dxa"/>
          </w:tcPr>
          <w:p w14:paraId="00315802">
            <w:pPr>
              <w:spacing w:line="600" w:lineRule="exact"/>
              <w:ind w:firstLine="552" w:firstLineChars="200"/>
              <w:jc w:val="center"/>
              <w:rPr>
                <w:rFonts w:eastAsia="仿宋"/>
                <w:color w:val="auto"/>
                <w:sz w:val="28"/>
                <w:szCs w:val="28"/>
              </w:rPr>
            </w:pPr>
          </w:p>
        </w:tc>
      </w:tr>
      <w:tr w14:paraId="1DFF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 w:type="dxa"/>
          </w:tcPr>
          <w:p w14:paraId="1B0D82D9">
            <w:pPr>
              <w:spacing w:line="600" w:lineRule="exact"/>
              <w:jc w:val="center"/>
              <w:rPr>
                <w:rFonts w:eastAsia="仿宋"/>
                <w:color w:val="auto"/>
                <w:sz w:val="28"/>
                <w:szCs w:val="28"/>
              </w:rPr>
            </w:pPr>
            <w:r>
              <w:rPr>
                <w:rFonts w:eastAsia="仿宋"/>
                <w:color w:val="auto"/>
                <w:sz w:val="28"/>
                <w:szCs w:val="28"/>
              </w:rPr>
              <w:t>2</w:t>
            </w:r>
          </w:p>
        </w:tc>
        <w:tc>
          <w:tcPr>
            <w:tcW w:w="1919" w:type="dxa"/>
          </w:tcPr>
          <w:p w14:paraId="70618B18">
            <w:pPr>
              <w:spacing w:line="600" w:lineRule="exact"/>
              <w:ind w:firstLine="552" w:firstLineChars="200"/>
              <w:rPr>
                <w:rFonts w:eastAsia="仿宋"/>
                <w:color w:val="auto"/>
                <w:sz w:val="28"/>
                <w:szCs w:val="28"/>
              </w:rPr>
            </w:pPr>
            <w:r>
              <w:rPr>
                <w:rFonts w:eastAsia="仿宋"/>
                <w:color w:val="auto"/>
                <w:sz w:val="28"/>
                <w:szCs w:val="28"/>
              </w:rPr>
              <w:t>纱布</w:t>
            </w:r>
          </w:p>
        </w:tc>
        <w:tc>
          <w:tcPr>
            <w:tcW w:w="1420" w:type="dxa"/>
          </w:tcPr>
          <w:p w14:paraId="69220E1A">
            <w:pPr>
              <w:spacing w:line="600" w:lineRule="exact"/>
              <w:ind w:firstLine="552" w:firstLineChars="200"/>
              <w:jc w:val="center"/>
              <w:rPr>
                <w:rFonts w:eastAsia="仿宋"/>
                <w:color w:val="auto"/>
                <w:sz w:val="28"/>
                <w:szCs w:val="28"/>
              </w:rPr>
            </w:pPr>
          </w:p>
        </w:tc>
        <w:tc>
          <w:tcPr>
            <w:tcW w:w="1055" w:type="dxa"/>
          </w:tcPr>
          <w:p w14:paraId="5A83FB59">
            <w:pPr>
              <w:spacing w:line="600" w:lineRule="exact"/>
              <w:jc w:val="center"/>
              <w:rPr>
                <w:rFonts w:eastAsia="仿宋"/>
                <w:color w:val="auto"/>
                <w:sz w:val="28"/>
                <w:szCs w:val="28"/>
              </w:rPr>
            </w:pPr>
            <w:r>
              <w:rPr>
                <w:rFonts w:eastAsia="仿宋"/>
                <w:color w:val="auto"/>
                <w:sz w:val="28"/>
                <w:szCs w:val="28"/>
              </w:rPr>
              <w:t>1卷</w:t>
            </w:r>
          </w:p>
        </w:tc>
        <w:tc>
          <w:tcPr>
            <w:tcW w:w="1355" w:type="dxa"/>
          </w:tcPr>
          <w:p w14:paraId="144E617F">
            <w:pPr>
              <w:spacing w:line="600" w:lineRule="exact"/>
              <w:ind w:firstLine="552" w:firstLineChars="200"/>
              <w:jc w:val="center"/>
              <w:rPr>
                <w:rFonts w:eastAsia="仿宋"/>
                <w:color w:val="auto"/>
                <w:sz w:val="28"/>
                <w:szCs w:val="28"/>
              </w:rPr>
            </w:pPr>
          </w:p>
        </w:tc>
      </w:tr>
      <w:tr w14:paraId="6CA28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 w:type="dxa"/>
          </w:tcPr>
          <w:p w14:paraId="5BFB9508">
            <w:pPr>
              <w:spacing w:line="600" w:lineRule="exact"/>
              <w:jc w:val="center"/>
              <w:rPr>
                <w:rFonts w:eastAsia="仿宋"/>
                <w:color w:val="auto"/>
                <w:sz w:val="28"/>
                <w:szCs w:val="28"/>
              </w:rPr>
            </w:pPr>
            <w:r>
              <w:rPr>
                <w:rFonts w:eastAsia="仿宋"/>
                <w:color w:val="auto"/>
                <w:sz w:val="28"/>
                <w:szCs w:val="28"/>
              </w:rPr>
              <w:t>3</w:t>
            </w:r>
          </w:p>
        </w:tc>
        <w:tc>
          <w:tcPr>
            <w:tcW w:w="1919" w:type="dxa"/>
          </w:tcPr>
          <w:p w14:paraId="5D912DBE">
            <w:pPr>
              <w:spacing w:line="600" w:lineRule="exact"/>
              <w:ind w:firstLine="552" w:firstLineChars="200"/>
              <w:rPr>
                <w:rFonts w:eastAsia="仿宋"/>
                <w:color w:val="auto"/>
                <w:sz w:val="28"/>
                <w:szCs w:val="28"/>
              </w:rPr>
            </w:pPr>
            <w:r>
              <w:rPr>
                <w:rFonts w:eastAsia="仿宋"/>
                <w:color w:val="auto"/>
                <w:sz w:val="28"/>
                <w:szCs w:val="28"/>
              </w:rPr>
              <w:t>创可贴</w:t>
            </w:r>
          </w:p>
        </w:tc>
        <w:tc>
          <w:tcPr>
            <w:tcW w:w="1420" w:type="dxa"/>
          </w:tcPr>
          <w:p w14:paraId="2594CA0F">
            <w:pPr>
              <w:spacing w:line="600" w:lineRule="exact"/>
              <w:ind w:firstLine="552" w:firstLineChars="200"/>
              <w:jc w:val="center"/>
              <w:rPr>
                <w:rFonts w:eastAsia="仿宋"/>
                <w:color w:val="auto"/>
                <w:sz w:val="28"/>
                <w:szCs w:val="28"/>
              </w:rPr>
            </w:pPr>
          </w:p>
        </w:tc>
        <w:tc>
          <w:tcPr>
            <w:tcW w:w="1055" w:type="dxa"/>
          </w:tcPr>
          <w:p w14:paraId="58187AD6">
            <w:pPr>
              <w:spacing w:line="600" w:lineRule="exact"/>
              <w:jc w:val="center"/>
              <w:rPr>
                <w:rFonts w:eastAsia="仿宋"/>
                <w:color w:val="auto"/>
                <w:sz w:val="28"/>
                <w:szCs w:val="28"/>
              </w:rPr>
            </w:pPr>
            <w:r>
              <w:rPr>
                <w:rFonts w:eastAsia="仿宋"/>
                <w:color w:val="auto"/>
                <w:sz w:val="28"/>
                <w:szCs w:val="28"/>
              </w:rPr>
              <w:t>1盒</w:t>
            </w:r>
          </w:p>
        </w:tc>
        <w:tc>
          <w:tcPr>
            <w:tcW w:w="1355" w:type="dxa"/>
          </w:tcPr>
          <w:p w14:paraId="3E2D5855">
            <w:pPr>
              <w:spacing w:line="600" w:lineRule="exact"/>
              <w:ind w:firstLine="552" w:firstLineChars="200"/>
              <w:jc w:val="center"/>
              <w:rPr>
                <w:rFonts w:eastAsia="仿宋"/>
                <w:color w:val="auto"/>
                <w:sz w:val="28"/>
                <w:szCs w:val="28"/>
              </w:rPr>
            </w:pPr>
          </w:p>
        </w:tc>
      </w:tr>
      <w:tr w14:paraId="4B450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 w:type="dxa"/>
          </w:tcPr>
          <w:p w14:paraId="312D92D5">
            <w:pPr>
              <w:spacing w:line="600" w:lineRule="exact"/>
              <w:jc w:val="center"/>
              <w:rPr>
                <w:rFonts w:eastAsia="仿宋"/>
                <w:color w:val="auto"/>
                <w:sz w:val="28"/>
                <w:szCs w:val="28"/>
              </w:rPr>
            </w:pPr>
            <w:r>
              <w:rPr>
                <w:rFonts w:eastAsia="仿宋"/>
                <w:color w:val="auto"/>
                <w:sz w:val="28"/>
                <w:szCs w:val="28"/>
              </w:rPr>
              <w:t>4</w:t>
            </w:r>
          </w:p>
        </w:tc>
        <w:tc>
          <w:tcPr>
            <w:tcW w:w="1919" w:type="dxa"/>
          </w:tcPr>
          <w:p w14:paraId="3C66B00C">
            <w:pPr>
              <w:spacing w:line="600" w:lineRule="exact"/>
              <w:ind w:firstLine="552" w:firstLineChars="200"/>
              <w:rPr>
                <w:rFonts w:eastAsia="仿宋"/>
                <w:color w:val="auto"/>
                <w:sz w:val="28"/>
                <w:szCs w:val="28"/>
              </w:rPr>
            </w:pPr>
            <w:r>
              <w:rPr>
                <w:rFonts w:eastAsia="仿宋"/>
                <w:color w:val="auto"/>
                <w:sz w:val="28"/>
                <w:szCs w:val="28"/>
              </w:rPr>
              <w:t>保心丸</w:t>
            </w:r>
          </w:p>
        </w:tc>
        <w:tc>
          <w:tcPr>
            <w:tcW w:w="1420" w:type="dxa"/>
          </w:tcPr>
          <w:p w14:paraId="4A7C9ED1">
            <w:pPr>
              <w:spacing w:line="600" w:lineRule="exact"/>
              <w:ind w:firstLine="552" w:firstLineChars="200"/>
              <w:jc w:val="center"/>
              <w:rPr>
                <w:rFonts w:eastAsia="仿宋"/>
                <w:color w:val="auto"/>
                <w:sz w:val="28"/>
                <w:szCs w:val="28"/>
              </w:rPr>
            </w:pPr>
          </w:p>
        </w:tc>
        <w:tc>
          <w:tcPr>
            <w:tcW w:w="1055" w:type="dxa"/>
          </w:tcPr>
          <w:p w14:paraId="29E58554">
            <w:pPr>
              <w:spacing w:line="600" w:lineRule="exact"/>
              <w:jc w:val="center"/>
              <w:rPr>
                <w:rFonts w:eastAsia="仿宋"/>
                <w:color w:val="auto"/>
                <w:sz w:val="28"/>
                <w:szCs w:val="28"/>
              </w:rPr>
            </w:pPr>
            <w:r>
              <w:rPr>
                <w:rFonts w:eastAsia="仿宋"/>
                <w:color w:val="auto"/>
                <w:sz w:val="28"/>
                <w:szCs w:val="28"/>
              </w:rPr>
              <w:t>1瓶</w:t>
            </w:r>
          </w:p>
        </w:tc>
        <w:tc>
          <w:tcPr>
            <w:tcW w:w="1355" w:type="dxa"/>
          </w:tcPr>
          <w:p w14:paraId="6538B357">
            <w:pPr>
              <w:spacing w:line="600" w:lineRule="exact"/>
              <w:ind w:firstLine="552" w:firstLineChars="200"/>
              <w:jc w:val="center"/>
              <w:rPr>
                <w:rFonts w:eastAsia="仿宋"/>
                <w:color w:val="auto"/>
                <w:sz w:val="28"/>
                <w:szCs w:val="28"/>
              </w:rPr>
            </w:pPr>
          </w:p>
        </w:tc>
      </w:tr>
      <w:tr w14:paraId="174FC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9" w:type="dxa"/>
          </w:tcPr>
          <w:p w14:paraId="329A32C5">
            <w:pPr>
              <w:spacing w:line="600" w:lineRule="exact"/>
              <w:jc w:val="center"/>
              <w:rPr>
                <w:rFonts w:eastAsia="仿宋"/>
                <w:color w:val="auto"/>
                <w:sz w:val="28"/>
                <w:szCs w:val="28"/>
              </w:rPr>
            </w:pPr>
            <w:r>
              <w:rPr>
                <w:rFonts w:eastAsia="仿宋"/>
                <w:color w:val="auto"/>
                <w:sz w:val="28"/>
                <w:szCs w:val="28"/>
              </w:rPr>
              <w:t>5</w:t>
            </w:r>
          </w:p>
        </w:tc>
        <w:tc>
          <w:tcPr>
            <w:tcW w:w="1919" w:type="dxa"/>
          </w:tcPr>
          <w:p w14:paraId="609A8475">
            <w:pPr>
              <w:spacing w:line="600" w:lineRule="exact"/>
              <w:ind w:firstLine="552" w:firstLineChars="200"/>
              <w:rPr>
                <w:rFonts w:eastAsia="仿宋"/>
                <w:color w:val="auto"/>
                <w:sz w:val="28"/>
                <w:szCs w:val="28"/>
              </w:rPr>
            </w:pPr>
            <w:r>
              <w:rPr>
                <w:rFonts w:eastAsia="仿宋"/>
                <w:color w:val="auto"/>
                <w:sz w:val="28"/>
                <w:szCs w:val="28"/>
              </w:rPr>
              <w:t>医用剪刀</w:t>
            </w:r>
          </w:p>
        </w:tc>
        <w:tc>
          <w:tcPr>
            <w:tcW w:w="1420" w:type="dxa"/>
          </w:tcPr>
          <w:p w14:paraId="22D874FE">
            <w:pPr>
              <w:spacing w:line="600" w:lineRule="exact"/>
              <w:ind w:firstLine="552" w:firstLineChars="200"/>
              <w:jc w:val="center"/>
              <w:rPr>
                <w:rFonts w:eastAsia="仿宋"/>
                <w:color w:val="auto"/>
                <w:sz w:val="28"/>
                <w:szCs w:val="28"/>
              </w:rPr>
            </w:pPr>
          </w:p>
        </w:tc>
        <w:tc>
          <w:tcPr>
            <w:tcW w:w="1055" w:type="dxa"/>
          </w:tcPr>
          <w:p w14:paraId="650CEABF">
            <w:pPr>
              <w:spacing w:line="600" w:lineRule="exact"/>
              <w:jc w:val="center"/>
              <w:rPr>
                <w:rFonts w:eastAsia="仿宋"/>
                <w:color w:val="auto"/>
                <w:sz w:val="28"/>
                <w:szCs w:val="28"/>
              </w:rPr>
            </w:pPr>
            <w:r>
              <w:rPr>
                <w:rFonts w:eastAsia="仿宋"/>
                <w:color w:val="auto"/>
                <w:sz w:val="28"/>
                <w:szCs w:val="28"/>
              </w:rPr>
              <w:t>1把</w:t>
            </w:r>
          </w:p>
        </w:tc>
        <w:tc>
          <w:tcPr>
            <w:tcW w:w="1355" w:type="dxa"/>
          </w:tcPr>
          <w:p w14:paraId="3B967D40">
            <w:pPr>
              <w:spacing w:line="600" w:lineRule="exact"/>
              <w:ind w:firstLine="552" w:firstLineChars="200"/>
              <w:jc w:val="center"/>
              <w:rPr>
                <w:rFonts w:eastAsia="仿宋"/>
                <w:color w:val="auto"/>
                <w:sz w:val="28"/>
                <w:szCs w:val="28"/>
              </w:rPr>
            </w:pPr>
          </w:p>
        </w:tc>
      </w:tr>
    </w:tbl>
    <w:p w14:paraId="6BA84A75">
      <w:pPr>
        <w:spacing w:line="600" w:lineRule="exact"/>
        <w:ind w:firstLine="632" w:firstLineChars="200"/>
        <w:outlineLvl w:val="1"/>
        <w:rPr>
          <w:rFonts w:eastAsia="楷体"/>
          <w:b/>
          <w:bCs/>
          <w:color w:val="auto"/>
          <w:szCs w:val="32"/>
        </w:rPr>
      </w:pPr>
      <w:bookmarkStart w:id="36" w:name="_Toc17018"/>
      <w:bookmarkStart w:id="37" w:name="_Toc52136088"/>
      <w:r>
        <w:rPr>
          <w:rFonts w:eastAsia="楷体"/>
          <w:b/>
          <w:bCs/>
          <w:color w:val="auto"/>
          <w:szCs w:val="32"/>
        </w:rPr>
        <w:t>（三）赛场安全</w:t>
      </w:r>
      <w:bookmarkEnd w:id="36"/>
      <w:bookmarkEnd w:id="37"/>
      <w:r>
        <w:rPr>
          <w:rFonts w:eastAsia="楷体"/>
          <w:b/>
          <w:bCs/>
          <w:color w:val="auto"/>
          <w:szCs w:val="32"/>
        </w:rPr>
        <w:t xml:space="preserve"> </w:t>
      </w:r>
    </w:p>
    <w:p w14:paraId="323D6935">
      <w:pPr>
        <w:spacing w:line="600" w:lineRule="exact"/>
        <w:ind w:firstLine="632" w:firstLineChars="200"/>
        <w:rPr>
          <w:rFonts w:eastAsia="仿宋"/>
          <w:color w:val="auto"/>
          <w:szCs w:val="32"/>
        </w:rPr>
      </w:pPr>
      <w:r>
        <w:rPr>
          <w:rFonts w:eastAsia="仿宋"/>
          <w:color w:val="auto"/>
          <w:szCs w:val="32"/>
        </w:rPr>
        <w:t xml:space="preserve">大赛的安全目标——事故为零。 </w:t>
      </w:r>
    </w:p>
    <w:p w14:paraId="78F9F616">
      <w:pPr>
        <w:spacing w:line="600" w:lineRule="exact"/>
        <w:ind w:firstLine="632" w:firstLineChars="200"/>
        <w:rPr>
          <w:rFonts w:eastAsia="仿宋"/>
          <w:color w:val="auto"/>
          <w:szCs w:val="32"/>
        </w:rPr>
      </w:pPr>
      <w:bookmarkStart w:id="38" w:name="_Toc52136089"/>
      <w:r>
        <w:rPr>
          <w:rFonts w:eastAsia="仿宋"/>
          <w:color w:val="auto"/>
          <w:szCs w:val="32"/>
        </w:rPr>
        <w:t>1.选手安全防护措施要求</w:t>
      </w:r>
      <w:bookmarkEnd w:id="38"/>
      <w:r>
        <w:rPr>
          <w:rFonts w:eastAsia="仿宋"/>
          <w:b/>
          <w:bCs/>
          <w:color w:val="auto"/>
          <w:szCs w:val="32"/>
        </w:rPr>
        <w:t xml:space="preserve"> </w:t>
      </w:r>
    </w:p>
    <w:p w14:paraId="2862900C">
      <w:pPr>
        <w:spacing w:line="600" w:lineRule="exact"/>
        <w:ind w:firstLine="632" w:firstLineChars="200"/>
        <w:rPr>
          <w:rFonts w:eastAsia="仿宋"/>
          <w:color w:val="auto"/>
          <w:szCs w:val="32"/>
        </w:rPr>
      </w:pPr>
      <w:r>
        <w:rPr>
          <w:rFonts w:eastAsia="仿宋"/>
          <w:color w:val="auto"/>
          <w:szCs w:val="32"/>
        </w:rPr>
        <w:t>参赛选手应做好自身安全防护工作，在比赛过程中根据需要穿戴绝缘手套、护目镜、符合规定的工作服等，安全防护类用品由选手自备，赛场不再统一提供。</w:t>
      </w:r>
    </w:p>
    <w:p w14:paraId="683CDF1E">
      <w:pPr>
        <w:spacing w:line="600" w:lineRule="exact"/>
        <w:ind w:firstLine="632" w:firstLineChars="200"/>
        <w:rPr>
          <w:rFonts w:eastAsia="仿宋"/>
          <w:color w:val="auto"/>
          <w:szCs w:val="32"/>
        </w:rPr>
      </w:pPr>
      <w:r>
        <w:rPr>
          <w:rFonts w:eastAsia="仿宋"/>
          <w:color w:val="auto"/>
          <w:szCs w:val="32"/>
        </w:rPr>
        <w:t>比赛时，裁判员对违反安全与健康条例、违反操作规程的选手和现象将提出警告并进行纠正。不听警告，不进行纠正的参赛选手会受到不允许进入竞赛现场、罚去安全分、停止比赛、取消竞赛资格等不同程度的惩罚。</w:t>
      </w:r>
    </w:p>
    <w:p w14:paraId="02487C09">
      <w:pPr>
        <w:spacing w:line="600" w:lineRule="exact"/>
        <w:ind w:firstLine="632" w:firstLineChars="200"/>
        <w:rPr>
          <w:rFonts w:eastAsia="仿宋"/>
          <w:color w:val="auto"/>
          <w:szCs w:val="32"/>
        </w:rPr>
      </w:pPr>
      <w:bookmarkStart w:id="39" w:name="_Toc52136090"/>
      <w:r>
        <w:rPr>
          <w:rFonts w:eastAsia="仿宋"/>
          <w:color w:val="auto"/>
          <w:szCs w:val="32"/>
        </w:rPr>
        <w:t>2.有毒有害物品的管理和限制</w:t>
      </w:r>
      <w:bookmarkEnd w:id="39"/>
      <w:r>
        <w:rPr>
          <w:rFonts w:eastAsia="仿宋"/>
          <w:b/>
          <w:bCs/>
          <w:color w:val="auto"/>
          <w:szCs w:val="32"/>
        </w:rPr>
        <w:t xml:space="preserve"> </w:t>
      </w:r>
    </w:p>
    <w:p w14:paraId="31CB1B98">
      <w:pPr>
        <w:spacing w:line="600" w:lineRule="exact"/>
        <w:ind w:firstLine="632" w:firstLineChars="200"/>
        <w:rPr>
          <w:rFonts w:eastAsia="仿宋"/>
          <w:color w:val="auto"/>
          <w:szCs w:val="32"/>
        </w:rPr>
      </w:pPr>
      <w:r>
        <w:rPr>
          <w:rFonts w:eastAsia="仿宋"/>
          <w:color w:val="auto"/>
          <w:szCs w:val="32"/>
        </w:rPr>
        <w:t>严禁携带表</w:t>
      </w:r>
      <w:r>
        <w:rPr>
          <w:rFonts w:hint="eastAsia" w:eastAsia="仿宋"/>
          <w:color w:val="auto"/>
          <w:szCs w:val="32"/>
        </w:rPr>
        <w:t>9</w:t>
      </w:r>
      <w:r>
        <w:rPr>
          <w:rFonts w:eastAsia="仿宋"/>
          <w:color w:val="auto"/>
          <w:szCs w:val="32"/>
        </w:rPr>
        <w:t xml:space="preserve">中所列的和其它有毒有害物品进入赛场。 </w:t>
      </w:r>
    </w:p>
    <w:p w14:paraId="57EE6425">
      <w:pPr>
        <w:spacing w:line="600" w:lineRule="exact"/>
        <w:ind w:firstLine="632" w:firstLineChars="200"/>
        <w:jc w:val="center"/>
        <w:rPr>
          <w:rFonts w:eastAsia="仿宋"/>
          <w:color w:val="auto"/>
          <w:szCs w:val="32"/>
        </w:rPr>
      </w:pPr>
      <w:r>
        <w:rPr>
          <w:rFonts w:eastAsia="仿宋"/>
          <w:color w:val="auto"/>
          <w:szCs w:val="32"/>
        </w:rPr>
        <w:t>表</w:t>
      </w:r>
      <w:r>
        <w:rPr>
          <w:rFonts w:hint="eastAsia" w:eastAsia="仿宋"/>
          <w:color w:val="auto"/>
          <w:szCs w:val="32"/>
        </w:rPr>
        <w:t>9</w:t>
      </w:r>
      <w:r>
        <w:rPr>
          <w:rFonts w:eastAsia="仿宋"/>
          <w:color w:val="auto"/>
          <w:szCs w:val="32"/>
        </w:rPr>
        <w:t>受限有毒有害物品清单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923"/>
        <w:gridCol w:w="3662"/>
      </w:tblGrid>
      <w:tr w14:paraId="2115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14:paraId="6F84CCAF">
            <w:pPr>
              <w:spacing w:line="600" w:lineRule="exact"/>
              <w:ind w:firstLine="472" w:firstLineChars="200"/>
              <w:rPr>
                <w:rFonts w:eastAsia="仿宋"/>
                <w:color w:val="auto"/>
                <w:sz w:val="24"/>
                <w:szCs w:val="24"/>
              </w:rPr>
            </w:pPr>
            <w:r>
              <w:rPr>
                <w:rFonts w:eastAsia="仿宋"/>
                <w:color w:val="auto"/>
                <w:sz w:val="24"/>
                <w:szCs w:val="24"/>
              </w:rPr>
              <w:t>有害物品</w:t>
            </w:r>
          </w:p>
        </w:tc>
        <w:tc>
          <w:tcPr>
            <w:tcW w:w="1923" w:type="dxa"/>
            <w:vAlign w:val="center"/>
          </w:tcPr>
          <w:p w14:paraId="54AD4F55">
            <w:pPr>
              <w:spacing w:line="600" w:lineRule="exact"/>
              <w:ind w:firstLine="472" w:firstLineChars="200"/>
              <w:rPr>
                <w:rFonts w:eastAsia="仿宋"/>
                <w:color w:val="auto"/>
                <w:sz w:val="24"/>
                <w:szCs w:val="24"/>
              </w:rPr>
            </w:pPr>
            <w:r>
              <w:rPr>
                <w:rFonts w:eastAsia="仿宋"/>
                <w:color w:val="auto"/>
                <w:sz w:val="24"/>
                <w:szCs w:val="24"/>
              </w:rPr>
              <w:t>图示</w:t>
            </w:r>
          </w:p>
        </w:tc>
        <w:tc>
          <w:tcPr>
            <w:tcW w:w="3662" w:type="dxa"/>
            <w:vAlign w:val="center"/>
          </w:tcPr>
          <w:p w14:paraId="17C9502A">
            <w:pPr>
              <w:spacing w:line="600" w:lineRule="exact"/>
              <w:ind w:firstLine="472" w:firstLineChars="200"/>
              <w:rPr>
                <w:rFonts w:eastAsia="仿宋"/>
                <w:color w:val="auto"/>
                <w:sz w:val="24"/>
                <w:szCs w:val="24"/>
              </w:rPr>
            </w:pPr>
            <w:r>
              <w:rPr>
                <w:rFonts w:eastAsia="仿宋"/>
                <w:color w:val="auto"/>
                <w:sz w:val="24"/>
                <w:szCs w:val="24"/>
              </w:rPr>
              <w:t>说明</w:t>
            </w:r>
          </w:p>
        </w:tc>
      </w:tr>
      <w:tr w14:paraId="5A42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14:paraId="423BD8F1">
            <w:pPr>
              <w:spacing w:line="600" w:lineRule="exact"/>
              <w:ind w:firstLine="472" w:firstLineChars="200"/>
              <w:rPr>
                <w:rFonts w:eastAsia="仿宋"/>
                <w:color w:val="auto"/>
                <w:sz w:val="24"/>
                <w:szCs w:val="24"/>
              </w:rPr>
            </w:pPr>
            <w:r>
              <w:rPr>
                <w:rFonts w:eastAsia="仿宋"/>
                <w:color w:val="auto"/>
                <w:sz w:val="24"/>
                <w:szCs w:val="24"/>
              </w:rPr>
              <w:t>防锈清洗剂</w:t>
            </w:r>
          </w:p>
        </w:tc>
        <w:tc>
          <w:tcPr>
            <w:tcW w:w="1923" w:type="dxa"/>
            <w:vAlign w:val="center"/>
          </w:tcPr>
          <w:p w14:paraId="0CFE5DA3">
            <w:pPr>
              <w:spacing w:line="600" w:lineRule="exact"/>
              <w:ind w:firstLine="472" w:firstLineChars="200"/>
              <w:rPr>
                <w:rFonts w:eastAsia="仿宋"/>
                <w:color w:val="auto"/>
                <w:sz w:val="24"/>
                <w:szCs w:val="24"/>
              </w:rPr>
            </w:pPr>
            <w:r>
              <w:rPr>
                <w:rFonts w:eastAsia="仿宋"/>
                <w:color w:val="auto"/>
                <w:sz w:val="24"/>
                <w:szCs w:val="24"/>
              </w:rPr>
              <w:pict>
                <v:shape id="_x0000_i1025" o:spt="75" type="#_x0000_t75" style="height:36pt;width:36pt;" filled="f" o:preferrelative="t" stroked="f" coordsize="21600,21600">
                  <v:path/>
                  <v:fill on="f" focussize="0,0"/>
                  <v:stroke on="f" joinstyle="miter"/>
                  <v:imagedata r:id="rId12" o:title=""/>
                  <o:lock v:ext="edit" aspectratio="t"/>
                  <w10:wrap type="none"/>
                  <w10:anchorlock/>
                </v:shape>
              </w:pict>
            </w:r>
          </w:p>
        </w:tc>
        <w:tc>
          <w:tcPr>
            <w:tcW w:w="3662" w:type="dxa"/>
            <w:vAlign w:val="center"/>
          </w:tcPr>
          <w:p w14:paraId="155ADFA7">
            <w:pPr>
              <w:spacing w:line="600" w:lineRule="exact"/>
              <w:rPr>
                <w:rFonts w:eastAsia="仿宋"/>
                <w:color w:val="auto"/>
                <w:sz w:val="24"/>
                <w:szCs w:val="24"/>
              </w:rPr>
            </w:pPr>
            <w:r>
              <w:rPr>
                <w:rFonts w:eastAsia="仿宋"/>
                <w:color w:val="auto"/>
                <w:sz w:val="24"/>
                <w:szCs w:val="24"/>
              </w:rPr>
              <w:t>禁止携带，如有需要赛场统一提供</w:t>
            </w:r>
          </w:p>
        </w:tc>
      </w:tr>
      <w:tr w14:paraId="47EB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14:paraId="4FF1487F">
            <w:pPr>
              <w:spacing w:line="600" w:lineRule="exact"/>
              <w:ind w:firstLine="472" w:firstLineChars="200"/>
              <w:rPr>
                <w:rFonts w:eastAsia="仿宋"/>
                <w:color w:val="auto"/>
                <w:sz w:val="24"/>
                <w:szCs w:val="24"/>
              </w:rPr>
            </w:pPr>
            <w:r>
              <w:rPr>
                <w:rFonts w:eastAsia="仿宋"/>
                <w:color w:val="auto"/>
                <w:sz w:val="24"/>
                <w:szCs w:val="24"/>
              </w:rPr>
              <w:t>酒精</w:t>
            </w:r>
          </w:p>
        </w:tc>
        <w:tc>
          <w:tcPr>
            <w:tcW w:w="1923" w:type="dxa"/>
            <w:vAlign w:val="center"/>
          </w:tcPr>
          <w:p w14:paraId="767718E2">
            <w:pPr>
              <w:spacing w:line="600" w:lineRule="exact"/>
              <w:ind w:firstLine="472" w:firstLineChars="200"/>
              <w:rPr>
                <w:rFonts w:eastAsia="仿宋"/>
                <w:color w:val="auto"/>
                <w:sz w:val="24"/>
                <w:szCs w:val="24"/>
              </w:rPr>
            </w:pPr>
            <w:r>
              <w:rPr>
                <w:rFonts w:eastAsia="仿宋"/>
                <w:color w:val="auto"/>
                <w:sz w:val="24"/>
                <w:szCs w:val="24"/>
              </w:rPr>
              <w:pict>
                <v:shape id="_x0000_i1026" o:spt="75" type="#_x0000_t75" style="height:28.5pt;width:29.25pt;" filled="f" o:preferrelative="t" stroked="f" coordsize="21600,21600">
                  <v:path/>
                  <v:fill on="f" focussize="0,0"/>
                  <v:stroke on="f" joinstyle="miter"/>
                  <v:imagedata r:id="rId13" o:title=""/>
                  <o:lock v:ext="edit" aspectratio="t"/>
                  <w10:wrap type="none"/>
                  <w10:anchorlock/>
                </v:shape>
              </w:pict>
            </w:r>
          </w:p>
        </w:tc>
        <w:tc>
          <w:tcPr>
            <w:tcW w:w="3662" w:type="dxa"/>
            <w:vAlign w:val="center"/>
          </w:tcPr>
          <w:p w14:paraId="520293C1">
            <w:pPr>
              <w:spacing w:line="600" w:lineRule="exact"/>
              <w:ind w:firstLine="472" w:firstLineChars="200"/>
              <w:rPr>
                <w:rFonts w:eastAsia="仿宋"/>
                <w:color w:val="auto"/>
                <w:sz w:val="24"/>
                <w:szCs w:val="24"/>
              </w:rPr>
            </w:pPr>
            <w:r>
              <w:rPr>
                <w:rFonts w:eastAsia="仿宋"/>
                <w:color w:val="auto"/>
                <w:sz w:val="24"/>
                <w:szCs w:val="24"/>
              </w:rPr>
              <w:t>严禁携带</w:t>
            </w:r>
          </w:p>
        </w:tc>
      </w:tr>
      <w:tr w14:paraId="10325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14:paraId="27AEF5B5">
            <w:pPr>
              <w:spacing w:line="600" w:lineRule="exact"/>
              <w:ind w:firstLine="472" w:firstLineChars="200"/>
              <w:rPr>
                <w:rFonts w:eastAsia="仿宋"/>
                <w:color w:val="auto"/>
                <w:sz w:val="24"/>
                <w:szCs w:val="24"/>
              </w:rPr>
            </w:pPr>
            <w:r>
              <w:rPr>
                <w:rFonts w:eastAsia="仿宋"/>
                <w:color w:val="auto"/>
                <w:sz w:val="24"/>
                <w:szCs w:val="24"/>
              </w:rPr>
              <w:t>汽油</w:t>
            </w:r>
          </w:p>
        </w:tc>
        <w:tc>
          <w:tcPr>
            <w:tcW w:w="1923" w:type="dxa"/>
            <w:vAlign w:val="center"/>
          </w:tcPr>
          <w:p w14:paraId="7E14DE1E">
            <w:pPr>
              <w:spacing w:line="600" w:lineRule="exact"/>
              <w:ind w:firstLine="472" w:firstLineChars="200"/>
              <w:rPr>
                <w:rFonts w:eastAsia="仿宋"/>
                <w:color w:val="auto"/>
                <w:sz w:val="24"/>
                <w:szCs w:val="24"/>
              </w:rPr>
            </w:pPr>
            <w:r>
              <w:rPr>
                <w:rFonts w:eastAsia="仿宋"/>
                <w:color w:val="auto"/>
                <w:sz w:val="24"/>
                <w:szCs w:val="24"/>
              </w:rPr>
              <w:pict>
                <v:shape id="_x0000_i1027" o:spt="75" type="#_x0000_t75" style="height:27.75pt;width:31.5pt;" filled="f" o:preferrelative="t" stroked="f" coordsize="21600,21600">
                  <v:path/>
                  <v:fill on="f" focussize="0,0"/>
                  <v:stroke on="f" joinstyle="miter"/>
                  <v:imagedata r:id="rId14" o:title=""/>
                  <o:lock v:ext="edit" aspectratio="t"/>
                  <w10:wrap type="none"/>
                  <w10:anchorlock/>
                </v:shape>
              </w:pict>
            </w:r>
          </w:p>
        </w:tc>
        <w:tc>
          <w:tcPr>
            <w:tcW w:w="3662" w:type="dxa"/>
            <w:vAlign w:val="center"/>
          </w:tcPr>
          <w:p w14:paraId="019A1C0A">
            <w:pPr>
              <w:spacing w:line="600" w:lineRule="exact"/>
              <w:ind w:firstLine="472" w:firstLineChars="200"/>
              <w:rPr>
                <w:rFonts w:eastAsia="仿宋"/>
                <w:color w:val="auto"/>
                <w:sz w:val="24"/>
                <w:szCs w:val="24"/>
              </w:rPr>
            </w:pPr>
            <w:r>
              <w:rPr>
                <w:rFonts w:eastAsia="仿宋"/>
                <w:color w:val="auto"/>
                <w:sz w:val="24"/>
                <w:szCs w:val="24"/>
              </w:rPr>
              <w:t>严禁携带</w:t>
            </w:r>
          </w:p>
        </w:tc>
      </w:tr>
      <w:tr w14:paraId="52244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3" w:type="dxa"/>
            <w:vAlign w:val="center"/>
          </w:tcPr>
          <w:p w14:paraId="76639342">
            <w:pPr>
              <w:spacing w:line="600" w:lineRule="exact"/>
              <w:ind w:firstLine="472" w:firstLineChars="200"/>
              <w:rPr>
                <w:rFonts w:eastAsia="仿宋"/>
                <w:color w:val="auto"/>
                <w:sz w:val="24"/>
                <w:szCs w:val="24"/>
              </w:rPr>
            </w:pPr>
            <w:r>
              <w:rPr>
                <w:rFonts w:eastAsia="仿宋"/>
                <w:color w:val="auto"/>
                <w:sz w:val="24"/>
                <w:szCs w:val="24"/>
              </w:rPr>
              <w:t>有毒有害物</w:t>
            </w:r>
          </w:p>
        </w:tc>
        <w:tc>
          <w:tcPr>
            <w:tcW w:w="1923" w:type="dxa"/>
            <w:vAlign w:val="center"/>
          </w:tcPr>
          <w:p w14:paraId="65153BDB">
            <w:pPr>
              <w:spacing w:line="600" w:lineRule="exact"/>
              <w:ind w:firstLine="472" w:firstLineChars="200"/>
              <w:rPr>
                <w:rFonts w:eastAsia="仿宋"/>
                <w:color w:val="auto"/>
                <w:sz w:val="24"/>
                <w:szCs w:val="24"/>
              </w:rPr>
            </w:pPr>
            <w:r>
              <w:rPr>
                <w:rFonts w:eastAsia="仿宋"/>
                <w:color w:val="auto"/>
                <w:sz w:val="24"/>
                <w:szCs w:val="24"/>
              </w:rPr>
              <w:pict>
                <v:shape id="_x0000_i1028" o:spt="75" type="#_x0000_t75" style="height:25.5pt;width:51pt;" filled="f" o:preferrelative="t" stroked="f" coordsize="21600,21600">
                  <v:path/>
                  <v:fill on="f" focussize="0,0"/>
                  <v:stroke on="f" joinstyle="miter"/>
                  <v:imagedata r:id="rId15" o:title=""/>
                  <o:lock v:ext="edit" aspectratio="t"/>
                  <w10:wrap type="none"/>
                  <w10:anchorlock/>
                </v:shape>
              </w:pict>
            </w:r>
          </w:p>
        </w:tc>
        <w:tc>
          <w:tcPr>
            <w:tcW w:w="3662" w:type="dxa"/>
            <w:vAlign w:val="center"/>
          </w:tcPr>
          <w:p w14:paraId="7AA61FF0">
            <w:pPr>
              <w:spacing w:line="600" w:lineRule="exact"/>
              <w:ind w:firstLine="472" w:firstLineChars="200"/>
              <w:rPr>
                <w:rFonts w:eastAsia="仿宋"/>
                <w:color w:val="auto"/>
                <w:sz w:val="24"/>
                <w:szCs w:val="24"/>
              </w:rPr>
            </w:pPr>
            <w:r>
              <w:rPr>
                <w:rFonts w:eastAsia="仿宋"/>
                <w:color w:val="auto"/>
                <w:sz w:val="24"/>
                <w:szCs w:val="24"/>
              </w:rPr>
              <w:t>严禁携带</w:t>
            </w:r>
          </w:p>
        </w:tc>
      </w:tr>
    </w:tbl>
    <w:p w14:paraId="543130DE">
      <w:pPr>
        <w:spacing w:line="600" w:lineRule="exact"/>
        <w:ind w:firstLine="632" w:firstLineChars="200"/>
        <w:rPr>
          <w:rFonts w:eastAsia="仿宋"/>
          <w:color w:val="auto"/>
          <w:szCs w:val="32"/>
        </w:rPr>
      </w:pPr>
      <w:r>
        <w:rPr>
          <w:rFonts w:eastAsia="仿宋"/>
          <w:color w:val="auto"/>
          <w:szCs w:val="32"/>
        </w:rPr>
        <w:t>3.绿色环保</w:t>
      </w:r>
    </w:p>
    <w:p w14:paraId="7E2C9E98">
      <w:pPr>
        <w:spacing w:line="600" w:lineRule="exact"/>
        <w:ind w:firstLine="632" w:firstLineChars="200"/>
        <w:rPr>
          <w:rFonts w:eastAsia="仿宋"/>
          <w:color w:val="auto"/>
          <w:szCs w:val="32"/>
        </w:rPr>
      </w:pPr>
      <w:r>
        <w:rPr>
          <w:rFonts w:eastAsia="仿宋"/>
          <w:color w:val="auto"/>
          <w:szCs w:val="32"/>
        </w:rPr>
        <w:t>（1）环境保护</w:t>
      </w:r>
    </w:p>
    <w:p w14:paraId="10CD2748">
      <w:pPr>
        <w:spacing w:line="600" w:lineRule="exact"/>
        <w:ind w:firstLine="632" w:firstLineChars="200"/>
        <w:rPr>
          <w:rFonts w:eastAsia="仿宋"/>
          <w:color w:val="auto"/>
          <w:szCs w:val="32"/>
        </w:rPr>
      </w:pPr>
      <w:r>
        <w:rPr>
          <w:rFonts w:eastAsia="仿宋"/>
          <w:color w:val="auto"/>
          <w:szCs w:val="32"/>
        </w:rPr>
        <w:t>大赛应注重环境保护，绝不允许破坏环境。</w:t>
      </w:r>
    </w:p>
    <w:p w14:paraId="2968A496">
      <w:pPr>
        <w:spacing w:line="600" w:lineRule="exact"/>
        <w:ind w:firstLine="632" w:firstLineChars="200"/>
        <w:rPr>
          <w:rFonts w:eastAsia="仿宋"/>
          <w:color w:val="auto"/>
          <w:szCs w:val="32"/>
        </w:rPr>
      </w:pPr>
      <w:r>
        <w:rPr>
          <w:rFonts w:eastAsia="仿宋"/>
          <w:color w:val="auto"/>
          <w:szCs w:val="32"/>
        </w:rPr>
        <w:t>（2）循环利用</w:t>
      </w:r>
    </w:p>
    <w:p w14:paraId="2E7EE782">
      <w:pPr>
        <w:spacing w:line="600" w:lineRule="exact"/>
        <w:ind w:firstLine="632" w:firstLineChars="200"/>
        <w:rPr>
          <w:rFonts w:eastAsia="仿宋"/>
          <w:color w:val="auto"/>
          <w:szCs w:val="32"/>
        </w:rPr>
      </w:pPr>
      <w:r>
        <w:rPr>
          <w:rFonts w:eastAsia="仿宋"/>
          <w:color w:val="auto"/>
          <w:szCs w:val="32"/>
        </w:rPr>
        <w:t>大赛期间产生的废料必须分类收集和回收。</w:t>
      </w:r>
    </w:p>
    <w:p w14:paraId="558437F9">
      <w:pPr>
        <w:pStyle w:val="12"/>
        <w:spacing w:line="600" w:lineRule="exact"/>
        <w:ind w:firstLine="0" w:firstLineChars="0"/>
        <w:rPr>
          <w:rFonts w:ascii="Times New Roman" w:hAnsi="Times New Roman" w:eastAsia="仿宋"/>
          <w:color w:val="auto"/>
          <w:lang w:eastAsia="zh-CN"/>
        </w:rPr>
      </w:pPr>
      <w:r>
        <w:rPr>
          <w:rFonts w:ascii="Times New Roman" w:hAnsi="Times New Roman" w:eastAsia="仿宋"/>
          <w:color w:val="auto"/>
          <w:lang w:eastAsia="zh-CN"/>
        </w:rPr>
        <w:br w:type="page"/>
      </w:r>
      <w:bookmarkStart w:id="40" w:name="_Toc8952"/>
      <w:r>
        <w:rPr>
          <w:rFonts w:ascii="Times New Roman" w:hAnsi="Times New Roman"/>
          <w:bCs/>
          <w:color w:val="auto"/>
          <w:lang w:val="en-US" w:eastAsia="zh-CN"/>
        </w:rPr>
        <w:t>六、附件</w:t>
      </w:r>
      <w:r>
        <w:rPr>
          <w:rFonts w:hint="eastAsia" w:ascii="Times New Roman" w:hAnsi="Times New Roman"/>
          <w:bCs/>
          <w:color w:val="auto"/>
          <w:lang w:val="en-US" w:eastAsia="zh-CN"/>
        </w:rPr>
        <w:t>：</w:t>
      </w:r>
      <w:r>
        <w:rPr>
          <w:rFonts w:ascii="Times New Roman" w:hAnsi="Times New Roman"/>
          <w:bCs/>
          <w:color w:val="auto"/>
          <w:lang w:val="en-US" w:eastAsia="zh-CN"/>
        </w:rPr>
        <w:t>样题</w:t>
      </w:r>
      <w:bookmarkEnd w:id="40"/>
    </w:p>
    <w:p w14:paraId="4C642BD0">
      <w:pPr>
        <w:spacing w:line="600" w:lineRule="exact"/>
        <w:rPr>
          <w:b/>
          <w:bCs/>
          <w:color w:val="auto"/>
          <w:kern w:val="0"/>
          <w:sz w:val="44"/>
          <w:szCs w:val="44"/>
        </w:rPr>
      </w:pPr>
    </w:p>
    <w:p w14:paraId="39F1BB08">
      <w:pPr>
        <w:spacing w:line="600" w:lineRule="exact"/>
        <w:jc w:val="center"/>
        <w:rPr>
          <w:b/>
          <w:bCs/>
          <w:color w:val="auto"/>
          <w:kern w:val="0"/>
          <w:sz w:val="44"/>
          <w:szCs w:val="44"/>
        </w:rPr>
      </w:pPr>
    </w:p>
    <w:p w14:paraId="09A0EE09">
      <w:pPr>
        <w:spacing w:line="600" w:lineRule="exact"/>
        <w:jc w:val="center"/>
        <w:rPr>
          <w:rFonts w:eastAsia="宋体"/>
          <w:b/>
          <w:bCs/>
          <w:color w:val="auto"/>
          <w:kern w:val="0"/>
          <w:sz w:val="44"/>
          <w:szCs w:val="44"/>
        </w:rPr>
      </w:pPr>
      <w:r>
        <w:rPr>
          <w:rFonts w:eastAsia="宋体"/>
          <w:b/>
          <w:bCs/>
          <w:color w:val="auto"/>
          <w:kern w:val="0"/>
          <w:sz w:val="44"/>
          <w:szCs w:val="44"/>
        </w:rPr>
        <w:t>沈阳市第四届“舒心传技”职业技能大赛</w:t>
      </w:r>
    </w:p>
    <w:p w14:paraId="7DD897B9">
      <w:pPr>
        <w:spacing w:line="600" w:lineRule="exact"/>
        <w:jc w:val="center"/>
        <w:rPr>
          <w:b/>
          <w:bCs/>
          <w:color w:val="auto"/>
          <w:kern w:val="0"/>
          <w:sz w:val="44"/>
          <w:szCs w:val="44"/>
        </w:rPr>
      </w:pPr>
      <w:r>
        <w:rPr>
          <w:b/>
          <w:bCs/>
          <w:color w:val="auto"/>
          <w:kern w:val="0"/>
          <w:sz w:val="44"/>
          <w:szCs w:val="44"/>
        </w:rPr>
        <w:t xml:space="preserve"> </w:t>
      </w:r>
    </w:p>
    <w:p w14:paraId="794186D8">
      <w:pPr>
        <w:spacing w:line="600" w:lineRule="exact"/>
        <w:jc w:val="center"/>
        <w:rPr>
          <w:rFonts w:eastAsia="宋体"/>
          <w:b/>
          <w:bCs/>
          <w:color w:val="auto"/>
          <w:sz w:val="44"/>
          <w:szCs w:val="44"/>
        </w:rPr>
      </w:pPr>
      <w:r>
        <w:rPr>
          <w:rFonts w:eastAsia="宋体"/>
          <w:b/>
          <w:bCs/>
          <w:color w:val="auto"/>
          <w:sz w:val="44"/>
          <w:szCs w:val="44"/>
        </w:rPr>
        <w:t>集成电路工程技术项目</w:t>
      </w:r>
    </w:p>
    <w:p w14:paraId="61DF095F">
      <w:pPr>
        <w:spacing w:line="360" w:lineRule="auto"/>
        <w:jc w:val="center"/>
        <w:rPr>
          <w:b/>
          <w:color w:val="auto"/>
          <w:sz w:val="36"/>
          <w:szCs w:val="36"/>
        </w:rPr>
      </w:pPr>
    </w:p>
    <w:p w14:paraId="447779EC">
      <w:pPr>
        <w:spacing w:line="360" w:lineRule="auto"/>
        <w:jc w:val="center"/>
        <w:rPr>
          <w:b/>
          <w:bCs/>
          <w:color w:val="auto"/>
          <w:sz w:val="36"/>
          <w:szCs w:val="36"/>
        </w:rPr>
      </w:pPr>
    </w:p>
    <w:p w14:paraId="368D289A">
      <w:pPr>
        <w:spacing w:line="360" w:lineRule="auto"/>
        <w:jc w:val="center"/>
        <w:rPr>
          <w:b/>
          <w:bCs/>
          <w:color w:val="auto"/>
          <w:sz w:val="36"/>
          <w:szCs w:val="36"/>
        </w:rPr>
      </w:pPr>
    </w:p>
    <w:p w14:paraId="605B7BED">
      <w:pPr>
        <w:spacing w:line="360" w:lineRule="auto"/>
        <w:rPr>
          <w:b/>
          <w:bCs/>
          <w:color w:val="auto"/>
          <w:sz w:val="36"/>
          <w:szCs w:val="36"/>
        </w:rPr>
      </w:pPr>
    </w:p>
    <w:p w14:paraId="30AE2717">
      <w:pPr>
        <w:spacing w:line="360" w:lineRule="auto"/>
        <w:jc w:val="center"/>
        <w:rPr>
          <w:b/>
          <w:bCs/>
          <w:color w:val="auto"/>
          <w:sz w:val="44"/>
          <w:szCs w:val="44"/>
        </w:rPr>
      </w:pPr>
      <w:r>
        <w:rPr>
          <w:b/>
          <w:bCs/>
          <w:color w:val="auto"/>
          <w:sz w:val="44"/>
          <w:szCs w:val="44"/>
        </w:rPr>
        <w:t>样  题</w:t>
      </w:r>
    </w:p>
    <w:p w14:paraId="241E57BA">
      <w:pPr>
        <w:spacing w:line="360" w:lineRule="auto"/>
        <w:jc w:val="center"/>
        <w:rPr>
          <w:color w:val="auto"/>
          <w:szCs w:val="32"/>
        </w:rPr>
      </w:pPr>
    </w:p>
    <w:p w14:paraId="3B184127">
      <w:pPr>
        <w:spacing w:line="360" w:lineRule="auto"/>
        <w:jc w:val="center"/>
        <w:rPr>
          <w:color w:val="auto"/>
          <w:szCs w:val="32"/>
        </w:rPr>
      </w:pPr>
    </w:p>
    <w:p w14:paraId="2C88530E">
      <w:pPr>
        <w:spacing w:line="360" w:lineRule="auto"/>
        <w:jc w:val="center"/>
        <w:rPr>
          <w:color w:val="auto"/>
          <w:szCs w:val="32"/>
        </w:rPr>
      </w:pPr>
    </w:p>
    <w:p w14:paraId="04E70A6B">
      <w:pPr>
        <w:widowControl/>
        <w:spacing w:line="360" w:lineRule="auto"/>
        <w:jc w:val="center"/>
        <w:rPr>
          <w:rFonts w:eastAsia="宋体"/>
          <w:b/>
          <w:bCs/>
          <w:color w:val="auto"/>
          <w:sz w:val="28"/>
          <w:szCs w:val="28"/>
        </w:rPr>
      </w:pPr>
      <w:r>
        <w:rPr>
          <w:rFonts w:eastAsia="宋体"/>
          <w:b/>
          <w:bCs/>
          <w:color w:val="auto"/>
          <w:sz w:val="28"/>
          <w:szCs w:val="28"/>
        </w:rPr>
        <w:t>2025 年10月</w:t>
      </w:r>
    </w:p>
    <w:p w14:paraId="4A940B42">
      <w:pPr>
        <w:rPr>
          <w:rFonts w:eastAsia="仿宋"/>
          <w:b/>
          <w:bCs/>
          <w:color w:val="auto"/>
          <w:spacing w:val="6"/>
          <w:kern w:val="0"/>
          <w:sz w:val="27"/>
          <w:szCs w:val="27"/>
        </w:rPr>
      </w:pPr>
      <w:r>
        <w:rPr>
          <w:rFonts w:eastAsia="华文楷体"/>
          <w:b/>
          <w:bCs/>
          <w:color w:val="auto"/>
          <w:sz w:val="44"/>
          <w:szCs w:val="44"/>
        </w:rPr>
        <w:br w:type="page"/>
      </w:r>
      <w:r>
        <w:rPr>
          <w:rFonts w:eastAsia="仿宋"/>
          <w:b/>
          <w:bCs/>
          <w:color w:val="auto"/>
          <w:spacing w:val="6"/>
          <w:kern w:val="0"/>
          <w:sz w:val="27"/>
          <w:szCs w:val="27"/>
        </w:rPr>
        <w:t>比赛日期：        竞赛场次：第</w:t>
      </w:r>
      <w:r>
        <w:rPr>
          <w:rFonts w:eastAsia="仿宋"/>
          <w:color w:val="auto"/>
          <w:spacing w:val="-114"/>
          <w:kern w:val="0"/>
          <w:sz w:val="27"/>
          <w:szCs w:val="27"/>
        </w:rPr>
        <w:t xml:space="preserve"> </w:t>
      </w:r>
      <w:r>
        <w:rPr>
          <w:rFonts w:eastAsia="仿宋"/>
          <w:color w:val="auto"/>
          <w:spacing w:val="5"/>
          <w:kern w:val="0"/>
          <w:sz w:val="27"/>
          <w:szCs w:val="27"/>
          <w:u w:val="single"/>
        </w:rPr>
        <w:t xml:space="preserve">     </w:t>
      </w:r>
      <w:r>
        <w:rPr>
          <w:rFonts w:eastAsia="仿宋"/>
          <w:color w:val="auto"/>
          <w:spacing w:val="-124"/>
          <w:kern w:val="0"/>
          <w:sz w:val="27"/>
          <w:szCs w:val="27"/>
        </w:rPr>
        <w:t xml:space="preserve"> </w:t>
      </w:r>
      <w:r>
        <w:rPr>
          <w:rFonts w:eastAsia="仿宋"/>
          <w:b/>
          <w:bCs/>
          <w:color w:val="auto"/>
          <w:spacing w:val="6"/>
          <w:kern w:val="0"/>
          <w:sz w:val="27"/>
          <w:szCs w:val="27"/>
        </w:rPr>
        <w:t>场</w:t>
      </w:r>
      <w:r>
        <w:rPr>
          <w:rFonts w:eastAsia="仿宋"/>
          <w:color w:val="auto"/>
          <w:spacing w:val="6"/>
          <w:kern w:val="0"/>
          <w:sz w:val="27"/>
          <w:szCs w:val="27"/>
        </w:rPr>
        <w:t xml:space="preserve">     </w:t>
      </w:r>
      <w:r>
        <w:rPr>
          <w:rFonts w:eastAsia="仿宋"/>
          <w:b/>
          <w:bCs/>
          <w:color w:val="auto"/>
          <w:spacing w:val="6"/>
          <w:kern w:val="0"/>
          <w:sz w:val="27"/>
          <w:szCs w:val="27"/>
        </w:rPr>
        <w:t>赛位号：第</w:t>
      </w:r>
      <w:r>
        <w:rPr>
          <w:rFonts w:eastAsia="仿宋"/>
          <w:color w:val="auto"/>
          <w:spacing w:val="-116"/>
          <w:kern w:val="0"/>
          <w:sz w:val="27"/>
          <w:szCs w:val="27"/>
        </w:rPr>
        <w:t xml:space="preserve"> </w:t>
      </w:r>
      <w:r>
        <w:rPr>
          <w:rFonts w:eastAsia="仿宋"/>
          <w:color w:val="auto"/>
          <w:spacing w:val="23"/>
          <w:kern w:val="0"/>
          <w:sz w:val="27"/>
          <w:szCs w:val="27"/>
          <w:u w:val="single"/>
        </w:rPr>
        <w:t xml:space="preserve">    </w:t>
      </w:r>
      <w:r>
        <w:rPr>
          <w:rFonts w:eastAsia="仿宋"/>
          <w:color w:val="auto"/>
          <w:spacing w:val="-115"/>
          <w:kern w:val="0"/>
          <w:sz w:val="27"/>
          <w:szCs w:val="27"/>
        </w:rPr>
        <w:t xml:space="preserve"> </w:t>
      </w:r>
      <w:r>
        <w:rPr>
          <w:rFonts w:eastAsia="仿宋"/>
          <w:b/>
          <w:bCs/>
          <w:color w:val="auto"/>
          <w:spacing w:val="6"/>
          <w:kern w:val="0"/>
          <w:sz w:val="27"/>
          <w:szCs w:val="27"/>
        </w:rPr>
        <w:t>号</w:t>
      </w:r>
    </w:p>
    <w:p w14:paraId="2C80AECE">
      <w:pPr>
        <w:jc w:val="center"/>
        <w:rPr>
          <w:rFonts w:eastAsia="华文楷体"/>
          <w:b/>
          <w:bCs/>
          <w:color w:val="auto"/>
          <w:sz w:val="44"/>
          <w:szCs w:val="44"/>
        </w:rPr>
      </w:pPr>
      <w:r>
        <w:rPr>
          <w:rFonts w:eastAsia="华文楷体"/>
          <w:b/>
          <w:bCs/>
          <w:color w:val="auto"/>
          <w:sz w:val="44"/>
          <w:szCs w:val="44"/>
        </w:rPr>
        <w:t>任务书</w:t>
      </w:r>
    </w:p>
    <w:p w14:paraId="5FBEE7C8">
      <w:pPr>
        <w:autoSpaceDE w:val="0"/>
        <w:autoSpaceDN w:val="0"/>
        <w:snapToGrid w:val="0"/>
        <w:spacing w:before="89" w:line="20" w:lineRule="atLeast"/>
        <w:ind w:left="312"/>
        <w:jc w:val="left"/>
        <w:rPr>
          <w:rFonts w:eastAsia="黑体"/>
          <w:color w:val="auto"/>
          <w:szCs w:val="32"/>
        </w:rPr>
      </w:pPr>
      <w:bookmarkStart w:id="41" w:name="_Toc168569886"/>
      <w:r>
        <w:rPr>
          <w:rFonts w:eastAsia="黑体"/>
          <w:color w:val="auto"/>
          <w:szCs w:val="32"/>
        </w:rPr>
        <w:t>一、选手须知</w:t>
      </w:r>
      <w:bookmarkEnd w:id="41"/>
    </w:p>
    <w:p w14:paraId="39CEC06B">
      <w:pPr>
        <w:spacing w:line="600" w:lineRule="exact"/>
        <w:ind w:firstLine="632" w:firstLineChars="200"/>
        <w:rPr>
          <w:rFonts w:eastAsia="仿宋"/>
          <w:b/>
          <w:bCs/>
          <w:color w:val="auto"/>
          <w:szCs w:val="32"/>
        </w:rPr>
      </w:pPr>
      <w:r>
        <w:rPr>
          <w:rFonts w:eastAsia="仿宋"/>
          <w:b/>
          <w:bCs/>
          <w:color w:val="auto"/>
          <w:szCs w:val="32"/>
        </w:rPr>
        <w:t>请各位选手赛前务必仔细研读以下内容:</w:t>
      </w:r>
    </w:p>
    <w:p w14:paraId="4BB89DC4">
      <w:pPr>
        <w:pStyle w:val="69"/>
        <w:spacing w:line="600" w:lineRule="exact"/>
        <w:ind w:left="560" w:firstLine="0" w:firstLineChars="0"/>
        <w:rPr>
          <w:rFonts w:ascii="Times New Roman" w:hAnsi="Times New Roman" w:eastAsia="仿宋"/>
          <w:color w:val="auto"/>
          <w:sz w:val="32"/>
          <w:szCs w:val="32"/>
        </w:rPr>
      </w:pPr>
      <w:r>
        <w:rPr>
          <w:rFonts w:ascii="Times New Roman" w:hAnsi="Times New Roman" w:eastAsia="仿宋"/>
          <w:color w:val="auto"/>
          <w:sz w:val="32"/>
          <w:szCs w:val="32"/>
        </w:rPr>
        <w:t>1.本任务书总分为100分，考试时间为</w:t>
      </w:r>
      <w:r>
        <w:rPr>
          <w:rFonts w:hint="eastAsia" w:ascii="Times New Roman" w:hAnsi="Times New Roman" w:eastAsia="仿宋"/>
          <w:color w:val="auto"/>
          <w:sz w:val="32"/>
          <w:szCs w:val="32"/>
        </w:rPr>
        <w:t>4</w:t>
      </w:r>
      <w:r>
        <w:rPr>
          <w:rFonts w:ascii="Times New Roman" w:hAnsi="Times New Roman" w:eastAsia="仿宋"/>
          <w:color w:val="auto"/>
          <w:sz w:val="32"/>
          <w:szCs w:val="32"/>
        </w:rPr>
        <w:t>小时（</w:t>
      </w:r>
      <w:r>
        <w:rPr>
          <w:rFonts w:hint="eastAsia" w:ascii="Times New Roman" w:hAnsi="Times New Roman" w:eastAsia="仿宋"/>
          <w:color w:val="auto"/>
          <w:sz w:val="32"/>
          <w:szCs w:val="32"/>
        </w:rPr>
        <w:t>24</w:t>
      </w:r>
      <w:r>
        <w:rPr>
          <w:rFonts w:ascii="Times New Roman" w:hAnsi="Times New Roman" w:eastAsia="仿宋"/>
          <w:color w:val="auto"/>
          <w:sz w:val="32"/>
          <w:szCs w:val="32"/>
        </w:rPr>
        <w:t>0分钟）。</w:t>
      </w:r>
    </w:p>
    <w:p w14:paraId="04893A54">
      <w:pPr>
        <w:pStyle w:val="69"/>
        <w:spacing w:line="600" w:lineRule="exact"/>
        <w:ind w:firstLine="632"/>
        <w:rPr>
          <w:rFonts w:ascii="Times New Roman" w:hAnsi="Times New Roman" w:eastAsia="仿宋"/>
          <w:color w:val="auto"/>
          <w:sz w:val="32"/>
          <w:szCs w:val="32"/>
        </w:rPr>
      </w:pPr>
      <w:r>
        <w:rPr>
          <w:rFonts w:ascii="Times New Roman" w:hAnsi="Times New Roman" w:eastAsia="仿宋"/>
          <w:color w:val="auto"/>
          <w:sz w:val="32"/>
          <w:szCs w:val="32"/>
        </w:rPr>
        <w:t>2.选手在实操过程中应遵守竞赛规则和安全守则，确保人身和设备安全。如有违反，则按照相关规定在考试的总成绩中扣除相应分值。</w:t>
      </w:r>
    </w:p>
    <w:p w14:paraId="1F8F5EFE">
      <w:pPr>
        <w:pStyle w:val="69"/>
        <w:spacing w:line="600" w:lineRule="exact"/>
        <w:ind w:left="560" w:firstLine="0" w:firstLineChars="0"/>
        <w:rPr>
          <w:rFonts w:ascii="Times New Roman" w:hAnsi="Times New Roman" w:eastAsia="仿宋"/>
          <w:color w:val="auto"/>
          <w:sz w:val="32"/>
          <w:szCs w:val="32"/>
        </w:rPr>
      </w:pPr>
      <w:r>
        <w:rPr>
          <w:rFonts w:ascii="Times New Roman" w:hAnsi="Times New Roman" w:eastAsia="仿宋"/>
          <w:color w:val="auto"/>
          <w:sz w:val="32"/>
          <w:szCs w:val="32"/>
        </w:rPr>
        <w:t>3.记录表中数据用黑色水性笔填写，表中数据文字涂改后无效。</w:t>
      </w:r>
    </w:p>
    <w:p w14:paraId="5A3BEBC5">
      <w:pPr>
        <w:pStyle w:val="69"/>
        <w:spacing w:line="600" w:lineRule="exact"/>
        <w:ind w:left="560" w:firstLine="0" w:firstLineChars="0"/>
        <w:rPr>
          <w:rFonts w:ascii="Times New Roman" w:hAnsi="Times New Roman" w:eastAsia="仿宋"/>
          <w:color w:val="auto"/>
          <w:sz w:val="32"/>
          <w:szCs w:val="32"/>
        </w:rPr>
      </w:pPr>
      <w:r>
        <w:rPr>
          <w:rFonts w:ascii="Times New Roman" w:hAnsi="Times New Roman" w:eastAsia="仿宋"/>
          <w:color w:val="auto"/>
          <w:sz w:val="32"/>
          <w:szCs w:val="32"/>
        </w:rPr>
        <w:t>4.考试过程中考生不得使用自带U盘及其它移动设备拷贝相关文件。</w:t>
      </w:r>
    </w:p>
    <w:p w14:paraId="47D0D8EE">
      <w:pPr>
        <w:pStyle w:val="69"/>
        <w:spacing w:line="600" w:lineRule="exact"/>
        <w:ind w:left="560" w:firstLine="0" w:firstLineChars="0"/>
        <w:rPr>
          <w:rFonts w:ascii="Times New Roman" w:hAnsi="Times New Roman" w:eastAsia="仿宋"/>
          <w:color w:val="auto"/>
          <w:sz w:val="32"/>
          <w:szCs w:val="32"/>
        </w:rPr>
      </w:pPr>
      <w:r>
        <w:rPr>
          <w:rFonts w:ascii="Times New Roman" w:hAnsi="Times New Roman" w:eastAsia="仿宋"/>
          <w:color w:val="auto"/>
          <w:sz w:val="32"/>
          <w:szCs w:val="32"/>
        </w:rPr>
        <w:t>5.禁止使用相机及手机对试题进行拍照，否则取消考试资格。</w:t>
      </w:r>
    </w:p>
    <w:p w14:paraId="321EFFAC">
      <w:pPr>
        <w:pStyle w:val="69"/>
        <w:spacing w:line="600" w:lineRule="exact"/>
        <w:ind w:firstLine="632"/>
        <w:rPr>
          <w:rFonts w:ascii="Times New Roman" w:hAnsi="Times New Roman" w:eastAsia="仿宋"/>
          <w:color w:val="auto"/>
          <w:sz w:val="32"/>
          <w:szCs w:val="32"/>
        </w:rPr>
      </w:pPr>
      <w:r>
        <w:rPr>
          <w:rFonts w:ascii="Times New Roman" w:hAnsi="Times New Roman" w:eastAsia="仿宋"/>
          <w:color w:val="auto"/>
          <w:sz w:val="32"/>
          <w:szCs w:val="32"/>
        </w:rPr>
        <w:t>6.本任务书中只准许选手填写竞赛场次及工位号，不准许在任务书任何处做标记或暴露任何选手信息。</w:t>
      </w:r>
    </w:p>
    <w:p w14:paraId="6A4341D3">
      <w:pPr>
        <w:pStyle w:val="69"/>
        <w:spacing w:line="600" w:lineRule="exact"/>
        <w:ind w:firstLine="632"/>
        <w:rPr>
          <w:rFonts w:ascii="Times New Roman" w:hAnsi="Times New Roman" w:eastAsia="仿宋"/>
          <w:color w:val="auto"/>
          <w:sz w:val="32"/>
          <w:szCs w:val="32"/>
        </w:rPr>
      </w:pPr>
      <w:r>
        <w:rPr>
          <w:rFonts w:ascii="Times New Roman" w:hAnsi="Times New Roman" w:eastAsia="仿宋"/>
          <w:color w:val="auto"/>
          <w:sz w:val="32"/>
          <w:szCs w:val="32"/>
        </w:rPr>
        <w:t>7.选手在竞赛过程中违反工艺纪律或由于人为因素造成仪器、场景道具、设备损坏的视情节严重程度扣除分值，或直接取消比赛资格。</w:t>
      </w:r>
    </w:p>
    <w:p w14:paraId="31411B69">
      <w:pPr>
        <w:pStyle w:val="69"/>
        <w:spacing w:line="600" w:lineRule="exact"/>
        <w:ind w:firstLine="632"/>
        <w:rPr>
          <w:rFonts w:ascii="Times New Roman" w:hAnsi="Times New Roman" w:eastAsia="仿宋"/>
          <w:color w:val="auto"/>
          <w:sz w:val="32"/>
          <w:szCs w:val="32"/>
        </w:rPr>
      </w:pPr>
      <w:r>
        <w:rPr>
          <w:rFonts w:ascii="Times New Roman" w:hAnsi="Times New Roman" w:eastAsia="仿宋"/>
          <w:color w:val="auto"/>
          <w:sz w:val="32"/>
          <w:szCs w:val="32"/>
        </w:rPr>
        <w:t>8.本任务书共计7页，如有缺页，请立即与裁判联系。</w:t>
      </w:r>
    </w:p>
    <w:p w14:paraId="29C56A3B">
      <w:pPr>
        <w:pStyle w:val="69"/>
        <w:spacing w:line="600" w:lineRule="exact"/>
        <w:ind w:firstLine="632"/>
        <w:rPr>
          <w:rFonts w:ascii="Times New Roman" w:hAnsi="Times New Roman" w:eastAsia="仿宋"/>
          <w:color w:val="auto"/>
          <w:sz w:val="32"/>
          <w:szCs w:val="32"/>
        </w:rPr>
      </w:pPr>
    </w:p>
    <w:p w14:paraId="1589202B">
      <w:pPr>
        <w:pStyle w:val="69"/>
        <w:spacing w:line="600" w:lineRule="exact"/>
        <w:ind w:firstLine="552"/>
        <w:rPr>
          <w:rFonts w:ascii="Times New Roman" w:hAnsi="Times New Roman" w:eastAsia="仿宋"/>
          <w:color w:val="auto"/>
          <w:sz w:val="28"/>
          <w:szCs w:val="28"/>
        </w:rPr>
      </w:pPr>
    </w:p>
    <w:p w14:paraId="507F02B7">
      <w:pPr>
        <w:spacing w:before="289" w:after="289" w:line="560" w:lineRule="exact"/>
        <w:ind w:firstLine="552"/>
        <w:rPr>
          <w:rFonts w:eastAsia="黑体"/>
          <w:color w:val="auto"/>
          <w:szCs w:val="32"/>
        </w:rPr>
      </w:pPr>
      <w:bookmarkStart w:id="42" w:name="_Toc4287732"/>
      <w:bookmarkStart w:id="43" w:name="_Toc168569887"/>
      <w:r>
        <w:rPr>
          <w:rFonts w:eastAsia="黑体"/>
          <w:color w:val="auto"/>
          <w:szCs w:val="32"/>
        </w:rPr>
        <w:t>二、</w:t>
      </w:r>
      <w:bookmarkEnd w:id="42"/>
      <w:r>
        <w:rPr>
          <w:rFonts w:eastAsia="黑体"/>
          <w:color w:val="auto"/>
          <w:szCs w:val="32"/>
        </w:rPr>
        <w:t>试题与评分标准</w:t>
      </w:r>
      <w:bookmarkEnd w:id="43"/>
    </w:p>
    <w:p w14:paraId="33980843">
      <w:pPr>
        <w:spacing w:before="212"/>
        <w:ind w:right="158" w:rightChars="50" w:firstLine="632" w:firstLineChars="200"/>
        <w:rPr>
          <w:b/>
          <w:bCs/>
          <w:color w:val="auto"/>
          <w:szCs w:val="32"/>
        </w:rPr>
      </w:pPr>
      <w:r>
        <w:rPr>
          <w:b/>
          <w:bCs/>
          <w:color w:val="auto"/>
          <w:szCs w:val="32"/>
        </w:rPr>
        <w:t>第一部分：数字集成电路设计与仿真验证（50分）</w:t>
      </w:r>
    </w:p>
    <w:p w14:paraId="6A81CDC0">
      <w:pPr>
        <w:ind w:right="158" w:rightChars="50" w:firstLine="632" w:firstLineChars="200"/>
        <w:rPr>
          <w:color w:val="auto"/>
          <w:szCs w:val="32"/>
        </w:rPr>
      </w:pPr>
      <w:r>
        <w:rPr>
          <w:color w:val="auto"/>
          <w:szCs w:val="32"/>
        </w:rPr>
        <w:t>本任务基于集成电路工程技术平台使用“</w:t>
      </w:r>
      <w:r>
        <w:rPr>
          <w:rFonts w:eastAsia="黑体"/>
          <w:color w:val="auto"/>
          <w:szCs w:val="32"/>
        </w:rPr>
        <w:t>Vivado</w:t>
      </w:r>
      <w:r>
        <w:rPr>
          <w:color w:val="auto"/>
          <w:szCs w:val="32"/>
        </w:rPr>
        <w:t>”软件及</w:t>
      </w:r>
      <w:r>
        <w:rPr>
          <w:rFonts w:eastAsia="黑体"/>
          <w:color w:val="auto"/>
          <w:szCs w:val="32"/>
        </w:rPr>
        <w:t>Xilinx</w:t>
      </w:r>
      <w:r>
        <w:rPr>
          <w:color w:val="auto"/>
          <w:szCs w:val="32"/>
        </w:rPr>
        <w:t>可编程逻辑器件实现数字逻辑电路设计FPGA。</w:t>
      </w:r>
    </w:p>
    <w:p w14:paraId="10BF2FAC">
      <w:pPr>
        <w:ind w:right="158" w:rightChars="50" w:firstLine="632" w:firstLineChars="200"/>
        <w:rPr>
          <w:color w:val="auto"/>
          <w:szCs w:val="32"/>
        </w:rPr>
      </w:pPr>
      <w:r>
        <w:rPr>
          <w:color w:val="auto"/>
          <w:szCs w:val="32"/>
        </w:rPr>
        <w:t>样题1：</w:t>
      </w:r>
    </w:p>
    <w:p w14:paraId="119482B3">
      <w:pPr>
        <w:ind w:right="158" w:rightChars="50" w:firstLine="632" w:firstLineChars="200"/>
        <w:rPr>
          <w:color w:val="auto"/>
          <w:szCs w:val="32"/>
        </w:rPr>
      </w:pPr>
      <w:r>
        <w:rPr>
          <w:color w:val="auto"/>
          <w:szCs w:val="32"/>
        </w:rPr>
        <w:t>根据任务书要求，在规定时间内，基于Verilog硬件描述语言，完成给定的电路的功能实现与仿真验证。</w:t>
      </w:r>
    </w:p>
    <w:p w14:paraId="0966BCC3">
      <w:pPr>
        <w:ind w:right="158" w:rightChars="50" w:firstLine="632" w:firstLineChars="200"/>
        <w:rPr>
          <w:color w:val="auto"/>
          <w:szCs w:val="32"/>
        </w:rPr>
      </w:pPr>
      <w:r>
        <w:rPr>
          <w:color w:val="auto"/>
          <w:szCs w:val="32"/>
        </w:rPr>
        <w:t>基于给定的FPGA开发软件，建立项目工程，新建main.v和uart.v文件。</w:t>
      </w:r>
    </w:p>
    <w:p w14:paraId="45642D00">
      <w:pPr>
        <w:ind w:right="107" w:firstLine="632" w:firstLineChars="200"/>
        <w:rPr>
          <w:color w:val="auto"/>
          <w:szCs w:val="32"/>
        </w:rPr>
      </w:pPr>
      <w:r>
        <w:rPr>
          <w:color w:val="auto"/>
          <w:szCs w:val="32"/>
        </w:rPr>
        <w:t>在main.v中，编写Verilog代码，实现下列数字逻辑功能：</w:t>
      </w:r>
    </w:p>
    <w:p w14:paraId="2F1F40A1">
      <w:pPr>
        <w:ind w:left="737" w:right="107" w:firstLine="632" w:firstLineChars="200"/>
        <w:jc w:val="left"/>
        <w:rPr>
          <w:color w:val="auto"/>
          <w:szCs w:val="32"/>
        </w:rPr>
      </w:pPr>
      <w:r>
        <w:rPr>
          <w:color w:val="auto"/>
          <w:szCs w:val="32"/>
        </w:rPr>
        <w:t xml:space="preserve">      </w:t>
      </w:r>
      <w:r>
        <w:rPr>
          <w:color w:val="auto"/>
          <w:szCs w:val="32"/>
        </w:rPr>
        <w:pict>
          <v:shape id="_x0000_i1029" o:spt="75" type="#_x0000_t75" style="height:18pt;width:203.25pt;" filled="f" o:preferrelative="t" stroked="f" coordsize="21600,21600">
            <v:path/>
            <v:fill on="f" focussize="0,0"/>
            <v:stroke on="f" joinstyle="miter"/>
            <v:imagedata r:id="rId16" o:title=""/>
            <o:lock v:ext="edit" aspectratio="t"/>
            <w10:wrap type="none"/>
            <w10:anchorlock/>
          </v:shape>
        </w:pict>
      </w:r>
    </w:p>
    <w:p w14:paraId="5CFF1BFB">
      <w:pPr>
        <w:ind w:right="107" w:firstLine="632" w:firstLineChars="200"/>
        <w:rPr>
          <w:color w:val="auto"/>
          <w:szCs w:val="32"/>
        </w:rPr>
      </w:pPr>
      <w:r>
        <w:rPr>
          <w:color w:val="auto"/>
          <w:szCs w:val="32"/>
        </w:rPr>
        <w:t>A、B、C、D均为1 bit逻辑输入信号，result为逻辑计算结果信号；将result信号赋值给out信号，作为数字逻辑功能的输出信号。</w:t>
      </w:r>
    </w:p>
    <w:p w14:paraId="41E14E91">
      <w:pPr>
        <w:ind w:right="107" w:firstLine="632" w:firstLineChars="200"/>
        <w:rPr>
          <w:color w:val="auto"/>
          <w:szCs w:val="32"/>
        </w:rPr>
      </w:pPr>
      <w:r>
        <w:rPr>
          <w:color w:val="auto"/>
          <w:szCs w:val="32"/>
        </w:rPr>
        <w:t>在uart.v中，编写Verilog代码，实现UART串口通信，调用main.v文件，将result信号按给定波特率进行输出。要求：串口通信1 bit停止位，基于给定CLK时钟信号进行分频，波特率9600 bps。</w:t>
      </w:r>
    </w:p>
    <w:p w14:paraId="7B8FD71B">
      <w:pPr>
        <w:ind w:right="107" w:firstLine="632" w:firstLineChars="200"/>
        <w:rPr>
          <w:color w:val="auto"/>
          <w:szCs w:val="32"/>
        </w:rPr>
      </w:pPr>
      <w:r>
        <w:rPr>
          <w:color w:val="auto"/>
          <w:szCs w:val="32"/>
        </w:rPr>
        <w:t>针对上述功能，编写testbench文件，进行仿真验证。遍历全部逻辑输入信号组合，打印记录逻辑计算结果，打印记录串口输出信号。</w:t>
      </w:r>
    </w:p>
    <w:p w14:paraId="583C1D1F">
      <w:pPr>
        <w:ind w:right="107" w:firstLine="632" w:firstLineChars="200"/>
        <w:rPr>
          <w:color w:val="auto"/>
          <w:szCs w:val="32"/>
        </w:rPr>
      </w:pPr>
      <w:r>
        <w:rPr>
          <w:color w:val="auto"/>
          <w:szCs w:val="32"/>
        </w:rPr>
        <w:t>样题1评分标准：</w:t>
      </w:r>
    </w:p>
    <w:p w14:paraId="153600E9">
      <w:pPr>
        <w:numPr>
          <w:ilvl w:val="0"/>
          <w:numId w:val="3"/>
        </w:numPr>
        <w:ind w:left="720" w:right="107" w:firstLine="420"/>
        <w:rPr>
          <w:color w:val="auto"/>
          <w:szCs w:val="32"/>
        </w:rPr>
      </w:pPr>
      <w:r>
        <w:rPr>
          <w:color w:val="auto"/>
          <w:szCs w:val="32"/>
        </w:rPr>
        <w:t>使用软件完成项目工程及要求代码文件的建立，1分；</w:t>
      </w:r>
    </w:p>
    <w:p w14:paraId="53CDAB88">
      <w:pPr>
        <w:ind w:left="720" w:right="737" w:firstLine="420"/>
        <w:rPr>
          <w:color w:val="auto"/>
          <w:szCs w:val="32"/>
        </w:rPr>
      </w:pPr>
      <w:r>
        <w:rPr>
          <w:color w:val="auto"/>
          <w:szCs w:val="32"/>
        </w:rPr>
        <w:t>2. main.v中，输入输出定义正确，</w:t>
      </w:r>
      <w:r>
        <w:rPr>
          <w:rFonts w:hint="eastAsia"/>
          <w:color w:val="auto"/>
          <w:szCs w:val="32"/>
        </w:rPr>
        <w:t>3</w:t>
      </w:r>
      <w:r>
        <w:rPr>
          <w:color w:val="auto"/>
          <w:szCs w:val="32"/>
        </w:rPr>
        <w:t>分；</w:t>
      </w:r>
    </w:p>
    <w:p w14:paraId="143A65CA">
      <w:pPr>
        <w:ind w:left="720" w:right="737" w:firstLine="420"/>
        <w:rPr>
          <w:color w:val="auto"/>
          <w:szCs w:val="32"/>
        </w:rPr>
      </w:pPr>
      <w:r>
        <w:rPr>
          <w:color w:val="auto"/>
          <w:szCs w:val="32"/>
        </w:rPr>
        <w:t>3. main.v中，数字逻辑实现正确，</w:t>
      </w:r>
      <w:r>
        <w:rPr>
          <w:rFonts w:hint="eastAsia"/>
          <w:color w:val="auto"/>
          <w:szCs w:val="32"/>
        </w:rPr>
        <w:t>3</w:t>
      </w:r>
      <w:r>
        <w:rPr>
          <w:color w:val="auto"/>
          <w:szCs w:val="32"/>
        </w:rPr>
        <w:t>分；</w:t>
      </w:r>
    </w:p>
    <w:p w14:paraId="1F5FA0A5">
      <w:pPr>
        <w:ind w:left="720" w:right="737" w:firstLine="420"/>
        <w:rPr>
          <w:color w:val="auto"/>
          <w:szCs w:val="32"/>
        </w:rPr>
      </w:pPr>
      <w:r>
        <w:rPr>
          <w:color w:val="auto"/>
          <w:szCs w:val="32"/>
        </w:rPr>
        <w:t>4. uart.v中，输入输出定义正确，</w:t>
      </w:r>
      <w:r>
        <w:rPr>
          <w:rFonts w:hint="eastAsia"/>
          <w:color w:val="auto"/>
          <w:szCs w:val="32"/>
        </w:rPr>
        <w:t>3</w:t>
      </w:r>
      <w:r>
        <w:rPr>
          <w:color w:val="auto"/>
          <w:szCs w:val="32"/>
        </w:rPr>
        <w:t>分；</w:t>
      </w:r>
    </w:p>
    <w:p w14:paraId="32A29E80">
      <w:pPr>
        <w:ind w:left="720" w:right="737" w:firstLine="420"/>
        <w:rPr>
          <w:color w:val="auto"/>
          <w:szCs w:val="32"/>
        </w:rPr>
      </w:pPr>
      <w:r>
        <w:rPr>
          <w:color w:val="auto"/>
          <w:szCs w:val="32"/>
        </w:rPr>
        <w:t>5. uart.v中，调用main.v模块正确，</w:t>
      </w:r>
      <w:r>
        <w:rPr>
          <w:rFonts w:hint="eastAsia"/>
          <w:color w:val="auto"/>
          <w:szCs w:val="32"/>
        </w:rPr>
        <w:t>3</w:t>
      </w:r>
      <w:r>
        <w:rPr>
          <w:color w:val="auto"/>
          <w:szCs w:val="32"/>
        </w:rPr>
        <w:t>分；</w:t>
      </w:r>
    </w:p>
    <w:p w14:paraId="23A7760F">
      <w:pPr>
        <w:ind w:left="720" w:right="737" w:firstLine="420"/>
        <w:rPr>
          <w:color w:val="auto"/>
          <w:szCs w:val="32"/>
        </w:rPr>
      </w:pPr>
      <w:r>
        <w:rPr>
          <w:color w:val="auto"/>
          <w:szCs w:val="32"/>
        </w:rPr>
        <w:t>6. uart.v中，波特率可调，</w:t>
      </w:r>
      <w:r>
        <w:rPr>
          <w:rFonts w:hint="eastAsia"/>
          <w:color w:val="auto"/>
          <w:szCs w:val="32"/>
        </w:rPr>
        <w:t>3</w:t>
      </w:r>
      <w:r>
        <w:rPr>
          <w:color w:val="auto"/>
          <w:szCs w:val="32"/>
        </w:rPr>
        <w:t>分；</w:t>
      </w:r>
    </w:p>
    <w:p w14:paraId="6A68E3F4">
      <w:pPr>
        <w:ind w:left="720" w:right="737" w:firstLine="420"/>
        <w:rPr>
          <w:color w:val="auto"/>
          <w:szCs w:val="32"/>
        </w:rPr>
      </w:pPr>
      <w:r>
        <w:rPr>
          <w:color w:val="auto"/>
          <w:szCs w:val="32"/>
        </w:rPr>
        <w:t>7. testbench文件，模块定义及调用正确，</w:t>
      </w:r>
      <w:r>
        <w:rPr>
          <w:rFonts w:hint="eastAsia"/>
          <w:color w:val="auto"/>
          <w:szCs w:val="32"/>
        </w:rPr>
        <w:t>3</w:t>
      </w:r>
      <w:r>
        <w:rPr>
          <w:color w:val="auto"/>
          <w:szCs w:val="32"/>
        </w:rPr>
        <w:t>分；</w:t>
      </w:r>
    </w:p>
    <w:p w14:paraId="54FE04EB">
      <w:pPr>
        <w:ind w:left="720" w:right="107" w:firstLine="420"/>
        <w:rPr>
          <w:color w:val="auto"/>
          <w:szCs w:val="32"/>
        </w:rPr>
      </w:pPr>
      <w:r>
        <w:rPr>
          <w:color w:val="auto"/>
          <w:szCs w:val="32"/>
        </w:rPr>
        <w:t>8. 仿真结果遍历全部逻辑输入信号组合，并逻辑计算结果正确，4分；每缺少一种组合或计算结果错误，扣0.25分，扣完为止；</w:t>
      </w:r>
    </w:p>
    <w:p w14:paraId="300FA030">
      <w:pPr>
        <w:ind w:left="720" w:right="107" w:firstLine="420"/>
        <w:rPr>
          <w:color w:val="auto"/>
          <w:szCs w:val="32"/>
        </w:rPr>
      </w:pPr>
      <w:r>
        <w:rPr>
          <w:color w:val="auto"/>
          <w:szCs w:val="32"/>
        </w:rPr>
        <w:t>9. 仿真结果串口输出格式正确，</w:t>
      </w:r>
      <w:r>
        <w:rPr>
          <w:rFonts w:hint="eastAsia"/>
          <w:color w:val="auto"/>
          <w:szCs w:val="32"/>
        </w:rPr>
        <w:t>2</w:t>
      </w:r>
      <w:r>
        <w:rPr>
          <w:color w:val="auto"/>
          <w:szCs w:val="32"/>
        </w:rPr>
        <w:t>分；</w:t>
      </w:r>
    </w:p>
    <w:p w14:paraId="62810BBB">
      <w:pPr>
        <w:ind w:left="720" w:right="107" w:firstLine="420"/>
        <w:rPr>
          <w:color w:val="auto"/>
          <w:szCs w:val="32"/>
        </w:rPr>
      </w:pPr>
      <w:r>
        <w:rPr>
          <w:color w:val="auto"/>
          <w:szCs w:val="32"/>
        </w:rPr>
        <w:t>10. 仿真结果串口输出波特率正确，</w:t>
      </w:r>
      <w:r>
        <w:rPr>
          <w:rFonts w:hint="eastAsia"/>
          <w:color w:val="auto"/>
          <w:szCs w:val="32"/>
        </w:rPr>
        <w:t>2</w:t>
      </w:r>
      <w:r>
        <w:rPr>
          <w:color w:val="auto"/>
          <w:szCs w:val="32"/>
        </w:rPr>
        <w:t>分。</w:t>
      </w:r>
    </w:p>
    <w:p w14:paraId="0BABEAEA">
      <w:pPr>
        <w:tabs>
          <w:tab w:val="left" w:pos="8180"/>
        </w:tabs>
        <w:ind w:right="127" w:firstLine="632" w:firstLineChars="200"/>
        <w:rPr>
          <w:color w:val="auto"/>
          <w:szCs w:val="32"/>
        </w:rPr>
      </w:pPr>
      <w:r>
        <w:rPr>
          <w:color w:val="auto"/>
          <w:szCs w:val="32"/>
        </w:rPr>
        <w:t>样题2：</w:t>
      </w:r>
    </w:p>
    <w:p w14:paraId="5D5FCEA6">
      <w:pPr>
        <w:tabs>
          <w:tab w:val="left" w:pos="8180"/>
        </w:tabs>
        <w:ind w:right="127" w:firstLine="632" w:firstLineChars="200"/>
        <w:rPr>
          <w:color w:val="auto"/>
          <w:szCs w:val="32"/>
        </w:rPr>
      </w:pPr>
      <w:r>
        <w:rPr>
          <w:color w:val="auto"/>
          <w:szCs w:val="32"/>
        </w:rPr>
        <w:t>基于任务一验证通过的电路设计，在规定时间内，利用给定的FPGA平台，完成下载，并在相应的仪器设备上进行验证。</w:t>
      </w:r>
    </w:p>
    <w:p w14:paraId="3F87A69F">
      <w:pPr>
        <w:tabs>
          <w:tab w:val="left" w:pos="8180"/>
        </w:tabs>
        <w:ind w:right="127" w:firstLine="632" w:firstLineChars="200"/>
        <w:rPr>
          <w:color w:val="auto"/>
          <w:szCs w:val="32"/>
        </w:rPr>
      </w:pPr>
      <w:r>
        <w:rPr>
          <w:color w:val="auto"/>
          <w:szCs w:val="32"/>
        </w:rPr>
        <w:t>基于给定的FPGA硬件平台，进行硬件电路的信号连接，在给定的FPGA开发软件中，基于给定要求，进行输入输出信号的管脚定义与其他物理约束，生成配置文件，进行FPGA的配置；FPGA正常工作后，基于给定要求验证软件，使用验证软件进行输出信号的采集、验证并截图保存验证结果。</w:t>
      </w:r>
    </w:p>
    <w:p w14:paraId="52100651">
      <w:pPr>
        <w:ind w:right="737" w:firstLine="632" w:firstLineChars="200"/>
        <w:rPr>
          <w:color w:val="auto"/>
          <w:szCs w:val="32"/>
        </w:rPr>
      </w:pPr>
      <w:r>
        <w:rPr>
          <w:color w:val="auto"/>
          <w:szCs w:val="32"/>
        </w:rPr>
        <w:t>样题2评分标准：</w:t>
      </w:r>
    </w:p>
    <w:p w14:paraId="4BCF2220">
      <w:pPr>
        <w:ind w:left="720" w:right="737" w:firstLine="420"/>
        <w:rPr>
          <w:color w:val="auto"/>
          <w:szCs w:val="32"/>
        </w:rPr>
      </w:pPr>
      <w:r>
        <w:rPr>
          <w:color w:val="auto"/>
          <w:szCs w:val="32"/>
        </w:rPr>
        <w:t>1. FPGA下载器连接正确，</w:t>
      </w:r>
      <w:r>
        <w:rPr>
          <w:rFonts w:hint="eastAsia"/>
          <w:color w:val="auto"/>
          <w:szCs w:val="32"/>
        </w:rPr>
        <w:t>3</w:t>
      </w:r>
      <w:r>
        <w:rPr>
          <w:color w:val="auto"/>
          <w:szCs w:val="32"/>
        </w:rPr>
        <w:t>分；</w:t>
      </w:r>
    </w:p>
    <w:p w14:paraId="645CF127">
      <w:pPr>
        <w:ind w:left="720" w:right="737" w:firstLine="420"/>
        <w:rPr>
          <w:color w:val="auto"/>
          <w:szCs w:val="32"/>
        </w:rPr>
      </w:pPr>
      <w:r>
        <w:rPr>
          <w:color w:val="auto"/>
          <w:szCs w:val="32"/>
        </w:rPr>
        <w:t>2. FPGA输入及输出信号配置或连接正确，</w:t>
      </w:r>
      <w:r>
        <w:rPr>
          <w:rFonts w:hint="eastAsia"/>
          <w:color w:val="auto"/>
          <w:szCs w:val="32"/>
        </w:rPr>
        <w:t>3</w:t>
      </w:r>
      <w:r>
        <w:rPr>
          <w:color w:val="auto"/>
          <w:szCs w:val="32"/>
        </w:rPr>
        <w:t>分；</w:t>
      </w:r>
    </w:p>
    <w:p w14:paraId="5C9C429A">
      <w:pPr>
        <w:ind w:left="720" w:right="737" w:firstLine="420"/>
        <w:rPr>
          <w:color w:val="auto"/>
          <w:szCs w:val="32"/>
        </w:rPr>
      </w:pPr>
      <w:r>
        <w:rPr>
          <w:color w:val="auto"/>
          <w:szCs w:val="32"/>
        </w:rPr>
        <w:t>3. 配置文件生成成功，</w:t>
      </w:r>
      <w:r>
        <w:rPr>
          <w:rFonts w:hint="eastAsia"/>
          <w:color w:val="auto"/>
          <w:szCs w:val="32"/>
        </w:rPr>
        <w:t>3</w:t>
      </w:r>
      <w:r>
        <w:rPr>
          <w:color w:val="auto"/>
          <w:szCs w:val="32"/>
        </w:rPr>
        <w:t>分；</w:t>
      </w:r>
    </w:p>
    <w:p w14:paraId="71B3FB30">
      <w:pPr>
        <w:ind w:left="720" w:right="737" w:firstLine="420"/>
        <w:rPr>
          <w:color w:val="auto"/>
          <w:szCs w:val="32"/>
        </w:rPr>
      </w:pPr>
      <w:r>
        <w:rPr>
          <w:color w:val="auto"/>
          <w:szCs w:val="32"/>
        </w:rPr>
        <w:t>4. FPGA配置成功，</w:t>
      </w:r>
      <w:r>
        <w:rPr>
          <w:rFonts w:hint="eastAsia"/>
          <w:color w:val="auto"/>
          <w:szCs w:val="32"/>
        </w:rPr>
        <w:t>3</w:t>
      </w:r>
      <w:r>
        <w:rPr>
          <w:color w:val="auto"/>
          <w:szCs w:val="32"/>
        </w:rPr>
        <w:t>分；</w:t>
      </w:r>
    </w:p>
    <w:p w14:paraId="20B85A33">
      <w:pPr>
        <w:ind w:left="720" w:right="737" w:firstLine="420"/>
        <w:rPr>
          <w:color w:val="auto"/>
          <w:szCs w:val="32"/>
        </w:rPr>
      </w:pPr>
      <w:r>
        <w:rPr>
          <w:color w:val="auto"/>
          <w:szCs w:val="32"/>
        </w:rPr>
        <w:t>5. 验证软件能正常</w:t>
      </w:r>
      <w:r>
        <w:rPr>
          <w:rFonts w:eastAsia="宋体"/>
          <w:color w:val="auto"/>
          <w:szCs w:val="32"/>
        </w:rPr>
        <w:t>显示</w:t>
      </w:r>
      <w:r>
        <w:rPr>
          <w:color w:val="auto"/>
          <w:szCs w:val="32"/>
        </w:rPr>
        <w:t>输出信号，4分；</w:t>
      </w:r>
    </w:p>
    <w:p w14:paraId="5B691072">
      <w:pPr>
        <w:ind w:left="720" w:right="737" w:firstLine="420"/>
        <w:rPr>
          <w:color w:val="auto"/>
          <w:szCs w:val="32"/>
        </w:rPr>
      </w:pPr>
      <w:r>
        <w:rPr>
          <w:color w:val="auto"/>
          <w:szCs w:val="32"/>
        </w:rPr>
        <w:t>6. 实测结果串口输出格式正确，4分；</w:t>
      </w:r>
    </w:p>
    <w:p w14:paraId="68A8CEE9">
      <w:pPr>
        <w:ind w:left="720" w:right="737" w:firstLine="420"/>
        <w:rPr>
          <w:color w:val="auto"/>
          <w:szCs w:val="32"/>
        </w:rPr>
      </w:pPr>
      <w:r>
        <w:rPr>
          <w:color w:val="auto"/>
          <w:szCs w:val="32"/>
        </w:rPr>
        <w:t>7. 实测结果串口输出波特率正确，4分。</w:t>
      </w:r>
    </w:p>
    <w:p w14:paraId="2F16B742">
      <w:pPr>
        <w:ind w:right="737" w:firstLine="632" w:firstLineChars="200"/>
        <w:rPr>
          <w:b/>
          <w:color w:val="auto"/>
        </w:rPr>
      </w:pPr>
      <w:r>
        <w:rPr>
          <w:b/>
          <w:bCs/>
          <w:color w:val="auto"/>
          <w:szCs w:val="32"/>
        </w:rPr>
        <w:t>第二部分：模拟集成电路设计与仿真验证（50分）</w:t>
      </w:r>
    </w:p>
    <w:p w14:paraId="1581270F">
      <w:pPr>
        <w:ind w:right="737" w:firstLine="632" w:firstLineChars="200"/>
        <w:rPr>
          <w:color w:val="auto"/>
          <w:szCs w:val="32"/>
        </w:rPr>
      </w:pPr>
      <w:r>
        <w:rPr>
          <w:rFonts w:hint="eastAsia"/>
          <w:color w:val="auto"/>
          <w:szCs w:val="32"/>
        </w:rPr>
        <w:t>本任务基于华大九天EDA软件，使用华大九天EDA软件完成电路原理图绘制、电路仿真及版图设计与验证。</w:t>
      </w:r>
    </w:p>
    <w:p w14:paraId="16C43A40">
      <w:pPr>
        <w:ind w:right="737" w:firstLine="632" w:firstLineChars="200"/>
        <w:rPr>
          <w:color w:val="auto"/>
          <w:szCs w:val="32"/>
        </w:rPr>
      </w:pPr>
      <w:r>
        <w:rPr>
          <w:color w:val="auto"/>
          <w:szCs w:val="32"/>
        </w:rPr>
        <w:t>样题1：</w:t>
      </w:r>
    </w:p>
    <w:p w14:paraId="00FB6DE3">
      <w:pPr>
        <w:ind w:right="737" w:firstLine="632" w:firstLineChars="200"/>
        <w:rPr>
          <w:color w:val="auto"/>
          <w:szCs w:val="32"/>
        </w:rPr>
      </w:pPr>
      <w:r>
        <w:rPr>
          <w:color w:val="auto"/>
          <w:szCs w:val="32"/>
        </w:rPr>
        <w:t>根据给定的综合电路</w:t>
      </w:r>
      <w:r>
        <w:rPr>
          <w:rFonts w:hint="eastAsia"/>
          <w:color w:val="auto"/>
          <w:szCs w:val="32"/>
        </w:rPr>
        <w:t>参数</w:t>
      </w:r>
      <w:r>
        <w:rPr>
          <w:color w:val="auto"/>
          <w:szCs w:val="32"/>
        </w:rPr>
        <w:t>，完成电路图设计、前仿真、Layout设计和物理验证（DRC&amp;LVS）。</w:t>
      </w:r>
    </w:p>
    <w:p w14:paraId="48B35FA0">
      <w:pPr>
        <w:ind w:right="737" w:firstLine="632" w:firstLineChars="200"/>
        <w:rPr>
          <w:color w:val="auto"/>
          <w:szCs w:val="32"/>
        </w:rPr>
      </w:pPr>
      <w:r>
        <w:rPr>
          <w:color w:val="auto"/>
          <w:szCs w:val="32"/>
        </w:rPr>
        <w:t>1、电路图设计</w:t>
      </w:r>
    </w:p>
    <w:p w14:paraId="246865E1">
      <w:pPr>
        <w:ind w:right="737" w:firstLine="632" w:firstLineChars="200"/>
        <w:rPr>
          <w:color w:val="auto"/>
          <w:szCs w:val="32"/>
        </w:rPr>
      </w:pPr>
      <w:r>
        <w:rPr>
          <w:color w:val="auto"/>
          <w:szCs w:val="32"/>
        </w:rPr>
        <w:t>规范化完成全部电路图的schematic和symbol设计</w:t>
      </w:r>
    </w:p>
    <w:p w14:paraId="54192521">
      <w:pPr>
        <w:ind w:right="737" w:firstLine="632" w:firstLineChars="200"/>
        <w:rPr>
          <w:color w:val="auto"/>
          <w:szCs w:val="32"/>
        </w:rPr>
      </w:pPr>
      <w:r>
        <w:rPr>
          <w:color w:val="auto"/>
          <w:szCs w:val="32"/>
        </w:rPr>
        <w:t>2、电路的仿真验证</w:t>
      </w:r>
    </w:p>
    <w:p w14:paraId="63B24C43">
      <w:pPr>
        <w:ind w:right="737" w:firstLine="632" w:firstLineChars="200"/>
        <w:rPr>
          <w:color w:val="auto"/>
          <w:szCs w:val="32"/>
        </w:rPr>
      </w:pPr>
      <w:r>
        <w:rPr>
          <w:color w:val="auto"/>
          <w:szCs w:val="32"/>
        </w:rPr>
        <w:t>（1）逻辑功能验证：</w:t>
      </w:r>
    </w:p>
    <w:p w14:paraId="4A24880C">
      <w:pPr>
        <w:ind w:right="737" w:firstLine="632" w:firstLineChars="200"/>
        <w:rPr>
          <w:color w:val="auto"/>
          <w:szCs w:val="32"/>
        </w:rPr>
      </w:pPr>
      <w:r>
        <w:rPr>
          <w:color w:val="auto"/>
          <w:szCs w:val="32"/>
        </w:rPr>
        <w:t>（2）动态响应仿真：</w:t>
      </w:r>
    </w:p>
    <w:p w14:paraId="768408CD">
      <w:pPr>
        <w:ind w:right="737" w:firstLine="632" w:firstLineChars="200"/>
        <w:rPr>
          <w:color w:val="auto"/>
          <w:szCs w:val="32"/>
        </w:rPr>
      </w:pPr>
      <w:r>
        <w:rPr>
          <w:color w:val="auto"/>
          <w:szCs w:val="32"/>
        </w:rPr>
        <w:t>给出完整正确的仿真电路和仿真结果</w:t>
      </w:r>
    </w:p>
    <w:p w14:paraId="42529583">
      <w:pPr>
        <w:ind w:right="737" w:firstLine="632" w:firstLineChars="200"/>
        <w:rPr>
          <w:b/>
          <w:color w:val="auto"/>
        </w:rPr>
      </w:pPr>
      <w:r>
        <w:rPr>
          <w:color w:val="auto"/>
          <w:szCs w:val="32"/>
        </w:rPr>
        <w:t>3、完成该综合电路的版图设计和版图验证。</w:t>
      </w:r>
    </w:p>
    <w:p w14:paraId="753E91F0">
      <w:pPr>
        <w:ind w:right="107" w:firstLine="632" w:firstLineChars="200"/>
        <w:rPr>
          <w:color w:val="auto"/>
          <w:szCs w:val="32"/>
        </w:rPr>
      </w:pPr>
      <w:r>
        <w:rPr>
          <w:color w:val="auto"/>
          <w:szCs w:val="32"/>
        </w:rPr>
        <w:t>样题1评分标准：</w:t>
      </w:r>
    </w:p>
    <w:p w14:paraId="7C718BBC">
      <w:pPr>
        <w:numPr>
          <w:ilvl w:val="0"/>
          <w:numId w:val="4"/>
        </w:numPr>
        <w:ind w:left="720" w:right="737" w:firstLine="420"/>
        <w:rPr>
          <w:color w:val="auto"/>
          <w:szCs w:val="32"/>
        </w:rPr>
      </w:pPr>
      <w:r>
        <w:rPr>
          <w:rFonts w:hint="eastAsia"/>
          <w:color w:val="auto"/>
          <w:szCs w:val="32"/>
        </w:rPr>
        <w:t>原理图绘制正确</w:t>
      </w:r>
      <w:r>
        <w:rPr>
          <w:color w:val="auto"/>
          <w:szCs w:val="32"/>
        </w:rPr>
        <w:t>，</w:t>
      </w:r>
      <w:r>
        <w:rPr>
          <w:rFonts w:hint="eastAsia"/>
          <w:color w:val="auto"/>
          <w:szCs w:val="32"/>
        </w:rPr>
        <w:t>3</w:t>
      </w:r>
      <w:r>
        <w:rPr>
          <w:color w:val="auto"/>
          <w:szCs w:val="32"/>
        </w:rPr>
        <w:t>分；</w:t>
      </w:r>
    </w:p>
    <w:p w14:paraId="2B0AACB3">
      <w:pPr>
        <w:numPr>
          <w:ilvl w:val="0"/>
          <w:numId w:val="4"/>
        </w:numPr>
        <w:ind w:left="720" w:right="737" w:firstLine="420"/>
        <w:rPr>
          <w:color w:val="auto"/>
          <w:szCs w:val="32"/>
        </w:rPr>
      </w:pPr>
      <w:r>
        <w:rPr>
          <w:rFonts w:hint="eastAsia"/>
          <w:color w:val="auto"/>
          <w:szCs w:val="32"/>
        </w:rPr>
        <w:t>元器件宽长比设计正确，3分；</w:t>
      </w:r>
    </w:p>
    <w:p w14:paraId="53901D2D">
      <w:pPr>
        <w:numPr>
          <w:ilvl w:val="0"/>
          <w:numId w:val="4"/>
        </w:numPr>
        <w:ind w:left="720" w:right="737" w:firstLine="420"/>
        <w:rPr>
          <w:color w:val="auto"/>
          <w:szCs w:val="32"/>
        </w:rPr>
      </w:pPr>
      <w:r>
        <w:rPr>
          <w:rFonts w:hint="eastAsia"/>
          <w:color w:val="auto"/>
          <w:szCs w:val="32"/>
        </w:rPr>
        <w:t>逻辑功能仿真正确，3分；</w:t>
      </w:r>
    </w:p>
    <w:p w14:paraId="5ABC327E">
      <w:pPr>
        <w:numPr>
          <w:ilvl w:val="0"/>
          <w:numId w:val="4"/>
        </w:numPr>
        <w:ind w:left="720" w:right="737" w:firstLine="420"/>
        <w:rPr>
          <w:color w:val="auto"/>
          <w:szCs w:val="32"/>
        </w:rPr>
      </w:pPr>
      <w:r>
        <w:rPr>
          <w:color w:val="auto"/>
          <w:szCs w:val="32"/>
        </w:rPr>
        <w:t>动态响应仿真</w:t>
      </w:r>
      <w:r>
        <w:rPr>
          <w:rFonts w:hint="eastAsia"/>
          <w:color w:val="auto"/>
          <w:szCs w:val="32"/>
        </w:rPr>
        <w:t>正确，3分；</w:t>
      </w:r>
    </w:p>
    <w:p w14:paraId="00EA023D">
      <w:pPr>
        <w:numPr>
          <w:ilvl w:val="0"/>
          <w:numId w:val="4"/>
        </w:numPr>
        <w:ind w:left="720" w:right="737" w:firstLine="420"/>
        <w:rPr>
          <w:color w:val="auto"/>
          <w:szCs w:val="32"/>
        </w:rPr>
      </w:pPr>
      <w:r>
        <w:rPr>
          <w:color w:val="auto"/>
          <w:szCs w:val="32"/>
        </w:rPr>
        <w:t>绘制的版图 DRC 验证无误，忽略密度错误</w:t>
      </w:r>
      <w:r>
        <w:rPr>
          <w:rFonts w:hint="eastAsia"/>
          <w:color w:val="auto"/>
          <w:szCs w:val="32"/>
        </w:rPr>
        <w:t>，2</w:t>
      </w:r>
      <w:r>
        <w:rPr>
          <w:color w:val="auto"/>
          <w:szCs w:val="32"/>
        </w:rPr>
        <w:t xml:space="preserve"> 分</w:t>
      </w:r>
      <w:r>
        <w:rPr>
          <w:rFonts w:hint="eastAsia"/>
          <w:color w:val="auto"/>
          <w:szCs w:val="32"/>
        </w:rPr>
        <w:t>，出现一个错误扣0.25分，扣完为止；</w:t>
      </w:r>
    </w:p>
    <w:p w14:paraId="2C64984E">
      <w:pPr>
        <w:numPr>
          <w:ilvl w:val="0"/>
          <w:numId w:val="4"/>
        </w:numPr>
        <w:ind w:left="720" w:right="737" w:firstLine="420"/>
        <w:rPr>
          <w:color w:val="auto"/>
          <w:szCs w:val="32"/>
        </w:rPr>
      </w:pPr>
      <w:r>
        <w:rPr>
          <w:color w:val="auto"/>
          <w:szCs w:val="32"/>
        </w:rPr>
        <w:t>绘制的版图 LVS 验证无误，忽略 dummy 管错误</w:t>
      </w:r>
      <w:r>
        <w:rPr>
          <w:rFonts w:hint="eastAsia"/>
          <w:color w:val="auto"/>
          <w:szCs w:val="32"/>
        </w:rPr>
        <w:t>，2</w:t>
      </w:r>
      <w:r>
        <w:rPr>
          <w:color w:val="auto"/>
          <w:szCs w:val="32"/>
        </w:rPr>
        <w:t xml:space="preserve"> 分</w:t>
      </w:r>
      <w:r>
        <w:rPr>
          <w:rFonts w:hint="eastAsia"/>
          <w:color w:val="auto"/>
          <w:szCs w:val="32"/>
        </w:rPr>
        <w:t>，出现一个错误扣0.25分，扣完为止；</w:t>
      </w:r>
    </w:p>
    <w:p w14:paraId="2A33C061">
      <w:pPr>
        <w:numPr>
          <w:ilvl w:val="0"/>
          <w:numId w:val="4"/>
        </w:numPr>
        <w:ind w:left="720" w:right="737" w:firstLine="420"/>
        <w:rPr>
          <w:color w:val="auto"/>
          <w:szCs w:val="32"/>
        </w:rPr>
      </w:pPr>
      <w:r>
        <w:rPr>
          <w:rFonts w:hint="eastAsia"/>
          <w:color w:val="auto"/>
          <w:szCs w:val="32"/>
        </w:rPr>
        <w:t>版图面积小于500um</w:t>
      </w:r>
      <w:r>
        <w:rPr>
          <w:rFonts w:hint="eastAsia"/>
          <w:color w:val="auto"/>
          <w:szCs w:val="32"/>
          <w:vertAlign w:val="superscript"/>
        </w:rPr>
        <w:t>2</w:t>
      </w:r>
      <w:r>
        <w:rPr>
          <w:rFonts w:hint="eastAsia"/>
          <w:color w:val="auto"/>
          <w:szCs w:val="32"/>
        </w:rPr>
        <w:t>，得4分，大于500um</w:t>
      </w:r>
      <w:r>
        <w:rPr>
          <w:rFonts w:hint="eastAsia"/>
          <w:color w:val="auto"/>
          <w:szCs w:val="32"/>
          <w:vertAlign w:val="superscript"/>
        </w:rPr>
        <w:t>2</w:t>
      </w:r>
      <w:r>
        <w:rPr>
          <w:rFonts w:hint="eastAsia"/>
          <w:color w:val="auto"/>
          <w:szCs w:val="32"/>
        </w:rPr>
        <w:t>但小于600um</w:t>
      </w:r>
      <w:r>
        <w:rPr>
          <w:rFonts w:hint="eastAsia"/>
          <w:color w:val="auto"/>
          <w:szCs w:val="32"/>
          <w:vertAlign w:val="superscript"/>
        </w:rPr>
        <w:t>2</w:t>
      </w:r>
      <w:r>
        <w:rPr>
          <w:rFonts w:hint="eastAsia"/>
          <w:color w:val="auto"/>
          <w:szCs w:val="32"/>
        </w:rPr>
        <w:t>得2分，大于600um</w:t>
      </w:r>
      <w:r>
        <w:rPr>
          <w:rFonts w:hint="eastAsia"/>
          <w:color w:val="auto"/>
          <w:szCs w:val="32"/>
          <w:vertAlign w:val="superscript"/>
        </w:rPr>
        <w:t>2</w:t>
      </w:r>
      <w:r>
        <w:rPr>
          <w:rFonts w:hint="eastAsia"/>
          <w:color w:val="auto"/>
          <w:szCs w:val="32"/>
        </w:rPr>
        <w:t>但绘制正确得1分，其余不得分；</w:t>
      </w:r>
    </w:p>
    <w:p w14:paraId="1E6818A1">
      <w:pPr>
        <w:numPr>
          <w:ilvl w:val="0"/>
          <w:numId w:val="4"/>
        </w:numPr>
        <w:ind w:left="720" w:right="737" w:firstLine="420"/>
        <w:rPr>
          <w:color w:val="auto"/>
          <w:szCs w:val="32"/>
        </w:rPr>
      </w:pPr>
      <w:r>
        <w:rPr>
          <w:rFonts w:hint="eastAsia"/>
          <w:color w:val="auto"/>
          <w:szCs w:val="32"/>
        </w:rPr>
        <w:t>金属层使用数量小于4层，得2分；</w:t>
      </w:r>
    </w:p>
    <w:p w14:paraId="1A8589FB">
      <w:pPr>
        <w:numPr>
          <w:ilvl w:val="0"/>
          <w:numId w:val="4"/>
        </w:numPr>
        <w:wordWrap w:val="0"/>
        <w:ind w:left="720" w:right="737" w:firstLine="420"/>
        <w:jc w:val="left"/>
        <w:rPr>
          <w:color w:val="auto"/>
          <w:szCs w:val="32"/>
        </w:rPr>
      </w:pPr>
      <w:r>
        <w:rPr>
          <w:rFonts w:hint="eastAsia"/>
          <w:color w:val="auto"/>
          <w:szCs w:val="32"/>
        </w:rPr>
        <w:t>元器件设计超出行业标准要求（版图匹配正确 ，dummy 管完整分布，外N-well/P-sub 充分连接电源/地），2分。</w:t>
      </w:r>
    </w:p>
    <w:p w14:paraId="100B27D5">
      <w:pPr>
        <w:tabs>
          <w:tab w:val="left" w:pos="8180"/>
        </w:tabs>
        <w:ind w:right="127" w:firstLine="632" w:firstLineChars="200"/>
        <w:rPr>
          <w:color w:val="auto"/>
          <w:szCs w:val="32"/>
        </w:rPr>
      </w:pPr>
      <w:r>
        <w:rPr>
          <w:color w:val="auto"/>
          <w:szCs w:val="32"/>
        </w:rPr>
        <w:t>样题2：</w:t>
      </w:r>
    </w:p>
    <w:p w14:paraId="1703D6B5">
      <w:pPr>
        <w:tabs>
          <w:tab w:val="left" w:pos="8180"/>
        </w:tabs>
        <w:ind w:right="127" w:firstLine="632" w:firstLineChars="200"/>
        <w:rPr>
          <w:color w:val="auto"/>
          <w:szCs w:val="32"/>
        </w:rPr>
      </w:pPr>
      <w:r>
        <w:rPr>
          <w:color w:val="auto"/>
          <w:szCs w:val="32"/>
        </w:rPr>
        <w:t>根据给定的综合电路</w:t>
      </w:r>
      <w:r>
        <w:rPr>
          <w:rFonts w:hint="eastAsia"/>
          <w:color w:val="auto"/>
          <w:szCs w:val="32"/>
        </w:rPr>
        <w:t>图</w:t>
      </w:r>
      <w:r>
        <w:rPr>
          <w:color w:val="auto"/>
          <w:szCs w:val="32"/>
        </w:rPr>
        <w:t>，完成电路图Layout设计和物理验证（DRC&amp;LVS）。</w:t>
      </w:r>
    </w:p>
    <w:p w14:paraId="0950A20E">
      <w:pPr>
        <w:ind w:right="737" w:firstLine="632" w:firstLineChars="200"/>
        <w:rPr>
          <w:color w:val="auto"/>
          <w:szCs w:val="32"/>
        </w:rPr>
      </w:pPr>
      <w:r>
        <w:rPr>
          <w:color w:val="auto"/>
          <w:szCs w:val="32"/>
        </w:rPr>
        <w:t>1、电路图设计</w:t>
      </w:r>
    </w:p>
    <w:p w14:paraId="7565A912">
      <w:pPr>
        <w:ind w:right="737" w:firstLine="632" w:firstLineChars="200"/>
        <w:rPr>
          <w:color w:val="auto"/>
          <w:szCs w:val="32"/>
        </w:rPr>
      </w:pPr>
      <w:r>
        <w:rPr>
          <w:color w:val="auto"/>
          <w:szCs w:val="32"/>
        </w:rPr>
        <w:t>规范化完成全部电路图的schematic</w:t>
      </w:r>
      <w:r>
        <w:rPr>
          <w:rFonts w:hint="eastAsia"/>
          <w:color w:val="auto"/>
          <w:szCs w:val="32"/>
        </w:rPr>
        <w:t>抄图。</w:t>
      </w:r>
    </w:p>
    <w:p w14:paraId="5813FFA7">
      <w:pPr>
        <w:numPr>
          <w:ilvl w:val="0"/>
          <w:numId w:val="5"/>
        </w:numPr>
        <w:ind w:right="737" w:firstLine="632" w:firstLineChars="200"/>
        <w:rPr>
          <w:color w:val="auto"/>
          <w:szCs w:val="32"/>
        </w:rPr>
      </w:pPr>
      <w:r>
        <w:rPr>
          <w:rFonts w:hint="eastAsia"/>
          <w:color w:val="auto"/>
          <w:szCs w:val="32"/>
        </w:rPr>
        <w:t>完成电路图版图绘制</w:t>
      </w:r>
    </w:p>
    <w:p w14:paraId="12437F50">
      <w:pPr>
        <w:numPr>
          <w:ilvl w:val="0"/>
          <w:numId w:val="5"/>
        </w:numPr>
        <w:ind w:right="737" w:firstLine="632" w:firstLineChars="200"/>
        <w:rPr>
          <w:color w:val="auto"/>
          <w:szCs w:val="32"/>
        </w:rPr>
      </w:pPr>
      <w:r>
        <w:rPr>
          <w:rFonts w:hint="eastAsia"/>
          <w:color w:val="auto"/>
          <w:szCs w:val="32"/>
        </w:rPr>
        <w:t>完成给定红色区域的元器件的匹配关系</w:t>
      </w:r>
    </w:p>
    <w:p w14:paraId="4277EB24">
      <w:pPr>
        <w:ind w:right="737" w:firstLine="632" w:firstLineChars="200"/>
        <w:rPr>
          <w:b/>
          <w:color w:val="auto"/>
        </w:rPr>
      </w:pPr>
      <w:r>
        <w:rPr>
          <w:rFonts w:hint="eastAsia"/>
          <w:color w:val="auto"/>
          <w:szCs w:val="32"/>
        </w:rPr>
        <w:t>4</w:t>
      </w:r>
      <w:r>
        <w:rPr>
          <w:color w:val="auto"/>
          <w:szCs w:val="32"/>
        </w:rPr>
        <w:t>、完成该综合电路的版图验证</w:t>
      </w:r>
    </w:p>
    <w:p w14:paraId="0D849E12">
      <w:pPr>
        <w:ind w:right="107" w:firstLine="632" w:firstLineChars="200"/>
        <w:rPr>
          <w:color w:val="auto"/>
          <w:szCs w:val="32"/>
        </w:rPr>
      </w:pPr>
      <w:r>
        <w:rPr>
          <w:color w:val="auto"/>
          <w:szCs w:val="32"/>
        </w:rPr>
        <w:t>样题</w:t>
      </w:r>
      <w:r>
        <w:rPr>
          <w:rFonts w:hint="eastAsia"/>
          <w:color w:val="auto"/>
          <w:szCs w:val="32"/>
        </w:rPr>
        <w:t>2</w:t>
      </w:r>
      <w:r>
        <w:rPr>
          <w:color w:val="auto"/>
          <w:szCs w:val="32"/>
        </w:rPr>
        <w:t>评分标准：</w:t>
      </w:r>
    </w:p>
    <w:p w14:paraId="33B0D1C9">
      <w:pPr>
        <w:numPr>
          <w:ilvl w:val="0"/>
          <w:numId w:val="6"/>
        </w:numPr>
        <w:ind w:left="720" w:right="737" w:firstLine="420"/>
        <w:rPr>
          <w:color w:val="auto"/>
          <w:szCs w:val="32"/>
        </w:rPr>
      </w:pPr>
      <w:r>
        <w:rPr>
          <w:rFonts w:hint="eastAsia"/>
          <w:color w:val="auto"/>
          <w:szCs w:val="32"/>
        </w:rPr>
        <w:t>原理图绘制正确</w:t>
      </w:r>
      <w:r>
        <w:rPr>
          <w:color w:val="auto"/>
          <w:szCs w:val="32"/>
        </w:rPr>
        <w:t>，</w:t>
      </w:r>
      <w:r>
        <w:rPr>
          <w:rFonts w:hint="eastAsia"/>
          <w:color w:val="auto"/>
          <w:szCs w:val="32"/>
        </w:rPr>
        <w:t>3</w:t>
      </w:r>
      <w:r>
        <w:rPr>
          <w:color w:val="auto"/>
          <w:szCs w:val="32"/>
        </w:rPr>
        <w:t>分；</w:t>
      </w:r>
    </w:p>
    <w:p w14:paraId="216CDD2B">
      <w:pPr>
        <w:numPr>
          <w:ilvl w:val="0"/>
          <w:numId w:val="6"/>
        </w:numPr>
        <w:ind w:left="720" w:right="737" w:firstLine="420"/>
        <w:rPr>
          <w:color w:val="auto"/>
          <w:szCs w:val="32"/>
        </w:rPr>
      </w:pPr>
      <w:r>
        <w:rPr>
          <w:rFonts w:hint="eastAsia"/>
          <w:color w:val="auto"/>
          <w:szCs w:val="32"/>
        </w:rPr>
        <w:t>元器件宽长比设计正确，3分；</w:t>
      </w:r>
    </w:p>
    <w:p w14:paraId="686D8998">
      <w:pPr>
        <w:numPr>
          <w:ilvl w:val="0"/>
          <w:numId w:val="6"/>
        </w:numPr>
        <w:ind w:left="720" w:right="737" w:firstLine="420"/>
        <w:rPr>
          <w:color w:val="auto"/>
          <w:szCs w:val="32"/>
        </w:rPr>
      </w:pPr>
      <w:r>
        <w:rPr>
          <w:color w:val="auto"/>
          <w:szCs w:val="32"/>
        </w:rPr>
        <w:t>根据给定电路原理图，使用 018umPDK 工艺库，完成电阻宽长比和阻值的设定。（</w:t>
      </w:r>
      <w:r>
        <w:rPr>
          <w:rFonts w:hint="eastAsia"/>
          <w:color w:val="auto"/>
          <w:szCs w:val="32"/>
        </w:rPr>
        <w:t>2</w:t>
      </w:r>
      <w:r>
        <w:rPr>
          <w:color w:val="auto"/>
          <w:szCs w:val="32"/>
        </w:rPr>
        <w:t xml:space="preserve"> 分）</w:t>
      </w:r>
    </w:p>
    <w:p w14:paraId="4D44774A">
      <w:pPr>
        <w:numPr>
          <w:ilvl w:val="0"/>
          <w:numId w:val="6"/>
        </w:numPr>
        <w:ind w:left="720" w:right="737" w:firstLine="420"/>
        <w:rPr>
          <w:color w:val="auto"/>
          <w:szCs w:val="32"/>
        </w:rPr>
      </w:pPr>
      <w:r>
        <w:rPr>
          <w:color w:val="auto"/>
          <w:szCs w:val="32"/>
        </w:rPr>
        <w:t>三极管、电阻、MOSFET 设计超出行业标准要求（输入对管的版图使用了中心对称匹配，四周完整布设 dummy 管，外围 N-well/P-sub 充分连接电源/地）</w:t>
      </w:r>
      <w:r>
        <w:rPr>
          <w:rFonts w:hint="eastAsia"/>
          <w:color w:val="auto"/>
          <w:szCs w:val="32"/>
        </w:rPr>
        <w:t>，3分</w:t>
      </w:r>
    </w:p>
    <w:p w14:paraId="56A14160">
      <w:pPr>
        <w:numPr>
          <w:ilvl w:val="0"/>
          <w:numId w:val="6"/>
        </w:numPr>
        <w:ind w:left="720" w:right="737" w:firstLine="420"/>
        <w:rPr>
          <w:color w:val="auto"/>
          <w:szCs w:val="32"/>
        </w:rPr>
      </w:pPr>
      <w:r>
        <w:rPr>
          <w:rFonts w:hint="eastAsia"/>
          <w:color w:val="auto"/>
          <w:szCs w:val="32"/>
        </w:rPr>
        <w:t>给定红色区域元器件匹配正确，2分</w:t>
      </w:r>
    </w:p>
    <w:p w14:paraId="0355E482">
      <w:pPr>
        <w:numPr>
          <w:ilvl w:val="0"/>
          <w:numId w:val="6"/>
        </w:numPr>
        <w:ind w:left="720" w:right="737" w:firstLine="420"/>
        <w:rPr>
          <w:color w:val="auto"/>
          <w:szCs w:val="32"/>
        </w:rPr>
      </w:pPr>
      <w:r>
        <w:rPr>
          <w:color w:val="auto"/>
          <w:szCs w:val="32"/>
        </w:rPr>
        <w:t>绘制的版图 DRC 验证无误，忽略密度错误</w:t>
      </w:r>
      <w:r>
        <w:rPr>
          <w:rFonts w:hint="eastAsia"/>
          <w:color w:val="auto"/>
          <w:szCs w:val="32"/>
        </w:rPr>
        <w:t>，3</w:t>
      </w:r>
      <w:r>
        <w:rPr>
          <w:color w:val="auto"/>
          <w:szCs w:val="32"/>
        </w:rPr>
        <w:t xml:space="preserve"> 分</w:t>
      </w:r>
      <w:r>
        <w:rPr>
          <w:rFonts w:hint="eastAsia"/>
          <w:color w:val="auto"/>
          <w:szCs w:val="32"/>
        </w:rPr>
        <w:t>，出现一个错误扣0.25分，扣完为止；</w:t>
      </w:r>
    </w:p>
    <w:p w14:paraId="112C0088">
      <w:pPr>
        <w:numPr>
          <w:ilvl w:val="0"/>
          <w:numId w:val="6"/>
        </w:numPr>
        <w:ind w:left="720" w:right="737" w:firstLine="420"/>
        <w:rPr>
          <w:color w:val="auto"/>
          <w:szCs w:val="32"/>
        </w:rPr>
      </w:pPr>
      <w:r>
        <w:rPr>
          <w:color w:val="auto"/>
          <w:szCs w:val="32"/>
        </w:rPr>
        <w:t>绘制的版图 LVS 验证无误，忽略 dummy 管错误</w:t>
      </w:r>
      <w:r>
        <w:rPr>
          <w:rFonts w:hint="eastAsia"/>
          <w:color w:val="auto"/>
          <w:szCs w:val="32"/>
        </w:rPr>
        <w:t>，3</w:t>
      </w:r>
      <w:r>
        <w:rPr>
          <w:color w:val="auto"/>
          <w:szCs w:val="32"/>
        </w:rPr>
        <w:t xml:space="preserve"> 分</w:t>
      </w:r>
      <w:r>
        <w:rPr>
          <w:rFonts w:hint="eastAsia"/>
          <w:color w:val="auto"/>
          <w:szCs w:val="32"/>
        </w:rPr>
        <w:t>，出现一个错误扣0.25分，扣完为止；</w:t>
      </w:r>
    </w:p>
    <w:p w14:paraId="601D28D0">
      <w:pPr>
        <w:numPr>
          <w:ilvl w:val="0"/>
          <w:numId w:val="6"/>
        </w:numPr>
        <w:ind w:left="720" w:right="737" w:firstLine="420"/>
        <w:rPr>
          <w:color w:val="auto"/>
          <w:szCs w:val="32"/>
        </w:rPr>
      </w:pPr>
      <w:r>
        <w:rPr>
          <w:rFonts w:hint="eastAsia"/>
          <w:color w:val="auto"/>
          <w:szCs w:val="32"/>
        </w:rPr>
        <w:t>版图面积小于500um</w:t>
      </w:r>
      <w:r>
        <w:rPr>
          <w:rFonts w:hint="eastAsia"/>
          <w:color w:val="auto"/>
          <w:szCs w:val="32"/>
          <w:vertAlign w:val="superscript"/>
        </w:rPr>
        <w:t>2</w:t>
      </w:r>
      <w:r>
        <w:rPr>
          <w:rFonts w:hint="eastAsia"/>
          <w:color w:val="auto"/>
          <w:szCs w:val="32"/>
        </w:rPr>
        <w:t>，得4分，大于500um</w:t>
      </w:r>
      <w:r>
        <w:rPr>
          <w:rFonts w:hint="eastAsia"/>
          <w:color w:val="auto"/>
          <w:szCs w:val="32"/>
          <w:vertAlign w:val="superscript"/>
        </w:rPr>
        <w:t>2</w:t>
      </w:r>
      <w:r>
        <w:rPr>
          <w:rFonts w:hint="eastAsia"/>
          <w:color w:val="auto"/>
          <w:szCs w:val="32"/>
        </w:rPr>
        <w:t>但小于600um</w:t>
      </w:r>
      <w:r>
        <w:rPr>
          <w:rFonts w:hint="eastAsia"/>
          <w:color w:val="auto"/>
          <w:szCs w:val="32"/>
          <w:vertAlign w:val="superscript"/>
        </w:rPr>
        <w:t>2</w:t>
      </w:r>
      <w:r>
        <w:rPr>
          <w:rFonts w:hint="eastAsia"/>
          <w:color w:val="auto"/>
          <w:szCs w:val="32"/>
        </w:rPr>
        <w:t>得2分，大于600um</w:t>
      </w:r>
      <w:r>
        <w:rPr>
          <w:rFonts w:hint="eastAsia"/>
          <w:color w:val="auto"/>
          <w:szCs w:val="32"/>
          <w:vertAlign w:val="superscript"/>
        </w:rPr>
        <w:t>2</w:t>
      </w:r>
      <w:r>
        <w:rPr>
          <w:rFonts w:hint="eastAsia"/>
          <w:color w:val="auto"/>
          <w:szCs w:val="32"/>
        </w:rPr>
        <w:t>但绘制正确得1分，其余不得分；</w:t>
      </w:r>
    </w:p>
    <w:p w14:paraId="59B3915F">
      <w:pPr>
        <w:numPr>
          <w:ilvl w:val="0"/>
          <w:numId w:val="6"/>
        </w:numPr>
        <w:ind w:left="720" w:right="737" w:firstLine="420"/>
        <w:rPr>
          <w:color w:val="auto"/>
          <w:szCs w:val="32"/>
        </w:rPr>
      </w:pPr>
      <w:r>
        <w:rPr>
          <w:rFonts w:hint="eastAsia"/>
          <w:color w:val="auto"/>
          <w:szCs w:val="32"/>
        </w:rPr>
        <w:t>金属层使用数量小于4层，得3分；</w:t>
      </w:r>
    </w:p>
    <w:p w14:paraId="58DCD33C">
      <w:pPr>
        <w:ind w:right="737" w:firstLine="632" w:firstLineChars="200"/>
        <w:rPr>
          <w:b/>
          <w:color w:val="auto"/>
        </w:rPr>
      </w:pPr>
    </w:p>
    <w:p w14:paraId="2AA089F4">
      <w:pPr>
        <w:ind w:right="737" w:firstLine="632" w:firstLineChars="200"/>
        <w:rPr>
          <w:b/>
          <w:bCs/>
          <w:color w:val="auto"/>
          <w:szCs w:val="32"/>
        </w:rPr>
      </w:pPr>
    </w:p>
    <w:p w14:paraId="6BD9115B">
      <w:pPr>
        <w:pageBreakBefore/>
        <w:ind w:left="243" w:right="108" w:hanging="243" w:hangingChars="77"/>
        <w:rPr>
          <w:color w:val="auto"/>
          <w:szCs w:val="32"/>
        </w:rPr>
      </w:pPr>
      <w:r>
        <w:rPr>
          <w:rFonts w:eastAsia="黑体"/>
          <w:color w:val="auto"/>
          <w:szCs w:val="32"/>
        </w:rPr>
        <w:t>附件2</w:t>
      </w:r>
    </w:p>
    <w:p w14:paraId="017BC759">
      <w:pPr>
        <w:spacing w:line="560" w:lineRule="exact"/>
        <w:jc w:val="center"/>
        <w:rPr>
          <w:rFonts w:eastAsia="宋体"/>
          <w:color w:val="auto"/>
          <w:sz w:val="42"/>
          <w:szCs w:val="42"/>
        </w:rPr>
      </w:pPr>
    </w:p>
    <w:p w14:paraId="049B5B68">
      <w:pPr>
        <w:spacing w:line="560" w:lineRule="exact"/>
        <w:jc w:val="center"/>
        <w:rPr>
          <w:rFonts w:eastAsia="方正小标宋简体"/>
          <w:color w:val="auto"/>
          <w:sz w:val="44"/>
          <w:szCs w:val="44"/>
        </w:rPr>
      </w:pPr>
      <w:r>
        <w:rPr>
          <w:rFonts w:eastAsia="方正小标宋简体"/>
          <w:color w:val="auto"/>
          <w:sz w:val="44"/>
          <w:szCs w:val="44"/>
        </w:rPr>
        <w:t>沈阳市第四届“舒心传技”职业技能大赛</w:t>
      </w:r>
    </w:p>
    <w:p w14:paraId="570E4F7E">
      <w:pPr>
        <w:spacing w:line="560" w:lineRule="exact"/>
        <w:jc w:val="center"/>
        <w:rPr>
          <w:rFonts w:eastAsia="方正小标宋简体"/>
          <w:color w:val="auto"/>
          <w:sz w:val="44"/>
          <w:szCs w:val="44"/>
        </w:rPr>
      </w:pPr>
      <w:r>
        <w:rPr>
          <w:rFonts w:eastAsia="方正小标宋简体"/>
          <w:color w:val="auto"/>
          <w:sz w:val="44"/>
          <w:szCs w:val="44"/>
        </w:rPr>
        <w:t>裁判人员工作责任书</w:t>
      </w:r>
    </w:p>
    <w:p w14:paraId="5B0C6846">
      <w:pPr>
        <w:spacing w:line="560" w:lineRule="exact"/>
        <w:ind w:firstLine="632" w:firstLineChars="200"/>
        <w:rPr>
          <w:color w:val="auto"/>
        </w:rPr>
      </w:pPr>
    </w:p>
    <w:p w14:paraId="06093BAC">
      <w:pPr>
        <w:spacing w:line="560" w:lineRule="exact"/>
        <w:ind w:firstLine="632" w:firstLineChars="200"/>
        <w:rPr>
          <w:color w:val="auto"/>
        </w:rPr>
      </w:pPr>
      <w:r>
        <w:rPr>
          <w:color w:val="auto"/>
        </w:rPr>
        <w:t>为使沈阳市第四届“舒心传技”职业技能大赛顺利进行，充分体现竞赛的公平、公正性，拟定裁判人员工作责任书，全体裁判人员签署并执行。</w:t>
      </w:r>
    </w:p>
    <w:p w14:paraId="2B42DABA">
      <w:pPr>
        <w:spacing w:line="560" w:lineRule="exact"/>
        <w:ind w:firstLine="632" w:firstLineChars="200"/>
        <w:rPr>
          <w:color w:val="auto"/>
        </w:rPr>
      </w:pPr>
      <w:r>
        <w:rPr>
          <w:color w:val="auto"/>
        </w:rPr>
        <w:t>一、裁判长和裁判须服从大赛组委会工作安排，佩戴裁判证、仪表整洁。裁判长应按照《竞赛技术规则》加强对全体裁判人员的管理，提出工作要求，做好工作分工，全体裁判人员应认真履行职责，按时、保质、保量完成各项技术工作。</w:t>
      </w:r>
    </w:p>
    <w:p w14:paraId="3ECDCF9D">
      <w:pPr>
        <w:spacing w:line="560" w:lineRule="exact"/>
        <w:ind w:firstLine="632" w:firstLineChars="200"/>
        <w:rPr>
          <w:color w:val="auto"/>
        </w:rPr>
      </w:pPr>
      <w:r>
        <w:rPr>
          <w:color w:val="auto"/>
        </w:rPr>
        <w:t>二、按照考核各项规则要求，独立行使裁判权力，严格执裁，不因任何机构和个人而影响公平、公正执裁。</w:t>
      </w:r>
    </w:p>
    <w:p w14:paraId="78A27CCB">
      <w:pPr>
        <w:spacing w:line="560" w:lineRule="exact"/>
        <w:ind w:firstLine="632" w:firstLineChars="200"/>
        <w:rPr>
          <w:color w:val="auto"/>
        </w:rPr>
      </w:pPr>
      <w:r>
        <w:rPr>
          <w:color w:val="auto"/>
        </w:rPr>
        <w:t>三、廉洁自律，不徇私舞弊，不做任何损害大赛声誉和形象的事情。</w:t>
      </w:r>
    </w:p>
    <w:p w14:paraId="0C9A71E2">
      <w:pPr>
        <w:spacing w:line="560" w:lineRule="exact"/>
        <w:ind w:firstLine="632" w:firstLineChars="200"/>
        <w:rPr>
          <w:color w:val="auto"/>
        </w:rPr>
      </w:pPr>
      <w:r>
        <w:rPr>
          <w:color w:val="auto"/>
        </w:rPr>
        <w:t>四、发扬团队精神，服从工作分工，做好本职工作。</w:t>
      </w:r>
    </w:p>
    <w:p w14:paraId="1C0FA194">
      <w:pPr>
        <w:spacing w:line="560" w:lineRule="exact"/>
        <w:ind w:firstLine="632" w:firstLineChars="200"/>
        <w:rPr>
          <w:color w:val="auto"/>
        </w:rPr>
      </w:pPr>
      <w:r>
        <w:rPr>
          <w:color w:val="auto"/>
        </w:rPr>
        <w:t>五、遵守工作纪律，严守各项机密，不擅自为任何机构或个人提供赛项竞赛环节的技术资料和有关信息。</w:t>
      </w:r>
    </w:p>
    <w:p w14:paraId="1EB66044">
      <w:pPr>
        <w:spacing w:line="560" w:lineRule="exact"/>
        <w:ind w:firstLine="632" w:firstLineChars="200"/>
        <w:rPr>
          <w:color w:val="auto"/>
        </w:rPr>
      </w:pPr>
    </w:p>
    <w:p w14:paraId="5597DEB4">
      <w:pPr>
        <w:spacing w:line="560" w:lineRule="exact"/>
        <w:ind w:firstLine="632" w:firstLineChars="200"/>
        <w:jc w:val="center"/>
        <w:rPr>
          <w:color w:val="auto"/>
        </w:rPr>
      </w:pPr>
      <w:r>
        <w:rPr>
          <w:color w:val="auto"/>
        </w:rPr>
        <w:t xml:space="preserve">      签署人：</w:t>
      </w:r>
    </w:p>
    <w:p w14:paraId="3E477C9A">
      <w:pPr>
        <w:spacing w:line="560" w:lineRule="exact"/>
        <w:ind w:firstLine="632" w:firstLineChars="200"/>
        <w:jc w:val="right"/>
        <w:rPr>
          <w:color w:val="auto"/>
        </w:rPr>
      </w:pPr>
    </w:p>
    <w:p w14:paraId="5783F849">
      <w:pPr>
        <w:spacing w:line="560" w:lineRule="exact"/>
        <w:ind w:firstLine="632" w:firstLineChars="200"/>
        <w:jc w:val="center"/>
        <w:rPr>
          <w:color w:val="auto"/>
        </w:rPr>
      </w:pPr>
      <w:r>
        <w:rPr>
          <w:color w:val="auto"/>
        </w:rPr>
        <w:t xml:space="preserve">                   2025年  月  日</w:t>
      </w:r>
    </w:p>
    <w:p w14:paraId="7CD8E846">
      <w:pPr>
        <w:spacing w:line="560" w:lineRule="exact"/>
        <w:rPr>
          <w:rFonts w:eastAsia="黑体"/>
          <w:color w:val="auto"/>
          <w:szCs w:val="32"/>
        </w:rPr>
      </w:pPr>
      <w:r>
        <w:rPr>
          <w:rFonts w:eastAsia="黑体"/>
          <w:color w:val="auto"/>
          <w:szCs w:val="32"/>
        </w:rPr>
        <w:t>附件3</w:t>
      </w:r>
    </w:p>
    <w:p w14:paraId="2853CAE1">
      <w:pPr>
        <w:spacing w:line="560" w:lineRule="exact"/>
        <w:rPr>
          <w:color w:val="auto"/>
          <w:szCs w:val="32"/>
        </w:rPr>
      </w:pPr>
    </w:p>
    <w:p w14:paraId="319AE08C">
      <w:pPr>
        <w:spacing w:line="560" w:lineRule="exact"/>
        <w:jc w:val="center"/>
        <w:rPr>
          <w:rFonts w:eastAsia="方正小标宋简体"/>
          <w:color w:val="auto"/>
          <w:spacing w:val="-6"/>
          <w:kern w:val="0"/>
          <w:sz w:val="44"/>
          <w:szCs w:val="44"/>
        </w:rPr>
      </w:pPr>
      <w:r>
        <w:rPr>
          <w:rFonts w:eastAsia="方正小标宋简体"/>
          <w:color w:val="auto"/>
          <w:spacing w:val="-6"/>
          <w:kern w:val="0"/>
          <w:sz w:val="44"/>
          <w:szCs w:val="44"/>
        </w:rPr>
        <w:t>沈阳</w:t>
      </w:r>
      <w:r>
        <w:rPr>
          <w:rFonts w:eastAsia="方正小标宋简体"/>
          <w:color w:val="auto"/>
          <w:sz w:val="44"/>
          <w:szCs w:val="44"/>
        </w:rPr>
        <w:t>市第四届“舒心传技”职业技能大赛</w:t>
      </w:r>
    </w:p>
    <w:p w14:paraId="1DA5274A">
      <w:pPr>
        <w:spacing w:line="560" w:lineRule="exact"/>
        <w:jc w:val="center"/>
        <w:rPr>
          <w:rFonts w:eastAsia="方正小标宋简体"/>
          <w:color w:val="auto"/>
          <w:sz w:val="44"/>
          <w:szCs w:val="44"/>
        </w:rPr>
      </w:pPr>
      <w:r>
        <w:rPr>
          <w:rFonts w:eastAsia="方正小标宋简体"/>
          <w:color w:val="auto"/>
          <w:sz w:val="44"/>
          <w:szCs w:val="44"/>
        </w:rPr>
        <w:t>竞赛行为规范承诺书</w:t>
      </w:r>
    </w:p>
    <w:p w14:paraId="63E0FFD9">
      <w:pPr>
        <w:spacing w:line="560" w:lineRule="exact"/>
        <w:ind w:firstLine="632" w:firstLineChars="200"/>
        <w:rPr>
          <w:rFonts w:eastAsia="仿宋"/>
          <w:color w:val="auto"/>
        </w:rPr>
      </w:pPr>
    </w:p>
    <w:p w14:paraId="49C409FD">
      <w:pPr>
        <w:spacing w:line="560" w:lineRule="exact"/>
        <w:ind w:firstLine="632" w:firstLineChars="200"/>
        <w:rPr>
          <w:color w:val="auto"/>
        </w:rPr>
      </w:pPr>
      <w:r>
        <w:rPr>
          <w:color w:val="auto"/>
        </w:rPr>
        <w:t>遵章守纪、诚实守信、公平公正、公开透明，是全体参与</w:t>
      </w:r>
      <w:r>
        <w:rPr>
          <w:color w:val="auto"/>
          <w:spacing w:val="-6"/>
          <w:kern w:val="0"/>
          <w:szCs w:val="32"/>
        </w:rPr>
        <w:t>沈阳市第四届</w:t>
      </w:r>
      <w:r>
        <w:rPr>
          <w:color w:val="auto"/>
          <w:kern w:val="0"/>
          <w:szCs w:val="32"/>
          <w:shd w:val="clear" w:color="auto" w:fill="FFFFFF"/>
          <w:lang w:bidi="ar"/>
        </w:rPr>
        <w:t>“舒心传技”</w:t>
      </w:r>
      <w:r>
        <w:rPr>
          <w:color w:val="auto"/>
        </w:rPr>
        <w:t>职业技能大赛相关人员必须遵守的行为规范。</w:t>
      </w:r>
    </w:p>
    <w:p w14:paraId="00C006CE">
      <w:pPr>
        <w:spacing w:line="560" w:lineRule="exact"/>
        <w:ind w:firstLine="632" w:firstLineChars="200"/>
        <w:rPr>
          <w:rFonts w:eastAsia="黑体"/>
          <w:color w:val="auto"/>
        </w:rPr>
      </w:pPr>
      <w:r>
        <w:rPr>
          <w:rFonts w:eastAsia="黑体"/>
          <w:color w:val="auto"/>
        </w:rPr>
        <w:t>一、遵章守纪</w:t>
      </w:r>
    </w:p>
    <w:p w14:paraId="61D1C2C8">
      <w:pPr>
        <w:spacing w:line="560" w:lineRule="exact"/>
        <w:ind w:firstLine="632" w:firstLineChars="200"/>
        <w:rPr>
          <w:color w:val="auto"/>
        </w:rPr>
      </w:pPr>
      <w:r>
        <w:rPr>
          <w:color w:val="auto"/>
        </w:rPr>
        <w:t>严格执行</w:t>
      </w:r>
      <w:r>
        <w:rPr>
          <w:color w:val="auto"/>
          <w:spacing w:val="-6"/>
          <w:kern w:val="0"/>
          <w:szCs w:val="32"/>
        </w:rPr>
        <w:t>沈阳市</w:t>
      </w:r>
      <w:r>
        <w:rPr>
          <w:color w:val="auto"/>
          <w:szCs w:val="32"/>
        </w:rPr>
        <w:t>第四届</w:t>
      </w:r>
      <w:r>
        <w:rPr>
          <w:color w:val="auto"/>
        </w:rPr>
        <w:t>“舒心传技”职业技能大赛组委会有关规定，遵守各项竞赛纪律，自觉维护竞赛秩序，不干扰比赛正常进行。履职尽责，忠于职守，按时、保质、保量完成各项工作。严守各项安全工作规范，确保人身、设备安全。发扬团队合作精神，服从工作分工，做好本职工作。不因任何机构和个人而影响本人履职尽责，不擅自传播未经核查证实的言论、信息，不无故退赛。</w:t>
      </w:r>
    </w:p>
    <w:p w14:paraId="472A6A78">
      <w:pPr>
        <w:spacing w:line="560" w:lineRule="exact"/>
        <w:ind w:firstLine="632" w:firstLineChars="200"/>
        <w:rPr>
          <w:rFonts w:eastAsia="黑体"/>
          <w:color w:val="auto"/>
        </w:rPr>
      </w:pPr>
      <w:r>
        <w:rPr>
          <w:rFonts w:eastAsia="黑体"/>
          <w:color w:val="auto"/>
        </w:rPr>
        <w:t>二、诚实守信</w:t>
      </w:r>
    </w:p>
    <w:p w14:paraId="41434D8B">
      <w:pPr>
        <w:spacing w:line="560" w:lineRule="exact"/>
        <w:ind w:firstLine="632" w:firstLineChars="200"/>
        <w:rPr>
          <w:color w:val="auto"/>
        </w:rPr>
      </w:pPr>
      <w:r>
        <w:rPr>
          <w:color w:val="auto"/>
        </w:rPr>
        <w:t>诚实办赛、诚实评判、诚实参赛，客观、实事求是通过正当渠道反映竞赛过程中的问题。信守承诺，保守秘密。不擅自为任何机构或个人提供与本次大赛有关的培训和信息咨询，不向任何机构或个人透露影响竞赛公平、公正的信息。廉洁自律，不徇私舞弊，维护竞赛声誉和形象。</w:t>
      </w:r>
    </w:p>
    <w:p w14:paraId="4E02A011">
      <w:pPr>
        <w:spacing w:line="560" w:lineRule="exact"/>
        <w:ind w:firstLine="632" w:firstLineChars="200"/>
        <w:rPr>
          <w:rFonts w:eastAsia="黑体"/>
          <w:color w:val="auto"/>
        </w:rPr>
      </w:pPr>
      <w:r>
        <w:rPr>
          <w:rFonts w:eastAsia="黑体"/>
          <w:color w:val="auto"/>
        </w:rPr>
        <w:t>三、公平公正</w:t>
      </w:r>
    </w:p>
    <w:p w14:paraId="55C38C75">
      <w:pPr>
        <w:spacing w:line="560" w:lineRule="exact"/>
        <w:ind w:firstLine="632" w:firstLineChars="200"/>
        <w:rPr>
          <w:color w:val="auto"/>
        </w:rPr>
      </w:pPr>
      <w:r>
        <w:rPr>
          <w:color w:val="auto"/>
        </w:rPr>
        <w:t>裁判人员应依据竞赛规则开展技术准备和评判等工作，公平公正对待每个参赛队和每位参赛选手。赛务人员应公平公正做好相关保障工作。执委会、参赛队、裁判组在组织实施竞赛和处理争议时，应依据竞赛规则实施，确保公平公正。任何人在任何情况下都不干预正常的评判工作，任何人不得利用职务便利从事影响公平公正的培训、推销、赞助等活动。</w:t>
      </w:r>
    </w:p>
    <w:p w14:paraId="49F04E01">
      <w:pPr>
        <w:spacing w:line="560" w:lineRule="exact"/>
        <w:ind w:firstLine="632" w:firstLineChars="200"/>
        <w:rPr>
          <w:rFonts w:eastAsia="黑体"/>
          <w:color w:val="auto"/>
        </w:rPr>
      </w:pPr>
      <w:r>
        <w:rPr>
          <w:rFonts w:eastAsia="黑体"/>
          <w:color w:val="auto"/>
        </w:rPr>
        <w:t>四、公开透明</w:t>
      </w:r>
    </w:p>
    <w:p w14:paraId="22ED4C9D">
      <w:pPr>
        <w:spacing w:line="560" w:lineRule="exact"/>
        <w:ind w:firstLine="632" w:firstLineChars="200"/>
        <w:rPr>
          <w:color w:val="auto"/>
        </w:rPr>
      </w:pPr>
      <w:r>
        <w:rPr>
          <w:color w:val="auto"/>
        </w:rPr>
        <w:t>充分保证各参与方的知情权。裁判组做出的各项技术方面的决定，应事先征求相关参与方，特别是各参赛队意见，在规定时间内按程序向各方公布。在竞赛过程中的争议处理，应符合竞赛规则要求，在广泛听取各方意见，全面了解、掌握信息的基础上做出处理，并做到处理程序和结果公开透明。</w:t>
      </w:r>
    </w:p>
    <w:p w14:paraId="04A0EB1F">
      <w:pPr>
        <w:spacing w:line="560" w:lineRule="exact"/>
        <w:ind w:firstLine="632" w:firstLineChars="200"/>
        <w:rPr>
          <w:color w:val="auto"/>
        </w:rPr>
      </w:pPr>
      <w:r>
        <w:rPr>
          <w:color w:val="auto"/>
        </w:rPr>
        <w:t>我们承诺遵守以上竞赛行为规范。</w:t>
      </w:r>
    </w:p>
    <w:p w14:paraId="2C68ADB3">
      <w:pPr>
        <w:spacing w:line="560" w:lineRule="exact"/>
        <w:ind w:firstLine="632" w:firstLineChars="200"/>
        <w:rPr>
          <w:color w:val="auto"/>
        </w:rPr>
      </w:pPr>
    </w:p>
    <w:p w14:paraId="46DC70A9">
      <w:pPr>
        <w:spacing w:line="560" w:lineRule="exact"/>
        <w:ind w:firstLine="632" w:firstLineChars="200"/>
        <w:rPr>
          <w:color w:val="auto"/>
        </w:rPr>
      </w:pPr>
    </w:p>
    <w:p w14:paraId="11DAEBEC">
      <w:pPr>
        <w:spacing w:line="560" w:lineRule="exact"/>
        <w:ind w:firstLine="4108" w:firstLineChars="1300"/>
        <w:rPr>
          <w:color w:val="auto"/>
        </w:rPr>
      </w:pPr>
      <w:r>
        <w:rPr>
          <w:color w:val="auto"/>
        </w:rPr>
        <w:t>签署人：</w:t>
      </w:r>
    </w:p>
    <w:p w14:paraId="16997F20">
      <w:pPr>
        <w:spacing w:line="560" w:lineRule="exact"/>
        <w:ind w:firstLine="632" w:firstLineChars="200"/>
        <w:rPr>
          <w:color w:val="auto"/>
        </w:rPr>
      </w:pPr>
    </w:p>
    <w:p w14:paraId="19AE9F8E">
      <w:pPr>
        <w:spacing w:line="560" w:lineRule="exact"/>
        <w:ind w:firstLine="5056" w:firstLineChars="1600"/>
        <w:rPr>
          <w:color w:val="auto"/>
        </w:rPr>
      </w:pPr>
      <w:r>
        <w:rPr>
          <w:color w:val="auto"/>
        </w:rPr>
        <w:t>2025年  月  日</w:t>
      </w:r>
    </w:p>
    <w:p w14:paraId="5B2BD583">
      <w:pPr>
        <w:pStyle w:val="70"/>
        <w:spacing w:line="560" w:lineRule="exact"/>
        <w:ind w:firstLine="0" w:firstLineChars="0"/>
        <w:rPr>
          <w:rFonts w:ascii="Times New Roman" w:hAnsi="Times New Roman"/>
          <w:color w:val="auto"/>
          <w:szCs w:val="20"/>
        </w:rPr>
      </w:pPr>
      <w:r>
        <w:rPr>
          <w:rFonts w:ascii="Times New Roman" w:hAnsi="Times New Roman"/>
          <w:color w:val="auto"/>
          <w:szCs w:val="20"/>
        </w:rPr>
        <w:br w:type="page"/>
      </w:r>
      <w:r>
        <w:rPr>
          <w:rFonts w:ascii="Times New Roman" w:hAnsi="Times New Roman" w:eastAsia="黑体"/>
          <w:color w:val="auto"/>
          <w:szCs w:val="32"/>
        </w:rPr>
        <w:t>附件4</w:t>
      </w:r>
    </w:p>
    <w:p w14:paraId="3BAAF502">
      <w:pPr>
        <w:spacing w:line="560" w:lineRule="exact"/>
        <w:jc w:val="center"/>
        <w:rPr>
          <w:rFonts w:eastAsia="方正小标宋简体"/>
          <w:color w:val="auto"/>
          <w:sz w:val="44"/>
          <w:szCs w:val="44"/>
        </w:rPr>
      </w:pPr>
      <w:r>
        <w:rPr>
          <w:rFonts w:eastAsia="方正小标宋简体"/>
          <w:color w:val="auto"/>
          <w:sz w:val="44"/>
          <w:szCs w:val="44"/>
        </w:rPr>
        <w:t>沈阳市第四届“舒心传技”职业技能大赛</w:t>
      </w:r>
    </w:p>
    <w:p w14:paraId="28860F37">
      <w:pPr>
        <w:spacing w:line="560" w:lineRule="exact"/>
        <w:jc w:val="center"/>
        <w:rPr>
          <w:rFonts w:eastAsia="方正小标宋简体"/>
          <w:color w:val="auto"/>
          <w:sz w:val="44"/>
          <w:szCs w:val="44"/>
        </w:rPr>
      </w:pPr>
      <w:r>
        <w:rPr>
          <w:rFonts w:eastAsia="方正小标宋简体"/>
          <w:color w:val="auto"/>
          <w:sz w:val="44"/>
          <w:szCs w:val="44"/>
        </w:rPr>
        <w:t>参赛选手安全承诺书</w:t>
      </w:r>
    </w:p>
    <w:p w14:paraId="3A028161">
      <w:pPr>
        <w:spacing w:line="560" w:lineRule="exact"/>
        <w:ind w:firstLine="632" w:firstLineChars="200"/>
        <w:rPr>
          <w:color w:val="auto"/>
          <w:szCs w:val="24"/>
        </w:rPr>
      </w:pPr>
    </w:p>
    <w:p w14:paraId="0D2A3C42">
      <w:pPr>
        <w:spacing w:line="560" w:lineRule="exact"/>
        <w:ind w:firstLine="632" w:firstLineChars="200"/>
        <w:rPr>
          <w:color w:val="auto"/>
        </w:rPr>
      </w:pPr>
      <w:r>
        <w:rPr>
          <w:color w:val="auto"/>
        </w:rPr>
        <w:t>为增强沈阳市</w:t>
      </w:r>
      <w:r>
        <w:rPr>
          <w:color w:val="auto"/>
          <w:szCs w:val="32"/>
        </w:rPr>
        <w:t>第四届</w:t>
      </w:r>
      <w:r>
        <w:rPr>
          <w:color w:val="auto"/>
        </w:rPr>
        <w:t>“舒心传技”职业技能大赛参赛选手安全操作意识，积极预防比赛中的伤害事故，营造安全、规范的比赛环境，参赛选手就安全、规范参赛，做出如下承诺：</w:t>
      </w:r>
    </w:p>
    <w:p w14:paraId="28567789">
      <w:pPr>
        <w:spacing w:line="560" w:lineRule="exact"/>
        <w:ind w:firstLine="632" w:firstLineChars="200"/>
        <w:rPr>
          <w:color w:val="auto"/>
        </w:rPr>
      </w:pPr>
      <w:r>
        <w:rPr>
          <w:color w:val="auto"/>
        </w:rPr>
        <w:t xml:space="preserve">一、服从裁判人员管理，遵守比赛纪律、秩序，文明参赛。 </w:t>
      </w:r>
    </w:p>
    <w:p w14:paraId="18348828">
      <w:pPr>
        <w:spacing w:line="560" w:lineRule="exact"/>
        <w:ind w:firstLine="632" w:firstLineChars="200"/>
        <w:rPr>
          <w:color w:val="auto"/>
        </w:rPr>
      </w:pPr>
      <w:r>
        <w:rPr>
          <w:color w:val="auto"/>
        </w:rPr>
        <w:t>二、遵守竞赛规则、操作规程，规范操作赛场设施、设备，规范使用比赛工具材料。</w:t>
      </w:r>
    </w:p>
    <w:p w14:paraId="325821A7">
      <w:pPr>
        <w:spacing w:line="560" w:lineRule="exact"/>
        <w:ind w:firstLine="632" w:firstLineChars="200"/>
        <w:rPr>
          <w:color w:val="auto"/>
        </w:rPr>
      </w:pPr>
      <w:r>
        <w:rPr>
          <w:color w:val="auto"/>
        </w:rPr>
        <w:t xml:space="preserve">三、按照行业相关安全规定和本项目竞赛安全规范要求穿戴防护用具及防护用品，安全参赛，杜绝一切危险操作行为。 </w:t>
      </w:r>
    </w:p>
    <w:p w14:paraId="7A0FC334">
      <w:pPr>
        <w:spacing w:line="560" w:lineRule="exact"/>
        <w:ind w:firstLine="632" w:firstLineChars="200"/>
        <w:rPr>
          <w:color w:val="auto"/>
        </w:rPr>
      </w:pPr>
      <w:r>
        <w:rPr>
          <w:color w:val="auto"/>
        </w:rPr>
        <w:t>四、爱护参赛设施、设备及工具材料，规范存放、妥善保管，防止损坏。</w:t>
      </w:r>
    </w:p>
    <w:p w14:paraId="49C0A34B">
      <w:pPr>
        <w:spacing w:line="560" w:lineRule="exact"/>
        <w:ind w:firstLine="632" w:firstLineChars="200"/>
        <w:rPr>
          <w:color w:val="auto"/>
        </w:rPr>
      </w:pPr>
      <w:r>
        <w:rPr>
          <w:color w:val="auto"/>
        </w:rPr>
        <w:t>五、养成文明生活习惯，注意饮食卫生，在确保人身健康、安全的前提下参加竞赛。</w:t>
      </w:r>
    </w:p>
    <w:p w14:paraId="7E454265">
      <w:pPr>
        <w:spacing w:line="560" w:lineRule="exact"/>
        <w:ind w:firstLine="632" w:firstLineChars="200"/>
        <w:rPr>
          <w:color w:val="auto"/>
        </w:rPr>
      </w:pPr>
      <w:r>
        <w:rPr>
          <w:color w:val="auto"/>
        </w:rPr>
        <w:t xml:space="preserve">六、发现有关问题和故障，按规范报告、处理。 </w:t>
      </w:r>
    </w:p>
    <w:p w14:paraId="421107D7">
      <w:pPr>
        <w:spacing w:line="560" w:lineRule="exact"/>
        <w:ind w:firstLine="632" w:firstLineChars="200"/>
        <w:rPr>
          <w:color w:val="auto"/>
        </w:rPr>
      </w:pPr>
      <w:r>
        <w:rPr>
          <w:color w:val="auto"/>
        </w:rPr>
        <w:t>我们保证严格遵守沈阳市</w:t>
      </w:r>
      <w:r>
        <w:rPr>
          <w:color w:val="auto"/>
          <w:szCs w:val="32"/>
        </w:rPr>
        <w:t>第四届“</w:t>
      </w:r>
      <w:r>
        <w:rPr>
          <w:color w:val="auto"/>
        </w:rPr>
        <w:t>舒心传技</w:t>
      </w:r>
      <w:r>
        <w:rPr>
          <w:color w:val="auto"/>
          <w:szCs w:val="32"/>
        </w:rPr>
        <w:t>”</w:t>
      </w:r>
      <w:r>
        <w:rPr>
          <w:color w:val="auto"/>
        </w:rPr>
        <w:t>职业技能大赛组委会有关规定、本项目《竞赛细则》等各项相关安全规定，杜绝一切不安全、不文明、不规范、不健康的行为，做文明参赛的选手。</w:t>
      </w:r>
    </w:p>
    <w:p w14:paraId="2266935B">
      <w:pPr>
        <w:spacing w:line="560" w:lineRule="exact"/>
        <w:ind w:firstLine="3160" w:firstLineChars="1000"/>
        <w:rPr>
          <w:color w:val="auto"/>
        </w:rPr>
      </w:pPr>
      <w:r>
        <w:rPr>
          <w:color w:val="auto"/>
        </w:rPr>
        <w:t>参赛选手签名：</w:t>
      </w:r>
    </w:p>
    <w:p w14:paraId="542FD224">
      <w:pPr>
        <w:spacing w:line="560" w:lineRule="exact"/>
        <w:ind w:firstLine="632" w:firstLineChars="200"/>
        <w:rPr>
          <w:rFonts w:eastAsia="仿宋"/>
          <w:color w:val="auto"/>
        </w:rPr>
      </w:pPr>
      <w:r>
        <w:rPr>
          <w:rFonts w:eastAsia="仿宋"/>
          <w:color w:val="auto"/>
        </w:rPr>
        <w:t xml:space="preserve">                               </w:t>
      </w:r>
      <w:r>
        <w:rPr>
          <w:color w:val="auto"/>
        </w:rPr>
        <w:t>2025年   月   日</w:t>
      </w:r>
    </w:p>
    <w:sectPr>
      <w:footerReference r:id="rId9" w:type="default"/>
      <w:pgSz w:w="11906" w:h="16838"/>
      <w:pgMar w:top="1928" w:right="1474" w:bottom="1814" w:left="1588" w:header="1701" w:footer="1134" w:gutter="0"/>
      <w:pgNumType w:fmt="decimal" w:start="1"/>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E0BB0A-AE7D-405C-A747-FB204A6DCA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26FBFD88-C166-4951-B9C5-50D3803C4969}"/>
  </w:font>
  <w:font w:name="微软雅黑">
    <w:panose1 w:val="020B0503020204020204"/>
    <w:charset w:val="86"/>
    <w:family w:val="swiss"/>
    <w:pitch w:val="default"/>
    <w:sig w:usb0="80000287" w:usb1="2ACF3C50" w:usb2="00000016" w:usb3="00000000" w:csb0="0004001F" w:csb1="00000000"/>
    <w:embedRegular r:id="rId3" w:fontKey="{5B08C17F-6A6C-42B9-9660-FE8577479F3D}"/>
  </w:font>
  <w:font w:name="楷体">
    <w:panose1 w:val="02010609060101010101"/>
    <w:charset w:val="86"/>
    <w:family w:val="modern"/>
    <w:pitch w:val="default"/>
    <w:sig w:usb0="800002BF" w:usb1="38CF7CFA" w:usb2="00000016" w:usb3="00000000" w:csb0="00040001" w:csb1="00000000"/>
    <w:embedRegular r:id="rId4" w:fontKey="{B1FF0E13-6B01-4349-B9A8-21FCAD763CE9}"/>
  </w:font>
  <w:font w:name="等线 Light">
    <w:panose1 w:val="02010600030101010101"/>
    <w:charset w:val="86"/>
    <w:family w:val="auto"/>
    <w:pitch w:val="default"/>
    <w:sig w:usb0="A00002BF" w:usb1="38CF7CFA" w:usb2="00000016" w:usb3="00000000" w:csb0="0004000F" w:csb1="00000000"/>
  </w:font>
  <w:font w:name="创艺简标宋">
    <w:altName w:val="微软雅黑"/>
    <w:panose1 w:val="00000000000000000000"/>
    <w:charset w:val="00"/>
    <w:family w:val="auto"/>
    <w:pitch w:val="default"/>
    <w:sig w:usb0="00000000" w:usb1="00000000" w:usb2="00000000" w:usb3="00000000" w:csb0="00040001" w:csb1="00000000"/>
  </w:font>
  <w:font w:name="Frutiger LT Com 45 Light">
    <w:altName w:val="Calibri"/>
    <w:panose1 w:val="00000000000000000000"/>
    <w:charset w:val="00"/>
    <w:family w:val="swiss"/>
    <w:pitch w:val="default"/>
    <w:sig w:usb0="00000000" w:usb1="00000000" w:usb2="00000000" w:usb3="00000000" w:csb0="00000001" w:csb1="00000000"/>
  </w:font>
  <w:font w:name="Inria Serif">
    <w:altName w:val="Calibri"/>
    <w:panose1 w:val="00000000000000000000"/>
    <w:charset w:val="00"/>
    <w:family w:val="auto"/>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5" w:fontKey="{36043D7F-A89F-43EA-9E33-2B679DAAA16D}"/>
  </w:font>
  <w:font w:name="楷体_GB2312">
    <w:altName w:val="楷体"/>
    <w:panose1 w:val="00000000000000000000"/>
    <w:charset w:val="86"/>
    <w:family w:val="modern"/>
    <w:pitch w:val="default"/>
    <w:sig w:usb0="00000000" w:usb1="00000000" w:usb2="00000000" w:usb3="00000000" w:csb0="00040000" w:csb1="00000000"/>
    <w:embedRegular r:id="rId6" w:fontKey="{7651D8EE-D3DB-4F6B-809C-71BCF392D1C0}"/>
  </w:font>
  <w:font w:name="新宋体">
    <w:panose1 w:val="02010609030101010101"/>
    <w:charset w:val="86"/>
    <w:family w:val="modern"/>
    <w:pitch w:val="default"/>
    <w:sig w:usb0="00000203" w:usb1="288F0000" w:usb2="00000006" w:usb3="00000000" w:csb0="00040001" w:csb1="00000000"/>
    <w:embedRegular r:id="rId7" w:fontKey="{3300E176-5555-4605-A98D-A3A24BB2243D}"/>
  </w:font>
  <w:font w:name="华文楷体">
    <w:panose1 w:val="02010600040101010101"/>
    <w:charset w:val="86"/>
    <w:family w:val="auto"/>
    <w:pitch w:val="default"/>
    <w:sig w:usb0="00000287" w:usb1="080F0000" w:usb2="00000000" w:usb3="00000000" w:csb0="0004009F" w:csb1="DFD70000"/>
    <w:embedRegular r:id="rId8" w:fontKey="{FE1A0022-5C7F-4901-BF89-7BF08EAD92E7}"/>
  </w:font>
  <w:font w:name="方正小标宋简体">
    <w:panose1 w:val="02000000000000000000"/>
    <w:charset w:val="86"/>
    <w:family w:val="script"/>
    <w:pitch w:val="default"/>
    <w:sig w:usb0="00000001" w:usb1="08000000" w:usb2="00000000" w:usb3="00000000" w:csb0="00040000" w:csb1="00000000"/>
    <w:embedRegular r:id="rId9" w:fontKey="{89B00EF2-8A68-48A7-82B5-E2A45DC68A81}"/>
  </w:font>
  <w:font w:name="WPSEMBED25">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87DCD">
    <w:pPr>
      <w:pStyle w:val="29"/>
      <w:tabs>
        <w:tab w:val="clear" w:pos="4153"/>
        <w:tab w:val="clear" w:pos="8306"/>
      </w:tabs>
      <w:ind w:right="969"/>
      <w:jc w:val="right"/>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D9B0F">
    <w:pPr>
      <w:pStyle w:val="29"/>
      <w:tabs>
        <w:tab w:val="clear" w:pos="4153"/>
        <w:tab w:val="clear" w:pos="8306"/>
      </w:tabs>
      <w:ind w:firstLine="315"/>
      <w:rPr>
        <w:sz w:val="28"/>
      </w:rPr>
    </w:pPr>
    <w:r>
      <w:pict>
        <v:rect id="_x0000_s1026" o:spid="_x0000_s1026" o:spt="1" style="position:absolute;left:0pt;margin-top:0pt;height:144pt;width:144pt;mso-position-horizontal:center;mso-position-horizontal-relative:margin;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">
          <v:path/>
          <v:fill on="f" focussize="0,0"/>
          <v:stroke on="f"/>
          <v:imagedata o:title=""/>
          <o:lock v:ext="edit"/>
          <v:textbox>
            <w:txbxContent>
              <w:p w14:paraId="76061161">
                <w:pPr>
                  <w:pStyle w:val="29"/>
                  <w:tabs>
                    <w:tab w:val="clear" w:pos="4153"/>
                    <w:tab w:val="clear" w:pos="8306"/>
                  </w:tabs>
                </w:pPr>
              </w:p>
              <w:p w14:paraId="61D5AA00"/>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83E06">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F56E">
    <w:pPr>
      <w:pStyle w:val="29"/>
      <w:tabs>
        <w:tab w:val="clear" w:pos="4153"/>
        <w:tab w:val="clear" w:pos="8306"/>
      </w:tabs>
      <w:rPr>
        <w:rFonts w:hint="eastAsia"/>
        <w:sz w:val="21"/>
      </w:rPr>
    </w:pPr>
    <w:r>
      <w:rPr>
        <w:sz w:val="21"/>
      </w:rPr>
      <w:pict>
        <v:shape id="_x0000_s1027" o:spid="_x0000_s102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4648CB0D">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ACEC5">
    <w:pPr>
      <w:spacing w:line="2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82FCC">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C011A">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50873"/>
    <w:multiLevelType w:val="singleLevel"/>
    <w:tmpl w:val="8F950873"/>
    <w:lvl w:ilvl="0" w:tentative="0">
      <w:start w:val="2"/>
      <w:numFmt w:val="decimal"/>
      <w:suff w:val="nothing"/>
      <w:lvlText w:val="%1、"/>
      <w:lvlJc w:val="left"/>
    </w:lvl>
  </w:abstractNum>
  <w:abstractNum w:abstractNumId="1">
    <w:nsid w:val="CCEA8C2E"/>
    <w:multiLevelType w:val="singleLevel"/>
    <w:tmpl w:val="CCEA8C2E"/>
    <w:lvl w:ilvl="0" w:tentative="0">
      <w:start w:val="1"/>
      <w:numFmt w:val="decimal"/>
      <w:suff w:val="space"/>
      <w:lvlText w:val="%1."/>
      <w:lvlJc w:val="left"/>
    </w:lvl>
  </w:abstractNum>
  <w:abstractNum w:abstractNumId="2">
    <w:nsid w:val="00000002"/>
    <w:multiLevelType w:val="multilevel"/>
    <w:tmpl w:val="00000002"/>
    <w:lvl w:ilvl="0" w:tentative="0">
      <w:start w:val="4"/>
      <w:numFmt w:val="bullet"/>
      <w:lvlText w:val="□"/>
      <w:lvlJc w:val="left"/>
      <w:pPr>
        <w:tabs>
          <w:tab w:val="left" w:pos="360"/>
        </w:tabs>
        <w:ind w:left="360" w:hanging="360"/>
      </w:pPr>
      <w:rPr>
        <w:rFonts w:hint="eastAsia" w:ascii="宋体" w:hAnsi="宋体" w:eastAsia="宋体"/>
        <w:b/>
        <w:sz w:val="44"/>
      </w:rPr>
    </w:lvl>
    <w:lvl w:ilvl="1" w:tentative="0">
      <w:start w:val="1"/>
      <w:numFmt w:val="bullet"/>
      <w:lvlText w:val=""/>
      <w:lvlJc w:val="left"/>
      <w:pPr>
        <w:tabs>
          <w:tab w:val="left" w:pos="840"/>
        </w:tabs>
        <w:ind w:left="840" w:hanging="420"/>
      </w:pPr>
      <w:rPr>
        <w:rFonts w:ascii="Wingdings" w:hAnsi="Wingdings"/>
      </w:rPr>
    </w:lvl>
    <w:lvl w:ilvl="2" w:tentative="0">
      <w:start w:val="1"/>
      <w:numFmt w:val="bullet"/>
      <w:pStyle w:val="14"/>
      <w:lvlText w:val=""/>
      <w:lvlJc w:val="left"/>
      <w:pPr>
        <w:tabs>
          <w:tab w:val="left" w:pos="1260"/>
        </w:tabs>
        <w:ind w:left="1260" w:hanging="420"/>
      </w:pPr>
      <w:rPr>
        <w:rFonts w:ascii="Wingdings" w:hAnsi="Wingdings"/>
      </w:rPr>
    </w:lvl>
    <w:lvl w:ilvl="3" w:tentative="0">
      <w:start w:val="1"/>
      <w:numFmt w:val="bullet"/>
      <w:lvlText w:val=""/>
      <w:lvlJc w:val="left"/>
      <w:pPr>
        <w:tabs>
          <w:tab w:val="left" w:pos="1680"/>
        </w:tabs>
        <w:ind w:left="1680" w:hanging="420"/>
      </w:pPr>
      <w:rPr>
        <w:rFonts w:ascii="Wingdings" w:hAnsi="Wingdings"/>
      </w:rPr>
    </w:lvl>
    <w:lvl w:ilvl="4" w:tentative="0">
      <w:start w:val="1"/>
      <w:numFmt w:val="bullet"/>
      <w:lvlText w:val=""/>
      <w:lvlJc w:val="left"/>
      <w:pPr>
        <w:tabs>
          <w:tab w:val="left" w:pos="2100"/>
        </w:tabs>
        <w:ind w:left="2100" w:hanging="420"/>
      </w:pPr>
      <w:rPr>
        <w:rFonts w:ascii="Wingdings" w:hAnsi="Wingdings"/>
      </w:rPr>
    </w:lvl>
    <w:lvl w:ilvl="5" w:tentative="0">
      <w:start w:val="1"/>
      <w:numFmt w:val="bullet"/>
      <w:lvlText w:val=""/>
      <w:lvlJc w:val="left"/>
      <w:pPr>
        <w:tabs>
          <w:tab w:val="left" w:pos="2520"/>
        </w:tabs>
        <w:ind w:left="2520" w:hanging="420"/>
      </w:pPr>
      <w:rPr>
        <w:rFonts w:ascii="Wingdings" w:hAnsi="Wingdings"/>
      </w:rPr>
    </w:lvl>
    <w:lvl w:ilvl="6" w:tentative="0">
      <w:start w:val="1"/>
      <w:numFmt w:val="bullet"/>
      <w:lvlText w:val=""/>
      <w:lvlJc w:val="left"/>
      <w:pPr>
        <w:tabs>
          <w:tab w:val="left" w:pos="2940"/>
        </w:tabs>
        <w:ind w:left="2940" w:hanging="420"/>
      </w:pPr>
      <w:rPr>
        <w:rFonts w:ascii="Wingdings" w:hAnsi="Wingdings"/>
      </w:rPr>
    </w:lvl>
    <w:lvl w:ilvl="7" w:tentative="0">
      <w:start w:val="1"/>
      <w:numFmt w:val="bullet"/>
      <w:lvlText w:val=""/>
      <w:lvlJc w:val="left"/>
      <w:pPr>
        <w:tabs>
          <w:tab w:val="left" w:pos="3360"/>
        </w:tabs>
        <w:ind w:left="3360" w:hanging="420"/>
      </w:pPr>
      <w:rPr>
        <w:rFonts w:ascii="Wingdings" w:hAnsi="Wingdings"/>
      </w:rPr>
    </w:lvl>
    <w:lvl w:ilvl="8" w:tentative="0">
      <w:start w:val="1"/>
      <w:numFmt w:val="bullet"/>
      <w:lvlText w:val=""/>
      <w:lvlJc w:val="left"/>
      <w:pPr>
        <w:tabs>
          <w:tab w:val="left" w:pos="3780"/>
        </w:tabs>
        <w:ind w:left="3780" w:hanging="420"/>
      </w:pPr>
      <w:rPr>
        <w:rFonts w:ascii="Wingdings" w:hAnsi="Wingdings"/>
      </w:rPr>
    </w:lvl>
  </w:abstractNum>
  <w:abstractNum w:abstractNumId="3">
    <w:nsid w:val="00000003"/>
    <w:multiLevelType w:val="multilevel"/>
    <w:tmpl w:val="00000003"/>
    <w:lvl w:ilvl="0" w:tentative="0">
      <w:start w:val="4"/>
      <w:numFmt w:val="japaneseCounting"/>
      <w:pStyle w:val="74"/>
      <w:lvlText w:val="%1、"/>
      <w:lvlJc w:val="left"/>
      <w:pPr>
        <w:tabs>
          <w:tab w:val="left" w:pos="720"/>
        </w:tabs>
        <w:ind w:left="720" w:hanging="7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563920B"/>
    <w:multiLevelType w:val="singleLevel"/>
    <w:tmpl w:val="4563920B"/>
    <w:lvl w:ilvl="0" w:tentative="0">
      <w:start w:val="1"/>
      <w:numFmt w:val="decimal"/>
      <w:suff w:val="space"/>
      <w:lvlText w:val="%1."/>
      <w:lvlJc w:val="left"/>
    </w:lvl>
  </w:abstractNum>
  <w:abstractNum w:abstractNumId="5">
    <w:nsid w:val="50B3CB5A"/>
    <w:multiLevelType w:val="singleLevel"/>
    <w:tmpl w:val="50B3CB5A"/>
    <w:lvl w:ilvl="0" w:tentative="0">
      <w:start w:val="1"/>
      <w:numFmt w:val="decimal"/>
      <w:suff w:val="space"/>
      <w:lvlText w:val="%1."/>
      <w:lvlJc w:val="left"/>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1"/>
  <w:bordersDoNotSurroundFooter w:val="1"/>
  <w:doNotTrackMoves/>
  <w:documentProtection w:enforcement="0"/>
  <w:defaultTabStop w:val="425"/>
  <w:noPunctuationKerning w:val="1"/>
  <w:characterSpacingControl w:val="compressPunctuation"/>
  <w:hdrShapeDefaults>
    <o:shapelayout v:ext="edit">
      <o:idmap v:ext="edit" data="1"/>
    </o:shapelayout>
  </w:hdrShapeDefaults>
  <w:compat>
    <w:balanceSingleByteDoubleByteWidth/>
    <w:doNotLeaveBackslashAlone/>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D2D"/>
    <w:rsid w:val="0000586A"/>
    <w:rsid w:val="00022EC4"/>
    <w:rsid w:val="001067D5"/>
    <w:rsid w:val="002C1AC8"/>
    <w:rsid w:val="00307A95"/>
    <w:rsid w:val="006C73D0"/>
    <w:rsid w:val="007C6E2D"/>
    <w:rsid w:val="00873E87"/>
    <w:rsid w:val="008F726D"/>
    <w:rsid w:val="00962E01"/>
    <w:rsid w:val="00D6177F"/>
    <w:rsid w:val="00D76D2D"/>
    <w:rsid w:val="00F10FA6"/>
    <w:rsid w:val="00F7528E"/>
    <w:rsid w:val="011952AA"/>
    <w:rsid w:val="019E3125"/>
    <w:rsid w:val="043F474B"/>
    <w:rsid w:val="0585796B"/>
    <w:rsid w:val="08031F33"/>
    <w:rsid w:val="08B50FFC"/>
    <w:rsid w:val="0AD02E89"/>
    <w:rsid w:val="0B284EC7"/>
    <w:rsid w:val="0BE502CE"/>
    <w:rsid w:val="10857989"/>
    <w:rsid w:val="10FD0764"/>
    <w:rsid w:val="1162023A"/>
    <w:rsid w:val="11ED1C8A"/>
    <w:rsid w:val="12C56763"/>
    <w:rsid w:val="12CD1ABC"/>
    <w:rsid w:val="15B50D11"/>
    <w:rsid w:val="16D76A65"/>
    <w:rsid w:val="17307B62"/>
    <w:rsid w:val="196C5B8A"/>
    <w:rsid w:val="19B65058"/>
    <w:rsid w:val="1BDD4B1E"/>
    <w:rsid w:val="1D0165EA"/>
    <w:rsid w:val="1E1D56A5"/>
    <w:rsid w:val="1F325180"/>
    <w:rsid w:val="216B32D1"/>
    <w:rsid w:val="22D87DED"/>
    <w:rsid w:val="22E9024C"/>
    <w:rsid w:val="23E17175"/>
    <w:rsid w:val="23EE42A9"/>
    <w:rsid w:val="27174C5C"/>
    <w:rsid w:val="27606603"/>
    <w:rsid w:val="28CF57EE"/>
    <w:rsid w:val="29263F95"/>
    <w:rsid w:val="29982084"/>
    <w:rsid w:val="2A3A4860"/>
    <w:rsid w:val="2B836D64"/>
    <w:rsid w:val="2B8F395A"/>
    <w:rsid w:val="2D812FF7"/>
    <w:rsid w:val="2EC076F2"/>
    <w:rsid w:val="2FBE78D3"/>
    <w:rsid w:val="2FD47B8E"/>
    <w:rsid w:val="32E53E60"/>
    <w:rsid w:val="33FE167D"/>
    <w:rsid w:val="34B32468"/>
    <w:rsid w:val="34CC693E"/>
    <w:rsid w:val="359009FB"/>
    <w:rsid w:val="3619454C"/>
    <w:rsid w:val="36455341"/>
    <w:rsid w:val="36A55DE0"/>
    <w:rsid w:val="37772150"/>
    <w:rsid w:val="37781747"/>
    <w:rsid w:val="387C78F1"/>
    <w:rsid w:val="3AB82B48"/>
    <w:rsid w:val="3D2739F3"/>
    <w:rsid w:val="3D37175C"/>
    <w:rsid w:val="3DC56D68"/>
    <w:rsid w:val="3E1C72D0"/>
    <w:rsid w:val="3EF06129"/>
    <w:rsid w:val="3F473ED8"/>
    <w:rsid w:val="4269060A"/>
    <w:rsid w:val="478F466E"/>
    <w:rsid w:val="489209C5"/>
    <w:rsid w:val="48D80297"/>
    <w:rsid w:val="4AE90539"/>
    <w:rsid w:val="4EF474AD"/>
    <w:rsid w:val="4F8337BF"/>
    <w:rsid w:val="51144C9F"/>
    <w:rsid w:val="53C96CF2"/>
    <w:rsid w:val="55911EF9"/>
    <w:rsid w:val="57D4431F"/>
    <w:rsid w:val="5A557999"/>
    <w:rsid w:val="5CFA46CE"/>
    <w:rsid w:val="5F265461"/>
    <w:rsid w:val="5F3C1128"/>
    <w:rsid w:val="6028345A"/>
    <w:rsid w:val="60822B6A"/>
    <w:rsid w:val="62375BD7"/>
    <w:rsid w:val="625C563D"/>
    <w:rsid w:val="62724E61"/>
    <w:rsid w:val="66FA276D"/>
    <w:rsid w:val="671B0152"/>
    <w:rsid w:val="67D87514"/>
    <w:rsid w:val="68EC2B9E"/>
    <w:rsid w:val="691125A6"/>
    <w:rsid w:val="6A7379C8"/>
    <w:rsid w:val="6DDD7632"/>
    <w:rsid w:val="70711E9B"/>
    <w:rsid w:val="743D52CE"/>
    <w:rsid w:val="748A4618"/>
    <w:rsid w:val="786C3D65"/>
    <w:rsid w:val="78D12489"/>
    <w:rsid w:val="790E7239"/>
    <w:rsid w:val="7939549F"/>
    <w:rsid w:val="79975481"/>
    <w:rsid w:val="7B452CBB"/>
    <w:rsid w:val="7CEB0C7B"/>
    <w:rsid w:val="7DCA4A14"/>
    <w:rsid w:val="7E941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b/>
      <w:color w:val="FF0000"/>
      <w:sz w:val="44"/>
    </w:rPr>
  </w:style>
  <w:style w:type="paragraph" w:styleId="3">
    <w:name w:val="Body Text Indent 2"/>
    <w:basedOn w:val="1"/>
    <w:qFormat/>
    <w:uiPriority w:val="99"/>
    <w:pPr>
      <w:spacing w:after="120" w:line="480" w:lineRule="auto"/>
      <w:ind w:left="420" w:leftChars="200"/>
    </w:pPr>
  </w:style>
  <w:style w:type="paragraph" w:styleId="4">
    <w:name w:val="footer"/>
    <w:basedOn w:val="1"/>
    <w:link w:val="88"/>
    <w:qFormat/>
    <w:uiPriority w:val="0"/>
    <w:pPr>
      <w:tabs>
        <w:tab w:val="center" w:pos="4153"/>
        <w:tab w:val="right" w:pos="8306"/>
      </w:tabs>
      <w:snapToGrid w:val="0"/>
      <w:jc w:val="left"/>
    </w:pPr>
    <w:rPr>
      <w:sz w:val="18"/>
      <w:szCs w:val="18"/>
    </w:rPr>
  </w:style>
  <w:style w:type="paragraph" w:styleId="5">
    <w:name w:val="header"/>
    <w:basedOn w:val="1"/>
    <w:link w:val="87"/>
    <w:qFormat/>
    <w:uiPriority w:val="0"/>
    <w:pPr>
      <w:tabs>
        <w:tab w:val="center" w:pos="4153"/>
        <w:tab w:val="right" w:pos="8306"/>
      </w:tabs>
      <w:snapToGrid w:val="0"/>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Body Text First Indent"/>
    <w:basedOn w:val="2"/>
    <w:qFormat/>
    <w:uiPriority w:val="0"/>
    <w:pPr>
      <w:spacing w:line="560" w:lineRule="exact"/>
      <w:ind w:firstLine="721" w:firstLineChars="200"/>
      <w:jc w:val="both"/>
    </w:pPr>
    <w:rPr>
      <w:rFonts w:ascii="Calibri" w:hAnsi="Calibri"/>
      <w:b w:val="0"/>
      <w:sz w:val="32"/>
      <w:szCs w:val="24"/>
    </w:rPr>
  </w:style>
  <w:style w:type="character" w:styleId="11">
    <w:name w:val="Hyperlink"/>
    <w:qFormat/>
    <w:uiPriority w:val="99"/>
    <w:rPr>
      <w:rFonts w:ascii="Calibri" w:hAnsi="Calibri" w:eastAsia="宋体" w:cs="Times New Roman"/>
      <w:color w:val="0000FF"/>
      <w:u w:val="single"/>
    </w:rPr>
  </w:style>
  <w:style w:type="paragraph" w:customStyle="1" w:styleId="12">
    <w:name w:val="标题 11"/>
    <w:basedOn w:val="1"/>
    <w:link w:val="17"/>
    <w:qFormat/>
    <w:uiPriority w:val="0"/>
    <w:pPr>
      <w:ind w:firstLine="200" w:firstLineChars="200"/>
      <w:outlineLvl w:val="0"/>
    </w:pPr>
    <w:rPr>
      <w:rFonts w:ascii="微软雅黑" w:hAnsi="微软雅黑" w:eastAsia="黑体"/>
      <w:color w:val="000000"/>
      <w:kern w:val="0"/>
      <w:szCs w:val="32"/>
      <w:lang w:val="en-GB" w:eastAsia="en-US"/>
    </w:rPr>
  </w:style>
  <w:style w:type="paragraph" w:customStyle="1" w:styleId="13">
    <w:name w:val="标题 21"/>
    <w:basedOn w:val="1"/>
    <w:link w:val="18"/>
    <w:qFormat/>
    <w:uiPriority w:val="0"/>
    <w:pPr>
      <w:suppressLineNumbers/>
      <w:tabs>
        <w:tab w:val="left" w:pos="840"/>
      </w:tabs>
      <w:kinsoku w:val="0"/>
      <w:overflowPunct w:val="0"/>
      <w:autoSpaceDE w:val="0"/>
      <w:autoSpaceDN w:val="0"/>
      <w:ind w:firstLine="200" w:firstLineChars="200"/>
      <w:outlineLvl w:val="1"/>
    </w:pPr>
    <w:rPr>
      <w:rFonts w:ascii="微软雅黑" w:hAnsi="微软雅黑" w:eastAsia="楷体"/>
      <w:b/>
      <w:color w:val="000000"/>
      <w:kern w:val="0"/>
      <w:szCs w:val="32"/>
      <w:lang w:val="en-GB"/>
    </w:rPr>
  </w:style>
  <w:style w:type="paragraph" w:customStyle="1" w:styleId="14">
    <w:name w:val="标题 31"/>
    <w:basedOn w:val="1"/>
    <w:link w:val="19"/>
    <w:qFormat/>
    <w:uiPriority w:val="0"/>
    <w:pPr>
      <w:widowControl/>
      <w:numPr>
        <w:ilvl w:val="2"/>
        <w:numId w:val="1"/>
      </w:numPr>
      <w:tabs>
        <w:tab w:val="clear" w:pos="1260"/>
      </w:tabs>
      <w:spacing w:after="80" w:line="256" w:lineRule="auto"/>
      <w:ind w:left="1004" w:hanging="720"/>
      <w:outlineLvl w:val="2"/>
    </w:pPr>
    <w:rPr>
      <w:rFonts w:ascii="微软雅黑" w:hAnsi="微软雅黑" w:eastAsia="微软雅黑"/>
      <w:b/>
      <w:color w:val="003764"/>
      <w:kern w:val="0"/>
      <w:sz w:val="22"/>
      <w:szCs w:val="24"/>
      <w:lang w:val="en-GB"/>
    </w:rPr>
  </w:style>
  <w:style w:type="character" w:customStyle="1" w:styleId="15">
    <w:name w:val="默认段落字体1"/>
    <w:qFormat/>
    <w:uiPriority w:val="0"/>
  </w:style>
  <w:style w:type="table" w:customStyle="1" w:styleId="16">
    <w:name w:val="普通表格1"/>
    <w:qFormat/>
    <w:uiPriority w:val="0"/>
    <w:tblPr>
      <w:tblCellMar>
        <w:top w:w="0" w:type="dxa"/>
        <w:left w:w="0" w:type="dxa"/>
        <w:bottom w:w="0" w:type="dxa"/>
        <w:right w:w="0" w:type="dxa"/>
      </w:tblCellMar>
    </w:tblPr>
  </w:style>
  <w:style w:type="character" w:customStyle="1" w:styleId="17">
    <w:name w:val="标题 1 字符"/>
    <w:link w:val="12"/>
    <w:qFormat/>
    <w:uiPriority w:val="0"/>
    <w:rPr>
      <w:rFonts w:ascii="微软雅黑" w:hAnsi="微软雅黑" w:eastAsia="黑体"/>
      <w:color w:val="000000"/>
      <w:sz w:val="32"/>
      <w:szCs w:val="32"/>
      <w:lang w:val="en-GB" w:eastAsia="en-US"/>
    </w:rPr>
  </w:style>
  <w:style w:type="character" w:customStyle="1" w:styleId="18">
    <w:name w:val="标题 2 字符"/>
    <w:link w:val="13"/>
    <w:qFormat/>
    <w:uiPriority w:val="0"/>
    <w:rPr>
      <w:rFonts w:ascii="微软雅黑" w:hAnsi="微软雅黑" w:eastAsia="楷体"/>
      <w:b/>
      <w:color w:val="000000"/>
      <w:sz w:val="32"/>
      <w:szCs w:val="32"/>
      <w:lang w:val="en-GB"/>
    </w:rPr>
  </w:style>
  <w:style w:type="character" w:customStyle="1" w:styleId="19">
    <w:name w:val="标题 3 字符"/>
    <w:link w:val="14"/>
    <w:qFormat/>
    <w:uiPriority w:val="0"/>
    <w:rPr>
      <w:rFonts w:ascii="微软雅黑" w:hAnsi="微软雅黑" w:eastAsia="微软雅黑"/>
      <w:b/>
      <w:color w:val="003764"/>
      <w:kern w:val="0"/>
      <w:sz w:val="22"/>
      <w:lang w:val="en-GB"/>
    </w:rPr>
  </w:style>
  <w:style w:type="paragraph" w:customStyle="1" w:styleId="20">
    <w:name w:val="题注1"/>
    <w:basedOn w:val="1"/>
    <w:qFormat/>
    <w:uiPriority w:val="0"/>
    <w:rPr>
      <w:rFonts w:ascii="等线 Light" w:hAnsi="等线 Light" w:eastAsia="黑体"/>
      <w:sz w:val="20"/>
    </w:rPr>
  </w:style>
  <w:style w:type="paragraph" w:customStyle="1" w:styleId="21">
    <w:name w:val="批注文字1"/>
    <w:basedOn w:val="1"/>
    <w:link w:val="22"/>
    <w:qFormat/>
    <w:uiPriority w:val="0"/>
    <w:pPr>
      <w:jc w:val="left"/>
    </w:pPr>
    <w:rPr>
      <w:rFonts w:ascii="Calibri" w:hAnsi="Calibri" w:eastAsia="宋体"/>
      <w:sz w:val="24"/>
    </w:rPr>
  </w:style>
  <w:style w:type="character" w:customStyle="1" w:styleId="22">
    <w:name w:val="批注文字 字符"/>
    <w:link w:val="21"/>
    <w:qFormat/>
    <w:uiPriority w:val="0"/>
    <w:rPr>
      <w:rFonts w:ascii="Calibri" w:hAnsi="Calibri" w:eastAsia="宋体"/>
      <w:sz w:val="24"/>
      <w:szCs w:val="20"/>
    </w:rPr>
  </w:style>
  <w:style w:type="paragraph" w:customStyle="1" w:styleId="23">
    <w:name w:val="正文文本1"/>
    <w:basedOn w:val="1"/>
    <w:qFormat/>
    <w:uiPriority w:val="0"/>
    <w:pPr>
      <w:jc w:val="center"/>
    </w:pPr>
    <w:rPr>
      <w:b/>
      <w:color w:val="FF0000"/>
      <w:sz w:val="44"/>
    </w:rPr>
  </w:style>
  <w:style w:type="paragraph" w:customStyle="1" w:styleId="24">
    <w:name w:val="正文文本缩进1"/>
    <w:basedOn w:val="1"/>
    <w:qFormat/>
    <w:uiPriority w:val="0"/>
    <w:pPr>
      <w:spacing w:line="660" w:lineRule="exact"/>
      <w:ind w:firstLine="1240" w:firstLineChars="100"/>
    </w:pPr>
    <w:rPr>
      <w:rFonts w:eastAsia="创艺简标宋"/>
      <w:color w:val="FF6600"/>
      <w:spacing w:val="360"/>
      <w:sz w:val="52"/>
      <w:szCs w:val="24"/>
    </w:rPr>
  </w:style>
  <w:style w:type="paragraph" w:customStyle="1" w:styleId="25">
    <w:name w:val="目录 31"/>
    <w:basedOn w:val="1"/>
    <w:qFormat/>
    <w:uiPriority w:val="0"/>
    <w:pPr>
      <w:widowControl/>
      <w:spacing w:line="256" w:lineRule="auto"/>
      <w:contextualSpacing/>
    </w:pPr>
    <w:rPr>
      <w:rFonts w:ascii="Frutiger LT Com 45 Light" w:hAnsi="Frutiger LT Com 45 Light" w:eastAsia="宋体"/>
      <w:i/>
      <w:kern w:val="0"/>
      <w:sz w:val="18"/>
      <w:szCs w:val="22"/>
      <w:lang w:val="en-GB" w:eastAsia="en-US"/>
    </w:rPr>
  </w:style>
  <w:style w:type="paragraph" w:customStyle="1" w:styleId="26">
    <w:name w:val="日期1"/>
    <w:basedOn w:val="1"/>
    <w:qFormat/>
    <w:uiPriority w:val="0"/>
    <w:rPr>
      <w:szCs w:val="24"/>
    </w:rPr>
  </w:style>
  <w:style w:type="paragraph" w:customStyle="1" w:styleId="27">
    <w:name w:val="批注框文本1"/>
    <w:basedOn w:val="1"/>
    <w:link w:val="28"/>
    <w:qFormat/>
    <w:uiPriority w:val="0"/>
    <w:rPr>
      <w:rFonts w:ascii="Calibri" w:hAnsi="Calibri" w:eastAsia="宋体"/>
      <w:sz w:val="18"/>
      <w:szCs w:val="18"/>
    </w:rPr>
  </w:style>
  <w:style w:type="character" w:customStyle="1" w:styleId="28">
    <w:name w:val="批注框文本 字符"/>
    <w:link w:val="27"/>
    <w:qFormat/>
    <w:uiPriority w:val="0"/>
    <w:rPr>
      <w:rFonts w:ascii="Calibri" w:hAnsi="Calibri" w:eastAsia="宋体"/>
      <w:sz w:val="18"/>
      <w:szCs w:val="18"/>
    </w:rPr>
  </w:style>
  <w:style w:type="paragraph" w:customStyle="1" w:styleId="29">
    <w:name w:val="页脚1"/>
    <w:basedOn w:val="1"/>
    <w:link w:val="30"/>
    <w:qFormat/>
    <w:uiPriority w:val="0"/>
    <w:pPr>
      <w:tabs>
        <w:tab w:val="center" w:pos="4153"/>
        <w:tab w:val="right" w:pos="8306"/>
      </w:tabs>
      <w:snapToGrid w:val="0"/>
      <w:jc w:val="left"/>
    </w:pPr>
    <w:rPr>
      <w:sz w:val="18"/>
    </w:rPr>
  </w:style>
  <w:style w:type="character" w:customStyle="1" w:styleId="30">
    <w:name w:val="页脚 字符"/>
    <w:link w:val="29"/>
    <w:qFormat/>
    <w:uiPriority w:val="0"/>
    <w:rPr>
      <w:rFonts w:ascii="Times New Roman" w:hAnsi="Times New Roman" w:eastAsia="宋体"/>
      <w:sz w:val="18"/>
    </w:rPr>
  </w:style>
  <w:style w:type="paragraph" w:customStyle="1" w:styleId="31">
    <w:name w:val="页眉11"/>
    <w:basedOn w:val="1"/>
    <w:link w:val="32"/>
    <w:qFormat/>
    <w:uiPriority w:val="0"/>
    <w:pPr>
      <w:pBdr>
        <w:bottom w:val="single" w:color="auto" w:sz="6" w:space="1"/>
      </w:pBdr>
      <w:tabs>
        <w:tab w:val="center" w:pos="4153"/>
        <w:tab w:val="right" w:pos="8306"/>
      </w:tabs>
      <w:snapToGrid w:val="0"/>
      <w:jc w:val="center"/>
    </w:pPr>
    <w:rPr>
      <w:sz w:val="18"/>
    </w:rPr>
  </w:style>
  <w:style w:type="character" w:customStyle="1" w:styleId="32">
    <w:name w:val="页眉 字符"/>
    <w:link w:val="31"/>
    <w:qFormat/>
    <w:uiPriority w:val="0"/>
    <w:rPr>
      <w:rFonts w:ascii="Times New Roman" w:hAnsi="Times New Roman" w:eastAsia="宋体"/>
      <w:sz w:val="18"/>
    </w:rPr>
  </w:style>
  <w:style w:type="paragraph" w:customStyle="1" w:styleId="33">
    <w:name w:val="目录 11"/>
    <w:basedOn w:val="1"/>
    <w:qFormat/>
    <w:uiPriority w:val="0"/>
    <w:rPr>
      <w:rFonts w:ascii="Calibri" w:hAnsi="Calibri" w:eastAsia="宋体"/>
      <w:sz w:val="21"/>
      <w:szCs w:val="24"/>
    </w:rPr>
  </w:style>
  <w:style w:type="paragraph" w:customStyle="1" w:styleId="34">
    <w:name w:val="目录 21"/>
    <w:basedOn w:val="1"/>
    <w:qFormat/>
    <w:uiPriority w:val="0"/>
    <w:pPr>
      <w:ind w:left="420" w:leftChars="200"/>
    </w:pPr>
    <w:rPr>
      <w:rFonts w:ascii="Calibri" w:hAnsi="Calibri" w:eastAsia="宋体"/>
      <w:sz w:val="21"/>
      <w:szCs w:val="24"/>
    </w:rPr>
  </w:style>
  <w:style w:type="paragraph" w:customStyle="1" w:styleId="35">
    <w:name w:val="正文文本 21"/>
    <w:basedOn w:val="1"/>
    <w:qFormat/>
    <w:uiPriority w:val="0"/>
    <w:pPr>
      <w:jc w:val="center"/>
    </w:pPr>
    <w:rPr>
      <w:rFonts w:eastAsia="宋体"/>
      <w:sz w:val="44"/>
    </w:rPr>
  </w:style>
  <w:style w:type="paragraph" w:customStyle="1" w:styleId="36">
    <w:name w:val="HTML 预设格式1"/>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kern w:val="0"/>
      <w:sz w:val="20"/>
    </w:rPr>
  </w:style>
  <w:style w:type="paragraph" w:customStyle="1" w:styleId="37">
    <w:name w:val="普通(网站)1"/>
    <w:basedOn w:val="1"/>
    <w:qFormat/>
    <w:uiPriority w:val="0"/>
    <w:pPr>
      <w:widowControl/>
      <w:spacing w:before="100" w:beforeAutospacing="1" w:after="100" w:afterAutospacing="1"/>
      <w:jc w:val="left"/>
    </w:pPr>
    <w:rPr>
      <w:rFonts w:ascii="宋体" w:hAnsi="宋体" w:eastAsia="宋体"/>
      <w:kern w:val="0"/>
      <w:sz w:val="24"/>
      <w:szCs w:val="24"/>
    </w:rPr>
  </w:style>
  <w:style w:type="paragraph" w:customStyle="1" w:styleId="38">
    <w:name w:val="标题1"/>
    <w:basedOn w:val="1"/>
    <w:link w:val="39"/>
    <w:qFormat/>
    <w:uiPriority w:val="0"/>
    <w:pPr>
      <w:widowControl/>
      <w:spacing w:line="560" w:lineRule="exact"/>
      <w:contextualSpacing/>
    </w:pPr>
    <w:rPr>
      <w:rFonts w:ascii="Inria Serif" w:hAnsi="Inria Serif" w:eastAsia="宋体"/>
      <w:b/>
      <w:color w:val="0084AD"/>
      <w:spacing w:val="-10"/>
      <w:kern w:val="28"/>
      <w:sz w:val="50"/>
      <w:szCs w:val="56"/>
      <w:lang w:val="en-AU" w:eastAsia="en-US"/>
    </w:rPr>
  </w:style>
  <w:style w:type="character" w:customStyle="1" w:styleId="39">
    <w:name w:val="标题 字符"/>
    <w:link w:val="38"/>
    <w:qFormat/>
    <w:uiPriority w:val="0"/>
    <w:rPr>
      <w:rFonts w:ascii="Inria Serif" w:hAnsi="Inria Serif" w:eastAsia="宋体"/>
      <w:b/>
      <w:color w:val="0084AD"/>
      <w:spacing w:val="-10"/>
      <w:kern w:val="28"/>
      <w:sz w:val="50"/>
      <w:szCs w:val="56"/>
      <w:lang w:val="en-AU" w:eastAsia="en-US"/>
    </w:rPr>
  </w:style>
  <w:style w:type="paragraph" w:customStyle="1" w:styleId="40">
    <w:name w:val="批注主题1"/>
    <w:basedOn w:val="21"/>
    <w:qFormat/>
    <w:uiPriority w:val="0"/>
    <w:rPr>
      <w:b/>
      <w:bCs/>
      <w:sz w:val="21"/>
    </w:rPr>
  </w:style>
  <w:style w:type="paragraph" w:customStyle="1" w:styleId="41">
    <w:name w:val="正文首行缩进1"/>
    <w:basedOn w:val="23"/>
    <w:qFormat/>
    <w:uiPriority w:val="0"/>
    <w:pPr>
      <w:spacing w:line="560" w:lineRule="exact"/>
      <w:ind w:firstLine="721" w:firstLineChars="200"/>
      <w:jc w:val="both"/>
    </w:pPr>
    <w:rPr>
      <w:rFonts w:ascii="Calibri" w:hAnsi="Calibri"/>
      <w:b w:val="0"/>
      <w:sz w:val="32"/>
      <w:szCs w:val="24"/>
    </w:rPr>
  </w:style>
  <w:style w:type="table" w:customStyle="1" w:styleId="42">
    <w:name w:val="网格型11"/>
    <w:basedOn w:val="16"/>
    <w:qFormat/>
    <w:uiPriority w:val="0"/>
    <w:pPr>
      <w:widowControl w:val="0"/>
      <w:jc w:val="both"/>
    </w:pPr>
  </w:style>
  <w:style w:type="character" w:customStyle="1" w:styleId="43">
    <w:name w:val="页码11"/>
    <w:qFormat/>
    <w:uiPriority w:val="0"/>
  </w:style>
  <w:style w:type="character" w:customStyle="1" w:styleId="44">
    <w:name w:val="超链接1"/>
    <w:qFormat/>
    <w:uiPriority w:val="0"/>
    <w:rPr>
      <w:rFonts w:ascii="Calibri" w:hAnsi="Calibri" w:eastAsia="宋体"/>
      <w:color w:val="0000FF"/>
      <w:u w:val="single"/>
    </w:rPr>
  </w:style>
  <w:style w:type="character" w:customStyle="1" w:styleId="45">
    <w:name w:val="批注引用1"/>
    <w:qFormat/>
    <w:uiPriority w:val="0"/>
    <w:rPr>
      <w:rFonts w:ascii="Calibri" w:hAnsi="Calibri" w:eastAsia="宋体"/>
      <w:sz w:val="21"/>
      <w:szCs w:val="21"/>
    </w:rPr>
  </w:style>
  <w:style w:type="character" w:customStyle="1" w:styleId="46">
    <w:name w:val="页码 New"/>
    <w:qFormat/>
    <w:uiPriority w:val="0"/>
    <w:rPr>
      <w:rFonts w:ascii="Times New Roman" w:hAnsi="Times New Roman" w:eastAsia="宋体"/>
    </w:rPr>
  </w:style>
  <w:style w:type="character" w:customStyle="1" w:styleId="47">
    <w:name w:val="UserStyle_0"/>
    <w:link w:val="48"/>
    <w:qFormat/>
    <w:uiPriority w:val="0"/>
    <w:rPr>
      <w:rFonts w:ascii="Calibri" w:hAnsi="Calibri" w:eastAsia="宋体"/>
      <w:sz w:val="18"/>
      <w:szCs w:val="18"/>
    </w:rPr>
  </w:style>
  <w:style w:type="paragraph" w:customStyle="1" w:styleId="48">
    <w:name w:val="页眉1"/>
    <w:basedOn w:val="1"/>
    <w:link w:val="47"/>
    <w:qFormat/>
    <w:uiPriority w:val="0"/>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49">
    <w:name w:val="页码1"/>
    <w:qFormat/>
    <w:uiPriority w:val="0"/>
    <w:rPr>
      <w:rFonts w:ascii="Calibri" w:hAnsi="Calibri" w:eastAsia="宋体"/>
    </w:rPr>
  </w:style>
  <w:style w:type="character" w:customStyle="1" w:styleId="50">
    <w:name w:val="Comment Text Char"/>
    <w:qFormat/>
    <w:uiPriority w:val="0"/>
    <w:rPr>
      <w:rFonts w:ascii="Calibri" w:hAnsi="Calibri" w:eastAsia="宋体"/>
      <w:szCs w:val="24"/>
    </w:rPr>
  </w:style>
  <w:style w:type="character" w:customStyle="1" w:styleId="51">
    <w:name w:val="Editable"/>
    <w:qFormat/>
    <w:uiPriority w:val="0"/>
    <w:rPr>
      <w:rFonts w:ascii="Times New Roman" w:hAnsi="Times New Roman" w:eastAsia="宋体"/>
      <w:color w:val="62B5E5"/>
    </w:rPr>
  </w:style>
  <w:style w:type="character" w:customStyle="1" w:styleId="52">
    <w:name w:val="页码 New New"/>
    <w:qFormat/>
    <w:uiPriority w:val="0"/>
    <w:rPr>
      <w:rFonts w:ascii="Times New Roman" w:hAnsi="Times New Roman" w:eastAsia="宋体"/>
    </w:rPr>
  </w:style>
  <w:style w:type="character" w:customStyle="1" w:styleId="53">
    <w:name w:val="页眉 Char Char Char"/>
    <w:qFormat/>
    <w:uiPriority w:val="0"/>
    <w:rPr>
      <w:rFonts w:ascii="Calibri" w:hAnsi="Calibri" w:eastAsia="宋体"/>
      <w:kern w:val="2"/>
      <w:sz w:val="18"/>
      <w:szCs w:val="18"/>
    </w:rPr>
  </w:style>
  <w:style w:type="character" w:customStyle="1" w:styleId="54">
    <w:name w:val="Editable table text Char"/>
    <w:link w:val="55"/>
    <w:qFormat/>
    <w:uiPriority w:val="0"/>
    <w:rPr>
      <w:rFonts w:ascii="Frutiger LT Com 45 Light" w:hAnsi="Frutiger LT Com 45 Light" w:eastAsia="宋体"/>
      <w:color w:val="62B5E5"/>
      <w:kern w:val="0"/>
      <w:sz w:val="20"/>
      <w:lang w:val="en-GB" w:eastAsia="en-US"/>
    </w:rPr>
  </w:style>
  <w:style w:type="paragraph" w:customStyle="1" w:styleId="55">
    <w:name w:val="Editable table text"/>
    <w:basedOn w:val="1"/>
    <w:link w:val="54"/>
    <w:qFormat/>
    <w:uiPriority w:val="0"/>
    <w:pPr>
      <w:widowControl/>
    </w:pPr>
    <w:rPr>
      <w:rFonts w:ascii="Frutiger LT Com 45 Light" w:hAnsi="Frutiger LT Com 45 Light" w:eastAsia="宋体"/>
      <w:color w:val="62B5E5"/>
      <w:kern w:val="0"/>
      <w:sz w:val="20"/>
      <w:szCs w:val="24"/>
      <w:lang w:val="en-GB" w:eastAsia="en-US"/>
    </w:rPr>
  </w:style>
  <w:style w:type="character" w:customStyle="1" w:styleId="56">
    <w:name w:val="NormalCharacter"/>
    <w:qFormat/>
    <w:uiPriority w:val="0"/>
    <w:rPr>
      <w:rFonts w:ascii="Calibri" w:hAnsi="Calibri" w:eastAsia="宋体"/>
    </w:rPr>
  </w:style>
  <w:style w:type="paragraph" w:customStyle="1" w:styleId="57">
    <w:name w:val="_Style 82"/>
    <w:basedOn w:val="2"/>
    <w:next w:val="8"/>
    <w:qFormat/>
    <w:uiPriority w:val="0"/>
    <w:pPr>
      <w:spacing w:line="560" w:lineRule="exact"/>
      <w:ind w:firstLine="721" w:firstLineChars="200"/>
      <w:jc w:val="both"/>
    </w:pPr>
    <w:rPr>
      <w:rFonts w:ascii="Calibri" w:hAnsi="Calibri"/>
      <w:b w:val="0"/>
      <w:sz w:val="32"/>
      <w:szCs w:val="24"/>
    </w:rPr>
  </w:style>
  <w:style w:type="paragraph" w:customStyle="1" w:styleId="58">
    <w:name w:val="TOC 标题1"/>
    <w:basedOn w:val="12"/>
    <w:qFormat/>
    <w:uiPriority w:val="0"/>
    <w:pPr>
      <w:keepNext/>
      <w:keepLines/>
      <w:widowControl/>
      <w:spacing w:before="240" w:line="259" w:lineRule="auto"/>
      <w:ind w:firstLine="0" w:firstLineChars="0"/>
      <w:jc w:val="left"/>
      <w:outlineLvl w:val="9"/>
    </w:pPr>
    <w:rPr>
      <w:rFonts w:ascii="等线 Light" w:hAnsi="等线 Light" w:eastAsia="等线 Light"/>
      <w:color w:val="2F5496"/>
      <w:lang w:val="en-US" w:eastAsia="zh-CN"/>
    </w:rPr>
  </w:style>
  <w:style w:type="paragraph" w:customStyle="1" w:styleId="59">
    <w:name w:val="Default"/>
    <w:qFormat/>
    <w:uiPriority w:val="0"/>
    <w:pPr>
      <w:widowControl w:val="0"/>
      <w:autoSpaceDE w:val="0"/>
      <w:autoSpaceDN w:val="0"/>
    </w:pPr>
    <w:rPr>
      <w:rFonts w:ascii="仿宋" w:hAnsi="Times New Roman" w:eastAsia="仿宋" w:cs="Times New Roman"/>
      <w:color w:val="000000"/>
      <w:sz w:val="24"/>
      <w:szCs w:val="24"/>
      <w:lang w:val="en-US" w:eastAsia="zh-CN" w:bidi="ar-SA"/>
    </w:rPr>
  </w:style>
  <w:style w:type="paragraph" w:customStyle="1" w:styleId="60">
    <w:name w:val="Table Paragraph"/>
    <w:basedOn w:val="1"/>
    <w:qFormat/>
    <w:uiPriority w:val="0"/>
    <w:pPr>
      <w:jc w:val="left"/>
    </w:pPr>
    <w:rPr>
      <w:rFonts w:ascii="Calibri" w:hAnsi="Calibri" w:eastAsia="宋体"/>
      <w:kern w:val="0"/>
      <w:sz w:val="22"/>
      <w:szCs w:val="22"/>
      <w:lang w:eastAsia="en-US"/>
    </w:rPr>
  </w:style>
  <w:style w:type="paragraph" w:customStyle="1" w:styleId="61">
    <w:name w:val="列表段落1"/>
    <w:basedOn w:val="1"/>
    <w:qFormat/>
    <w:uiPriority w:val="0"/>
    <w:pPr>
      <w:ind w:firstLine="420" w:firstLineChars="200"/>
    </w:pPr>
  </w:style>
  <w:style w:type="paragraph" w:customStyle="1" w:styleId="62">
    <w:name w:val="_Style 74"/>
    <w:basedOn w:val="1"/>
    <w:qFormat/>
    <w:uiPriority w:val="0"/>
    <w:pPr>
      <w:spacing w:line="360" w:lineRule="auto"/>
      <w:ind w:firstLine="420" w:firstLineChars="200"/>
    </w:pPr>
    <w:rPr>
      <w:rFonts w:eastAsia="宋体"/>
      <w:sz w:val="24"/>
      <w:szCs w:val="24"/>
    </w:rPr>
  </w:style>
  <w:style w:type="paragraph" w:customStyle="1" w:styleId="63">
    <w:name w:val="列出段落1"/>
    <w:basedOn w:val="1"/>
    <w:qFormat/>
    <w:uiPriority w:val="0"/>
    <w:pPr>
      <w:ind w:firstLine="420" w:firstLineChars="200"/>
    </w:pPr>
    <w:rPr>
      <w:rFonts w:ascii="Calibri" w:hAnsi="Calibri" w:eastAsia="宋体"/>
      <w:sz w:val="21"/>
      <w:szCs w:val="24"/>
    </w:rPr>
  </w:style>
  <w:style w:type="paragraph" w:customStyle="1" w:styleId="64">
    <w:name w:val="正文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65">
    <w:name w:val="正文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66">
    <w:name w:val="公文1"/>
    <w:basedOn w:val="1"/>
    <w:qFormat/>
    <w:uiPriority w:val="0"/>
    <w:rPr>
      <w:rFonts w:ascii="Calibri" w:hAnsi="Calibri" w:eastAsia="仿宋"/>
      <w:szCs w:val="24"/>
    </w:rPr>
  </w:style>
  <w:style w:type="paragraph" w:customStyle="1" w:styleId="67">
    <w:name w:val="样式2"/>
    <w:basedOn w:val="12"/>
    <w:qFormat/>
    <w:uiPriority w:val="0"/>
    <w:pPr>
      <w:tabs>
        <w:tab w:val="left" w:pos="360"/>
      </w:tabs>
      <w:spacing w:before="340" w:after="330" w:line="576" w:lineRule="auto"/>
      <w:ind w:firstLine="0" w:firstLineChars="0"/>
    </w:pPr>
    <w:rPr>
      <w:rFonts w:ascii="Times New Roman" w:hAnsi="Times New Roman" w:eastAsia="宋体"/>
      <w:bCs/>
      <w:kern w:val="44"/>
      <w:sz w:val="44"/>
      <w:szCs w:val="44"/>
      <w:lang w:val="en-US" w:eastAsia="zh-CN"/>
    </w:rPr>
  </w:style>
  <w:style w:type="paragraph" w:customStyle="1" w:styleId="68">
    <w:name w:val="TOC 标题11"/>
    <w:basedOn w:val="12"/>
    <w:qFormat/>
    <w:uiPriority w:val="0"/>
    <w:pPr>
      <w:tabs>
        <w:tab w:val="left" w:pos="360"/>
      </w:tabs>
      <w:spacing w:before="240" w:line="256" w:lineRule="auto"/>
      <w:ind w:firstLine="0" w:firstLineChars="0"/>
      <w:outlineLvl w:val="9"/>
    </w:pPr>
    <w:rPr>
      <w:rFonts w:ascii="Calibri Light" w:hAnsi="Calibri Light" w:eastAsia="宋体"/>
      <w:color w:val="2E74B5"/>
      <w:lang w:val="en-US" w:eastAsia="zh-CN"/>
    </w:rPr>
  </w:style>
  <w:style w:type="paragraph" w:styleId="69">
    <w:name w:val="List Paragraph"/>
    <w:basedOn w:val="1"/>
    <w:qFormat/>
    <w:uiPriority w:val="0"/>
    <w:pPr>
      <w:ind w:firstLine="420" w:firstLineChars="200"/>
    </w:pPr>
    <w:rPr>
      <w:rFonts w:ascii="Calibri" w:hAnsi="Calibri" w:eastAsia="宋体"/>
      <w:sz w:val="21"/>
      <w:szCs w:val="24"/>
    </w:rPr>
  </w:style>
  <w:style w:type="paragraph" w:customStyle="1" w:styleId="70">
    <w:name w:val="_Style 1"/>
    <w:basedOn w:val="1"/>
    <w:qFormat/>
    <w:uiPriority w:val="0"/>
    <w:pPr>
      <w:spacing w:line="580" w:lineRule="exact"/>
      <w:ind w:firstLine="420" w:firstLineChars="200"/>
    </w:pPr>
    <w:rPr>
      <w:rFonts w:ascii="Calibri" w:hAnsi="Calibri" w:eastAsia="宋体"/>
      <w:szCs w:val="24"/>
    </w:rPr>
  </w:style>
  <w:style w:type="paragraph" w:customStyle="1" w:styleId="71">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72">
    <w:name w:val="正文文本缩进 New"/>
    <w:basedOn w:val="71"/>
    <w:qFormat/>
    <w:uiPriority w:val="0"/>
    <w:pPr>
      <w:ind w:firstLine="636" w:firstLineChars="200"/>
    </w:pPr>
    <w:rPr>
      <w:szCs w:val="20"/>
    </w:rPr>
  </w:style>
  <w:style w:type="paragraph" w:customStyle="1" w:styleId="73">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74">
    <w:name w:val="Table Bullet"/>
    <w:basedOn w:val="1"/>
    <w:qFormat/>
    <w:uiPriority w:val="0"/>
    <w:pPr>
      <w:widowControl/>
      <w:numPr>
        <w:ilvl w:val="0"/>
        <w:numId w:val="2"/>
      </w:numPr>
      <w:tabs>
        <w:tab w:val="clear" w:pos="720"/>
      </w:tabs>
      <w:spacing w:after="120"/>
      <w:ind w:left="284" w:hanging="284"/>
      <w:contextualSpacing/>
    </w:pPr>
    <w:rPr>
      <w:rFonts w:ascii="Frutiger LT Com 45 Light" w:hAnsi="Frutiger LT Com 45 Light" w:eastAsia="宋体"/>
      <w:kern w:val="0"/>
      <w:sz w:val="20"/>
      <w:szCs w:val="22"/>
      <w:lang w:val="en-GB" w:eastAsia="en-US"/>
    </w:rPr>
  </w:style>
  <w:style w:type="paragraph" w:customStyle="1" w:styleId="75">
    <w:name w:val="正文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76">
    <w:name w:val="页脚 New"/>
    <w:basedOn w:val="73"/>
    <w:qFormat/>
    <w:uiPriority w:val="0"/>
    <w:pPr>
      <w:tabs>
        <w:tab w:val="center" w:pos="4153"/>
        <w:tab w:val="right" w:pos="8306"/>
      </w:tabs>
      <w:snapToGrid w:val="0"/>
      <w:jc w:val="left"/>
    </w:pPr>
    <w:rPr>
      <w:sz w:val="18"/>
      <w:szCs w:val="18"/>
    </w:rPr>
  </w:style>
  <w:style w:type="paragraph" w:customStyle="1" w:styleId="77">
    <w:name w:val="页脚 New New"/>
    <w:basedOn w:val="64"/>
    <w:qFormat/>
    <w:uiPriority w:val="0"/>
    <w:pPr>
      <w:tabs>
        <w:tab w:val="center" w:pos="4153"/>
        <w:tab w:val="right" w:pos="8306"/>
      </w:tabs>
      <w:snapToGrid w:val="0"/>
      <w:jc w:val="left"/>
    </w:pPr>
    <w:rPr>
      <w:sz w:val="18"/>
      <w:szCs w:val="18"/>
    </w:rPr>
  </w:style>
  <w:style w:type="paragraph" w:customStyle="1" w:styleId="78">
    <w:name w:val="p0"/>
    <w:basedOn w:val="1"/>
    <w:qFormat/>
    <w:uiPriority w:val="0"/>
    <w:pPr>
      <w:widowControl/>
      <w:spacing w:line="590" w:lineRule="atLeast"/>
      <w:ind w:firstLine="624"/>
    </w:pPr>
    <w:rPr>
      <w:rFonts w:ascii="Calibri" w:hAnsi="Calibri" w:eastAsia="宋体"/>
      <w:kern w:val="0"/>
      <w:szCs w:val="32"/>
    </w:rPr>
  </w:style>
  <w:style w:type="paragraph" w:customStyle="1" w:styleId="79">
    <w:name w:val="样式3"/>
    <w:basedOn w:val="12"/>
    <w:qFormat/>
    <w:uiPriority w:val="0"/>
    <w:pPr>
      <w:tabs>
        <w:tab w:val="left" w:pos="360"/>
      </w:tabs>
      <w:spacing w:before="340" w:after="330" w:line="576" w:lineRule="auto"/>
      <w:ind w:firstLine="0" w:firstLineChars="0"/>
    </w:pPr>
    <w:rPr>
      <w:rFonts w:ascii="Calibri" w:hAnsi="Calibri" w:eastAsia="华文中宋"/>
      <w:kern w:val="44"/>
      <w:sz w:val="44"/>
      <w:szCs w:val="24"/>
      <w:lang w:val="en-US" w:eastAsia="zh-CN"/>
    </w:rPr>
  </w:style>
  <w:style w:type="paragraph" w:customStyle="1" w:styleId="80">
    <w:name w:val="默认段落字体 Para Char Char Char Char Char Char Char Char Char Char"/>
    <w:basedOn w:val="75"/>
    <w:qFormat/>
    <w:uiPriority w:val="0"/>
  </w:style>
  <w:style w:type="paragraph" w:customStyle="1" w:styleId="81">
    <w:name w:val="正文 New"/>
    <w:qFormat/>
    <w:uiPriority w:val="0"/>
    <w:pPr>
      <w:widowControl w:val="0"/>
      <w:jc w:val="both"/>
    </w:pPr>
    <w:rPr>
      <w:rFonts w:ascii="Times New Roman" w:hAnsi="Times New Roman" w:eastAsia="仿宋_GB2312" w:cs="Times New Roman"/>
      <w:kern w:val="2"/>
      <w:sz w:val="32"/>
      <w:szCs w:val="32"/>
      <w:lang w:val="en-US" w:eastAsia="zh-CN" w:bidi="ar-SA"/>
    </w:rPr>
  </w:style>
  <w:style w:type="table" w:customStyle="1" w:styleId="82">
    <w:name w:val="Table Normal"/>
    <w:qFormat/>
    <w:uiPriority w:val="0"/>
    <w:pPr>
      <w:widowControl w:val="0"/>
      <w:autoSpaceDE w:val="0"/>
      <w:autoSpaceDN w:val="0"/>
    </w:pPr>
    <w:rPr>
      <w:sz w:val="22"/>
      <w:lang w:eastAsia="en-US"/>
    </w:rPr>
    <w:tblPr>
      <w:tblCellMar>
        <w:top w:w="0" w:type="dxa"/>
        <w:left w:w="0" w:type="dxa"/>
        <w:bottom w:w="0" w:type="dxa"/>
        <w:right w:w="0" w:type="dxa"/>
      </w:tblCellMar>
    </w:tblPr>
  </w:style>
  <w:style w:type="table" w:customStyle="1" w:styleId="83">
    <w:name w:val="网格型2"/>
    <w:basedOn w:val="16"/>
    <w:qFormat/>
    <w:uiPriority w:val="0"/>
    <w:rPr>
      <w:rFonts w:ascii="等线" w:hAnsi="等线" w:eastAsia="等线"/>
      <w:kern w:val="2"/>
      <w:sz w:val="21"/>
      <w:szCs w:val="22"/>
    </w:rPr>
  </w:style>
  <w:style w:type="table" w:customStyle="1" w:styleId="84">
    <w:name w:val="网格型3"/>
    <w:basedOn w:val="16"/>
    <w:qFormat/>
    <w:uiPriority w:val="0"/>
    <w:rPr>
      <w:rFonts w:ascii="等线" w:hAnsi="等线" w:eastAsia="等线"/>
      <w:kern w:val="2"/>
      <w:sz w:val="21"/>
      <w:szCs w:val="22"/>
    </w:rPr>
  </w:style>
  <w:style w:type="table" w:customStyle="1" w:styleId="85">
    <w:name w:val="网格型4"/>
    <w:basedOn w:val="16"/>
    <w:qFormat/>
    <w:uiPriority w:val="0"/>
    <w:rPr>
      <w:rFonts w:ascii="等线" w:hAnsi="等线" w:eastAsia="等线"/>
      <w:kern w:val="2"/>
      <w:sz w:val="21"/>
      <w:szCs w:val="22"/>
    </w:rPr>
  </w:style>
  <w:style w:type="table" w:customStyle="1" w:styleId="86">
    <w:name w:val="网格型1"/>
    <w:basedOn w:val="16"/>
    <w:qFormat/>
    <w:uiPriority w:val="0"/>
    <w:pPr>
      <w:widowControl w:val="0"/>
      <w:jc w:val="both"/>
    </w:pPr>
    <w:rPr>
      <w:rFonts w:ascii="等线" w:hAnsi="等线" w:eastAsia="等线"/>
    </w:rPr>
  </w:style>
  <w:style w:type="character" w:customStyle="1" w:styleId="87">
    <w:name w:val="页眉 字符1"/>
    <w:link w:val="5"/>
    <w:qFormat/>
    <w:uiPriority w:val="0"/>
    <w:rPr>
      <w:rFonts w:eastAsia="仿宋_GB2312"/>
      <w:kern w:val="2"/>
      <w:sz w:val="18"/>
      <w:szCs w:val="18"/>
    </w:rPr>
  </w:style>
  <w:style w:type="character" w:customStyle="1" w:styleId="88">
    <w:name w:val="页脚 字符1"/>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png"/><Relationship Id="rId15" Type="http://schemas.openxmlformats.org/officeDocument/2006/relationships/image" Target="media/image5.emf"/><Relationship Id="rId14" Type="http://schemas.openxmlformats.org/officeDocument/2006/relationships/image" Target="media/image4.emf"/><Relationship Id="rId13" Type="http://schemas.openxmlformats.org/officeDocument/2006/relationships/image" Target="media/image3.emf"/><Relationship Id="rId12" Type="http://schemas.openxmlformats.org/officeDocument/2006/relationships/image" Target="media/image2.emf"/><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textRotate="1"/>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10455</Words>
  <Characters>11024</Characters>
  <Lines>486</Lines>
  <Paragraphs>531</Paragraphs>
  <TotalTime>2</TotalTime>
  <ScaleCrop>false</ScaleCrop>
  <LinksUpToDate>false</LinksUpToDate>
  <CharactersWithSpaces>11249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2025-10-03T12:38:00Z</dcterms:created>
  <dc:creator>克（è）</dc:creator>
  <cp:lastModifiedBy>ylq</cp:lastModifiedBy>
  <dcterms:modified xsi:type="dcterms:W3CDTF">2025-10-20T02:58:01Z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eyJoZGlkIjoiN2ZiYzkzZTk0NTY5ZmU5ZDdjYzFmNGQ1ZmYzOWExNzQiLCJ1c2VySWQiOiIzODcyNzQyNDUifQ==</vt:lpwstr>
  </property>
  <property fmtid="{D5CDD505-2E9C-101B-9397-08002B2CF9AE}" pid="3" name="KSOProductBuildVer">
    <vt:lpwstr>2052-12.1.0.23125</vt:lpwstr>
  </property>
  <property fmtid="{D5CDD505-2E9C-101B-9397-08002B2CF9AE}" pid="4" name="ICV">
    <vt:lpwstr>E1D036569D7A464C88F3750396217F72_12</vt:lpwstr>
  </property>
</Properties>
</file>