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70E3C">
      <w:pPr>
        <w:spacing w:line="600" w:lineRule="exact"/>
        <w:rPr>
          <w:rFonts w:hAnsi="Times New Roman" w:eastAsia="宋体"/>
          <w:color w:val="auto"/>
          <w:szCs w:val="24"/>
        </w:rPr>
      </w:pPr>
      <w:r>
        <w:rPr>
          <w:rFonts w:hint="eastAsia" w:hAnsi="Times New Roman" w:eastAsia="黑体" w:cs="仿宋_GB2312"/>
          <w:color w:val="auto"/>
          <w:szCs w:val="20"/>
        </w:rPr>
        <w:t xml:space="preserve"> </w:t>
      </w:r>
    </w:p>
    <w:p w14:paraId="060D5CAF">
      <w:pPr>
        <w:spacing w:line="600" w:lineRule="exact"/>
        <w:rPr>
          <w:rFonts w:hint="eastAsia" w:ascii="Times New Roman" w:hAnsi="Times New Roman" w:eastAsia="黑体" w:cs="仿宋_GB2312"/>
          <w:color w:val="auto"/>
          <w:szCs w:val="20"/>
          <w:lang w:val="en-US" w:eastAsia="zh-CN"/>
        </w:rPr>
      </w:pPr>
      <w:r>
        <w:rPr>
          <w:rFonts w:hint="eastAsia" w:ascii="Times New Roman" w:hAnsi="Times New Roman" w:eastAsia="黑体" w:cs="仿宋_GB2312"/>
          <w:color w:val="auto"/>
          <w:szCs w:val="32"/>
        </w:rPr>
        <w:t>附件</w:t>
      </w:r>
      <w:r>
        <w:rPr>
          <w:rFonts w:hint="eastAsia" w:ascii="Times New Roman" w:hAnsi="Times New Roman" w:eastAsia="黑体" w:cs="仿宋_GB2312"/>
          <w:color w:val="auto"/>
          <w:szCs w:val="32"/>
          <w:lang w:val="en-US" w:eastAsia="zh-CN"/>
        </w:rPr>
        <w:t>1</w:t>
      </w:r>
    </w:p>
    <w:p w14:paraId="6BDE868B">
      <w:pPr>
        <w:spacing w:line="600" w:lineRule="exact"/>
        <w:ind w:firstLine="632" w:firstLineChars="200"/>
        <w:rPr>
          <w:rFonts w:ascii="Times New Roman" w:hAnsi="Times New Roman" w:eastAsia="宋体"/>
          <w:color w:val="auto"/>
          <w:szCs w:val="24"/>
        </w:rPr>
      </w:pPr>
    </w:p>
    <w:p w14:paraId="69E448A6">
      <w:pPr>
        <w:spacing w:line="600" w:lineRule="exact"/>
        <w:jc w:val="center"/>
        <w:rPr>
          <w:rFonts w:hint="eastAsia" w:ascii="Times New Roman" w:hAnsi="Times New Roman" w:eastAsia="方正小标宋简体" w:cs="方正小标宋_GBK"/>
          <w:snapToGrid w:val="0"/>
          <w:color w:val="auto"/>
          <w:kern w:val="0"/>
          <w:sz w:val="44"/>
          <w:szCs w:val="44"/>
        </w:rPr>
      </w:pPr>
    </w:p>
    <w:p w14:paraId="5EC88991">
      <w:pPr>
        <w:spacing w:line="600" w:lineRule="exact"/>
        <w:jc w:val="center"/>
        <w:rPr>
          <w:rFonts w:ascii="Times New Roman" w:hAnsi="Times New Roman" w:eastAsia="方正小标宋简体" w:cs="方正小标宋_GBK"/>
          <w:snapToGrid w:val="0"/>
          <w:color w:val="auto"/>
          <w:kern w:val="0"/>
          <w:sz w:val="48"/>
          <w:szCs w:val="48"/>
        </w:rPr>
      </w:pPr>
      <w:r>
        <w:rPr>
          <w:rFonts w:hint="eastAsia" w:ascii="Times New Roman" w:hAnsi="Times New Roman" w:eastAsia="方正小标宋简体" w:cs="方正小标宋_GBK"/>
          <w:snapToGrid w:val="0"/>
          <w:color w:val="auto"/>
          <w:kern w:val="0"/>
          <w:sz w:val="48"/>
          <w:szCs w:val="48"/>
        </w:rPr>
        <w:t>沈阳市</w:t>
      </w:r>
      <w:r>
        <w:rPr>
          <w:rFonts w:hint="eastAsia" w:ascii="Times New Roman" w:hAnsi="Times New Roman" w:eastAsia="方正小标宋简体" w:cs="方正小标宋_GBK"/>
          <w:snapToGrid w:val="0"/>
          <w:color w:val="auto"/>
          <w:kern w:val="0"/>
          <w:sz w:val="48"/>
          <w:szCs w:val="48"/>
          <w:lang w:eastAsia="zh-CN"/>
        </w:rPr>
        <w:t>第</w:t>
      </w:r>
      <w:r>
        <w:rPr>
          <w:rFonts w:hint="eastAsia" w:hAnsi="Times New Roman" w:eastAsia="方正小标宋简体" w:cs="方正小标宋_GBK"/>
          <w:snapToGrid w:val="0"/>
          <w:color w:val="auto"/>
          <w:kern w:val="0"/>
          <w:sz w:val="48"/>
          <w:szCs w:val="48"/>
          <w:lang w:eastAsia="zh-CN"/>
        </w:rPr>
        <w:t>四</w:t>
      </w:r>
      <w:r>
        <w:rPr>
          <w:rFonts w:hint="eastAsia" w:ascii="Times New Roman" w:hAnsi="Times New Roman" w:eastAsia="方正小标宋简体" w:cs="方正小标宋_GBK"/>
          <w:snapToGrid w:val="0"/>
          <w:color w:val="auto"/>
          <w:kern w:val="0"/>
          <w:sz w:val="48"/>
          <w:szCs w:val="48"/>
          <w:lang w:eastAsia="zh-CN"/>
        </w:rPr>
        <w:t>届</w:t>
      </w:r>
      <w:r>
        <w:rPr>
          <w:rFonts w:hint="eastAsia" w:ascii="Times New Roman" w:hAnsi="Times New Roman" w:eastAsia="方正小标宋简体" w:cs="方正小标宋_GBK"/>
          <w:snapToGrid w:val="0"/>
          <w:color w:val="auto"/>
          <w:kern w:val="0"/>
          <w:sz w:val="48"/>
          <w:szCs w:val="48"/>
        </w:rPr>
        <w:t>“舒心传</w:t>
      </w:r>
      <w:r>
        <w:rPr>
          <w:rFonts w:hint="eastAsia" w:ascii="Times New Roman" w:hAnsi="Times New Roman" w:eastAsia="方正小标宋简体" w:cs="方正小标宋_GBK"/>
          <w:snapToGrid w:val="0"/>
          <w:color w:val="auto"/>
          <w:kern w:val="0"/>
          <w:sz w:val="48"/>
          <w:szCs w:val="48"/>
          <w:lang w:eastAsia="zh-CN"/>
        </w:rPr>
        <w:t>技</w:t>
      </w:r>
      <w:r>
        <w:rPr>
          <w:rFonts w:hint="eastAsia" w:ascii="Times New Roman" w:hAnsi="Times New Roman" w:eastAsia="方正小标宋简体" w:cs="方正小标宋_GBK"/>
          <w:snapToGrid w:val="0"/>
          <w:color w:val="auto"/>
          <w:kern w:val="0"/>
          <w:sz w:val="48"/>
          <w:szCs w:val="48"/>
        </w:rPr>
        <w:t>”职业技能大赛</w:t>
      </w:r>
    </w:p>
    <w:p w14:paraId="11E73A2A">
      <w:pPr>
        <w:spacing w:line="600" w:lineRule="exact"/>
        <w:jc w:val="center"/>
        <w:rPr>
          <w:rFonts w:ascii="Times New Roman" w:hAnsi="Times New Roman" w:eastAsia="方正小标宋_GBK" w:cs="方正小标宋_GBK"/>
          <w:snapToGrid w:val="0"/>
          <w:color w:val="auto"/>
          <w:kern w:val="0"/>
          <w:sz w:val="52"/>
          <w:szCs w:val="52"/>
        </w:rPr>
      </w:pPr>
    </w:p>
    <w:p w14:paraId="48082B99">
      <w:pPr>
        <w:spacing w:line="600" w:lineRule="exact"/>
        <w:jc w:val="center"/>
        <w:rPr>
          <w:rFonts w:ascii="Times New Roman" w:hAnsi="Times New Roman" w:eastAsia="方正小标宋_GBK" w:cs="方正小标宋_GBK"/>
          <w:color w:val="auto"/>
          <w:sz w:val="52"/>
          <w:szCs w:val="52"/>
          <w:lang w:val="en-AU"/>
        </w:rPr>
      </w:pPr>
    </w:p>
    <w:p w14:paraId="5E1200B2">
      <w:pPr>
        <w:spacing w:line="600" w:lineRule="exact"/>
        <w:jc w:val="center"/>
        <w:rPr>
          <w:rFonts w:ascii="Times New Roman" w:hAnsi="Times New Roman" w:eastAsia="方正小标宋_GBK" w:cs="方正小标宋_GBK"/>
          <w:color w:val="auto"/>
          <w:sz w:val="52"/>
          <w:szCs w:val="52"/>
          <w:lang w:val="en-AU"/>
        </w:rPr>
      </w:pPr>
    </w:p>
    <w:p w14:paraId="32F157BF">
      <w:pPr>
        <w:spacing w:line="600" w:lineRule="exact"/>
        <w:jc w:val="center"/>
        <w:rPr>
          <w:rFonts w:ascii="Times New Roman" w:hAnsi="Times New Roman" w:eastAsia="方正小标宋_GBK" w:cs="方正小标宋_GBK"/>
          <w:color w:val="auto"/>
          <w:sz w:val="52"/>
          <w:szCs w:val="52"/>
          <w:lang w:val="en-AU"/>
        </w:rPr>
      </w:pPr>
    </w:p>
    <w:p w14:paraId="19810C2A">
      <w:pPr>
        <w:spacing w:line="600" w:lineRule="exact"/>
        <w:jc w:val="center"/>
        <w:rPr>
          <w:rFonts w:hint="eastAsia" w:ascii="Times New Roman" w:hAnsi="Times New Roman" w:eastAsia="方正小标宋简体" w:cs="方正小标宋_GBK"/>
          <w:color w:val="auto"/>
          <w:sz w:val="52"/>
          <w:szCs w:val="52"/>
        </w:rPr>
      </w:pPr>
      <w:r>
        <w:rPr>
          <w:rFonts w:hint="eastAsia" w:hAnsi="Times New Roman" w:eastAsia="方正小标宋简体" w:cs="方正小标宋_GBK"/>
          <w:color w:val="auto"/>
          <w:sz w:val="52"/>
          <w:szCs w:val="52"/>
          <w:lang w:val="en-AU" w:eastAsia="zh-CN"/>
        </w:rPr>
        <w:t>社会体育指导（健身）</w:t>
      </w:r>
      <w:r>
        <w:rPr>
          <w:rFonts w:hint="eastAsia" w:ascii="Times New Roman" w:hAnsi="Times New Roman" w:eastAsia="方正小标宋简体" w:cs="方正小标宋_GBK"/>
          <w:color w:val="auto"/>
          <w:sz w:val="52"/>
          <w:szCs w:val="52"/>
        </w:rPr>
        <w:t>项目</w:t>
      </w:r>
    </w:p>
    <w:p w14:paraId="060E71FC">
      <w:pPr>
        <w:spacing w:line="600" w:lineRule="exact"/>
        <w:jc w:val="center"/>
        <w:rPr>
          <w:rFonts w:ascii="Times New Roman" w:hAnsi="Times New Roman" w:eastAsia="方正小标宋简体" w:cs="方正小标宋_GBK"/>
          <w:color w:val="auto"/>
          <w:sz w:val="52"/>
          <w:szCs w:val="52"/>
          <w:lang w:val="en-AU"/>
        </w:rPr>
      </w:pPr>
      <w:r>
        <w:rPr>
          <w:rFonts w:hint="eastAsia" w:ascii="Times New Roman" w:hAnsi="Times New Roman" w:eastAsia="方正小标宋简体" w:cs="方正小标宋_GBK"/>
          <w:color w:val="auto"/>
          <w:sz w:val="52"/>
          <w:szCs w:val="52"/>
          <w:lang w:val="en-AU"/>
        </w:rPr>
        <w:t>技术工作文件</w:t>
      </w:r>
    </w:p>
    <w:p w14:paraId="7FC61249">
      <w:pPr>
        <w:widowControl/>
        <w:spacing w:line="600" w:lineRule="exact"/>
        <w:contextualSpacing/>
        <w:rPr>
          <w:rFonts w:ascii="Times New Roman" w:hAnsi="Times New Roman" w:eastAsia="微软雅黑"/>
          <w:color w:val="auto"/>
          <w:spacing w:val="-10"/>
          <w:kern w:val="28"/>
          <w:sz w:val="50"/>
          <w:szCs w:val="56"/>
          <w:lang w:val="en-AU"/>
        </w:rPr>
      </w:pPr>
    </w:p>
    <w:p w14:paraId="1B4FDFBF">
      <w:pPr>
        <w:spacing w:line="600" w:lineRule="exact"/>
        <w:rPr>
          <w:rFonts w:ascii="Times New Roman" w:hAnsi="Times New Roman"/>
          <w:color w:val="auto"/>
          <w:szCs w:val="20"/>
          <w:lang w:val="en-AU"/>
        </w:rPr>
      </w:pPr>
    </w:p>
    <w:p w14:paraId="2943BC21">
      <w:pPr>
        <w:spacing w:line="600" w:lineRule="exact"/>
        <w:rPr>
          <w:rFonts w:ascii="Times New Roman" w:hAnsi="Times New Roman"/>
          <w:color w:val="auto"/>
          <w:szCs w:val="20"/>
          <w:lang w:val="en-AU"/>
        </w:rPr>
      </w:pPr>
    </w:p>
    <w:p w14:paraId="7F152E86">
      <w:pPr>
        <w:spacing w:line="600" w:lineRule="exact"/>
        <w:rPr>
          <w:rFonts w:ascii="Times New Roman" w:hAnsi="Times New Roman"/>
          <w:color w:val="auto"/>
          <w:szCs w:val="20"/>
          <w:lang w:val="en-AU"/>
        </w:rPr>
      </w:pPr>
    </w:p>
    <w:p w14:paraId="5B19B7FB">
      <w:pPr>
        <w:spacing w:line="600" w:lineRule="exact"/>
        <w:rPr>
          <w:rFonts w:ascii="Times New Roman" w:hAnsi="Times New Roman"/>
          <w:color w:val="auto"/>
          <w:szCs w:val="20"/>
          <w:lang w:val="en-AU"/>
        </w:rPr>
      </w:pPr>
    </w:p>
    <w:p w14:paraId="198E9B17">
      <w:pPr>
        <w:spacing w:line="600" w:lineRule="exact"/>
        <w:rPr>
          <w:rFonts w:ascii="Times New Roman" w:hAnsi="Times New Roman"/>
          <w:color w:val="auto"/>
          <w:szCs w:val="20"/>
          <w:lang w:val="en-AU"/>
        </w:rPr>
      </w:pPr>
    </w:p>
    <w:p w14:paraId="1CCC7E12">
      <w:pPr>
        <w:spacing w:line="600" w:lineRule="exact"/>
        <w:rPr>
          <w:rFonts w:ascii="Times New Roman" w:hAnsi="Times New Roman"/>
          <w:color w:val="auto"/>
          <w:szCs w:val="24"/>
          <w:lang w:val="en-AU"/>
        </w:rPr>
      </w:pPr>
    </w:p>
    <w:p w14:paraId="06EA1EA8">
      <w:pPr>
        <w:spacing w:line="600" w:lineRule="exact"/>
        <w:jc w:val="center"/>
        <w:rPr>
          <w:rFonts w:ascii="Times New Roman" w:hAnsi="Times New Roman" w:eastAsia="楷体_GB2312" w:cs="方正仿宋_GBK"/>
          <w:snapToGrid w:val="0"/>
          <w:color w:val="auto"/>
          <w:kern w:val="0"/>
          <w:szCs w:val="32"/>
        </w:rPr>
      </w:pPr>
      <w:r>
        <w:rPr>
          <w:rFonts w:hint="eastAsia" w:ascii="Times New Roman" w:hAnsi="Times New Roman" w:eastAsia="楷体_GB2312" w:cs="方正仿宋_GBK"/>
          <w:snapToGrid w:val="0"/>
          <w:color w:val="auto"/>
          <w:kern w:val="0"/>
          <w:szCs w:val="32"/>
        </w:rPr>
        <w:t>沈阳市</w:t>
      </w:r>
      <w:r>
        <w:rPr>
          <w:rFonts w:hint="eastAsia" w:ascii="Times New Roman" w:hAnsi="Times New Roman" w:eastAsia="楷体_GB2312" w:cs="仿宋_GB2312"/>
          <w:color w:val="auto"/>
          <w:szCs w:val="32"/>
          <w:lang w:eastAsia="zh-CN"/>
        </w:rPr>
        <w:t>第</w:t>
      </w:r>
      <w:r>
        <w:rPr>
          <w:rFonts w:hint="eastAsia" w:hAnsi="Times New Roman" w:eastAsia="楷体_GB2312" w:cs="仿宋_GB2312"/>
          <w:color w:val="auto"/>
          <w:szCs w:val="32"/>
          <w:lang w:eastAsia="zh-CN"/>
        </w:rPr>
        <w:t>四</w:t>
      </w:r>
      <w:r>
        <w:rPr>
          <w:rFonts w:hint="eastAsia" w:ascii="Times New Roman" w:hAnsi="Times New Roman" w:eastAsia="楷体_GB2312" w:cs="仿宋_GB2312"/>
          <w:color w:val="auto"/>
          <w:szCs w:val="32"/>
          <w:lang w:eastAsia="zh-CN"/>
        </w:rPr>
        <w:t>届</w:t>
      </w:r>
      <w:r>
        <w:rPr>
          <w:rFonts w:hint="eastAsia" w:ascii="Times New Roman" w:hAnsi="Times New Roman" w:eastAsia="楷体_GB2312" w:cs="方正仿宋_GBK"/>
          <w:snapToGrid w:val="0"/>
          <w:color w:val="auto"/>
          <w:kern w:val="0"/>
          <w:szCs w:val="32"/>
        </w:rPr>
        <w:t>“舒心传</w:t>
      </w:r>
      <w:r>
        <w:rPr>
          <w:rFonts w:hint="eastAsia" w:ascii="Times New Roman" w:hAnsi="Times New Roman" w:eastAsia="楷体_GB2312" w:cs="方正仿宋_GBK"/>
          <w:snapToGrid w:val="0"/>
          <w:color w:val="auto"/>
          <w:kern w:val="0"/>
          <w:szCs w:val="32"/>
          <w:lang w:eastAsia="zh-CN"/>
        </w:rPr>
        <w:t>技</w:t>
      </w:r>
      <w:r>
        <w:rPr>
          <w:rFonts w:hint="eastAsia" w:ascii="Times New Roman" w:hAnsi="Times New Roman" w:eastAsia="楷体_GB2312" w:cs="方正仿宋_GBK"/>
          <w:snapToGrid w:val="0"/>
          <w:color w:val="auto"/>
          <w:kern w:val="0"/>
          <w:szCs w:val="32"/>
        </w:rPr>
        <w:t>”职业技能大赛</w:t>
      </w:r>
    </w:p>
    <w:p w14:paraId="37493B9A">
      <w:pPr>
        <w:spacing w:line="600" w:lineRule="exact"/>
        <w:jc w:val="center"/>
        <w:rPr>
          <w:rFonts w:ascii="Times New Roman" w:hAnsi="Times New Roman" w:eastAsia="楷体_GB2312" w:cs="方正仿宋_GBK"/>
          <w:color w:val="auto"/>
          <w:szCs w:val="32"/>
          <w:lang w:val="en-AU"/>
        </w:rPr>
      </w:pPr>
      <w:r>
        <w:rPr>
          <w:rFonts w:hint="eastAsia" w:hAnsi="Times New Roman" w:eastAsia="楷体_GB2312" w:cs="方正仿宋_GBK"/>
          <w:color w:val="auto"/>
          <w:szCs w:val="32"/>
          <w:lang w:eastAsia="zh-CN"/>
        </w:rPr>
        <w:t>社会体育指导（健身）</w:t>
      </w:r>
      <w:r>
        <w:rPr>
          <w:rFonts w:hint="eastAsia" w:ascii="Times New Roman" w:hAnsi="Times New Roman" w:eastAsia="楷体_GB2312" w:cs="方正仿宋_GBK"/>
          <w:color w:val="auto"/>
          <w:szCs w:val="32"/>
        </w:rPr>
        <w:t>项目</w:t>
      </w:r>
      <w:r>
        <w:rPr>
          <w:rFonts w:hint="eastAsia" w:ascii="Times New Roman" w:hAnsi="Times New Roman" w:eastAsia="楷体_GB2312" w:cs="方正仿宋_GBK"/>
          <w:snapToGrid w:val="0"/>
          <w:color w:val="auto"/>
          <w:kern w:val="0"/>
          <w:szCs w:val="32"/>
        </w:rPr>
        <w:t>执</w:t>
      </w:r>
      <w:r>
        <w:rPr>
          <w:rFonts w:hint="eastAsia" w:ascii="Times New Roman" w:hAnsi="Times New Roman" w:eastAsia="楷体_GB2312" w:cs="方正仿宋_GBK"/>
          <w:color w:val="auto"/>
          <w:szCs w:val="32"/>
          <w:lang w:val="en-AU"/>
        </w:rPr>
        <w:t>委会技术工作组</w:t>
      </w:r>
    </w:p>
    <w:p w14:paraId="2EDD3822">
      <w:pPr>
        <w:spacing w:line="600" w:lineRule="exact"/>
        <w:jc w:val="center"/>
        <w:rPr>
          <w:rFonts w:ascii="Times New Roman" w:hAnsi="Times New Roman" w:eastAsia="楷体_GB2312"/>
          <w:color w:val="auto"/>
          <w:szCs w:val="32"/>
          <w:lang w:val="en-AU"/>
        </w:rPr>
      </w:pPr>
      <w:r>
        <w:rPr>
          <w:rFonts w:ascii="Times New Roman" w:hAnsi="Times New Roman" w:eastAsia="楷体_GB2312"/>
          <w:color w:val="auto"/>
          <w:szCs w:val="32"/>
          <w:lang w:val="en-AU"/>
        </w:rPr>
        <w:t>202</w:t>
      </w:r>
      <w:r>
        <w:rPr>
          <w:rFonts w:hint="eastAsia" w:hAnsi="Times New Roman" w:eastAsia="楷体_GB2312"/>
          <w:color w:val="auto"/>
          <w:szCs w:val="32"/>
          <w:lang w:val="en-US" w:eastAsia="zh-CN"/>
        </w:rPr>
        <w:t>5</w:t>
      </w:r>
      <w:r>
        <w:rPr>
          <w:rFonts w:hint="eastAsia" w:ascii="Times New Roman" w:hAnsi="Times New Roman" w:eastAsia="楷体_GB2312"/>
          <w:color w:val="auto"/>
          <w:szCs w:val="32"/>
          <w:lang w:val="en-AU"/>
        </w:rPr>
        <w:t>年</w:t>
      </w:r>
      <w:r>
        <w:rPr>
          <w:rFonts w:hint="eastAsia" w:hAnsi="Times New Roman" w:eastAsia="楷体_GB2312"/>
          <w:color w:val="auto"/>
          <w:szCs w:val="32"/>
          <w:lang w:val="en-US" w:eastAsia="zh-CN"/>
        </w:rPr>
        <w:t>10</w:t>
      </w:r>
      <w:r>
        <w:rPr>
          <w:rFonts w:hint="eastAsia" w:ascii="Times New Roman" w:hAnsi="Times New Roman" w:eastAsia="楷体_GB2312"/>
          <w:color w:val="auto"/>
          <w:szCs w:val="32"/>
          <w:lang w:val="en-AU"/>
        </w:rPr>
        <w:t>月</w:t>
      </w:r>
    </w:p>
    <w:p w14:paraId="1A9D6370">
      <w:pPr>
        <w:rPr>
          <w:rFonts w:hAnsi="Times New Roman" w:eastAsia="楷体_GB2312"/>
          <w:color w:val="auto"/>
          <w:szCs w:val="32"/>
        </w:rPr>
      </w:pPr>
      <w:r>
        <w:rPr>
          <w:rFonts w:hint="eastAsia" w:hAnsi="Times New Roman" w:eastAsia="楷体_GB2312"/>
          <w:color w:val="auto"/>
          <w:szCs w:val="32"/>
        </w:rPr>
        <w:br w:type="page"/>
      </w:r>
    </w:p>
    <w:p w14:paraId="7571EACC">
      <w:pPr>
        <w:spacing w:after="160" w:line="600" w:lineRule="exact"/>
        <w:jc w:val="center"/>
        <w:rPr>
          <w:rFonts w:ascii="Times New Roman" w:hAnsi="Times New Roman" w:eastAsia="方正小标宋简体"/>
          <w:color w:val="auto"/>
          <w:sz w:val="44"/>
          <w:szCs w:val="44"/>
        </w:rPr>
      </w:pPr>
      <w:r>
        <w:rPr>
          <w:rFonts w:hint="eastAsia" w:ascii="Times New Roman" w:hAnsi="Times New Roman" w:eastAsia="方正小标宋简体"/>
          <w:color w:val="auto"/>
          <w:sz w:val="44"/>
          <w:szCs w:val="44"/>
        </w:rPr>
        <w:t>目 录</w:t>
      </w:r>
    </w:p>
    <w:sdt>
      <w:sdtPr>
        <w:rPr>
          <w:rFonts w:hint="default" w:ascii="Times New Roman" w:eastAsia="宋体" w:cs="宋体"/>
          <w:b/>
          <w:bCs w:val="0"/>
          <w:color w:val="auto"/>
          <w:kern w:val="2"/>
          <w:sz w:val="30"/>
          <w:szCs w:val="30"/>
        </w:rPr>
        <w:id w:val="147476494"/>
        <w:docPartObj>
          <w:docPartGallery w:val="Table of Contents"/>
          <w:docPartUnique/>
        </w:docPartObj>
      </w:sdtPr>
      <w:sdtEndPr>
        <w:rPr>
          <w:rFonts w:hint="default" w:ascii="Times New Roman" w:eastAsia="黑体" w:cs="宋体"/>
          <w:b/>
          <w:bCs/>
          <w:color w:val="auto"/>
          <w:kern w:val="44"/>
          <w:sz w:val="32"/>
          <w:szCs w:val="48"/>
        </w:rPr>
      </w:sdtEndPr>
      <w:sdtContent>
        <w:p w14:paraId="76DA8B61">
          <w:pPr>
            <w:pStyle w:val="2"/>
            <w:spacing w:line="240" w:lineRule="auto"/>
            <w:jc w:val="center"/>
            <w:rPr>
              <w:rFonts w:cs="宋体"/>
              <w:b/>
              <w:color w:val="auto"/>
            </w:rPr>
          </w:pPr>
          <w:r>
            <w:rPr>
              <w:color w:val="auto"/>
            </w:rPr>
            <w:fldChar w:fldCharType="begin"/>
          </w:r>
          <w:r>
            <w:rPr>
              <w:color w:val="auto"/>
            </w:rPr>
            <w:instrText xml:space="preserve">TOC \o "1-2" \h \u </w:instrText>
          </w:r>
          <w:r>
            <w:rPr>
              <w:color w:val="auto"/>
            </w:rPr>
            <w:fldChar w:fldCharType="separate"/>
          </w:r>
        </w:p>
        <w:p w14:paraId="4D43E963">
          <w:pPr>
            <w:pStyle w:val="9"/>
            <w:tabs>
              <w:tab w:val="right" w:leader="dot" w:pos="8958"/>
            </w:tabs>
            <w:rPr>
              <w:rFonts w:hint="eastAsia"/>
              <w:color w:val="auto"/>
            </w:rPr>
          </w:pPr>
          <w:r>
            <w:rPr>
              <w:color w:val="auto"/>
            </w:rPr>
            <w:fldChar w:fldCharType="begin"/>
          </w:r>
          <w:r>
            <w:rPr>
              <w:color w:val="auto"/>
            </w:rPr>
            <w:instrText xml:space="preserve"> HYPERLINK \l "_Toc11818" </w:instrText>
          </w:r>
          <w:r>
            <w:rPr>
              <w:color w:val="auto"/>
            </w:rPr>
            <w:fldChar w:fldCharType="separate"/>
          </w:r>
          <w:r>
            <w:rPr>
              <w:rFonts w:hint="eastAsia"/>
              <w:color w:val="auto"/>
            </w:rPr>
            <w:t>一、技术描述</w:t>
          </w:r>
          <w:r>
            <w:rPr>
              <w:color w:val="auto"/>
            </w:rPr>
            <w:tab/>
          </w:r>
          <w:r>
            <w:rPr>
              <w:color w:val="auto"/>
            </w:rPr>
            <w:fldChar w:fldCharType="begin"/>
          </w:r>
          <w:r>
            <w:rPr>
              <w:color w:val="auto"/>
            </w:rPr>
            <w:instrText xml:space="preserve"> PAGEREF _Toc11818 \h </w:instrText>
          </w:r>
          <w:r>
            <w:rPr>
              <w:color w:val="auto"/>
            </w:rPr>
            <w:fldChar w:fldCharType="separate"/>
          </w:r>
          <w:r>
            <w:rPr>
              <w:color w:val="auto"/>
            </w:rPr>
            <w:t>1</w:t>
          </w:r>
          <w:r>
            <w:rPr>
              <w:color w:val="auto"/>
            </w:rPr>
            <w:fldChar w:fldCharType="end"/>
          </w:r>
          <w:r>
            <w:rPr>
              <w:color w:val="auto"/>
            </w:rPr>
            <w:fldChar w:fldCharType="end"/>
          </w:r>
        </w:p>
        <w:p w14:paraId="0861964E">
          <w:pPr>
            <w:pStyle w:val="10"/>
            <w:tabs>
              <w:tab w:val="right" w:leader="dot" w:pos="8958"/>
            </w:tabs>
            <w:ind w:left="632"/>
            <w:rPr>
              <w:rFonts w:hint="eastAsia"/>
              <w:color w:val="auto"/>
            </w:rPr>
          </w:pPr>
          <w:r>
            <w:rPr>
              <w:color w:val="auto"/>
            </w:rPr>
            <w:fldChar w:fldCharType="begin"/>
          </w:r>
          <w:r>
            <w:rPr>
              <w:color w:val="auto"/>
            </w:rPr>
            <w:instrText xml:space="preserve"> HYPERLINK \l "_Toc17339" </w:instrText>
          </w:r>
          <w:r>
            <w:rPr>
              <w:color w:val="auto"/>
            </w:rPr>
            <w:fldChar w:fldCharType="separate"/>
          </w:r>
          <w:r>
            <w:rPr>
              <w:rFonts w:hint="eastAsia"/>
              <w:color w:val="auto"/>
            </w:rPr>
            <w:t>（一）项目概要</w:t>
          </w:r>
          <w:r>
            <w:rPr>
              <w:color w:val="auto"/>
            </w:rPr>
            <w:tab/>
          </w:r>
          <w:r>
            <w:rPr>
              <w:color w:val="auto"/>
            </w:rPr>
            <w:fldChar w:fldCharType="begin"/>
          </w:r>
          <w:r>
            <w:rPr>
              <w:color w:val="auto"/>
            </w:rPr>
            <w:instrText xml:space="preserve"> PAGEREF _Toc17339 \h </w:instrText>
          </w:r>
          <w:r>
            <w:rPr>
              <w:color w:val="auto"/>
            </w:rPr>
            <w:fldChar w:fldCharType="separate"/>
          </w:r>
          <w:r>
            <w:rPr>
              <w:color w:val="auto"/>
            </w:rPr>
            <w:t>1</w:t>
          </w:r>
          <w:r>
            <w:rPr>
              <w:color w:val="auto"/>
            </w:rPr>
            <w:fldChar w:fldCharType="end"/>
          </w:r>
          <w:r>
            <w:rPr>
              <w:color w:val="auto"/>
            </w:rPr>
            <w:fldChar w:fldCharType="end"/>
          </w:r>
        </w:p>
        <w:p w14:paraId="41C76D4B">
          <w:pPr>
            <w:pStyle w:val="10"/>
            <w:tabs>
              <w:tab w:val="right" w:leader="dot" w:pos="8958"/>
            </w:tabs>
            <w:ind w:left="632"/>
            <w:rPr>
              <w:rFonts w:hint="eastAsia"/>
              <w:color w:val="auto"/>
            </w:rPr>
          </w:pPr>
          <w:r>
            <w:rPr>
              <w:color w:val="auto"/>
            </w:rPr>
            <w:fldChar w:fldCharType="begin"/>
          </w:r>
          <w:r>
            <w:rPr>
              <w:color w:val="auto"/>
            </w:rPr>
            <w:instrText xml:space="preserve"> HYPERLINK \l "_Toc1248" </w:instrText>
          </w:r>
          <w:r>
            <w:rPr>
              <w:color w:val="auto"/>
            </w:rPr>
            <w:fldChar w:fldCharType="separate"/>
          </w:r>
          <w:r>
            <w:rPr>
              <w:rFonts w:hint="eastAsia"/>
              <w:color w:val="auto"/>
            </w:rPr>
            <w:t>（二）基本知识及能力要求</w:t>
          </w:r>
          <w:r>
            <w:rPr>
              <w:color w:val="auto"/>
            </w:rPr>
            <w:tab/>
          </w:r>
          <w:r>
            <w:rPr>
              <w:color w:val="auto"/>
            </w:rPr>
            <w:fldChar w:fldCharType="begin"/>
          </w:r>
          <w:r>
            <w:rPr>
              <w:color w:val="auto"/>
            </w:rPr>
            <w:instrText xml:space="preserve"> PAGEREF _Toc1248 \h </w:instrText>
          </w:r>
          <w:r>
            <w:rPr>
              <w:color w:val="auto"/>
            </w:rPr>
            <w:fldChar w:fldCharType="separate"/>
          </w:r>
          <w:r>
            <w:rPr>
              <w:color w:val="auto"/>
            </w:rPr>
            <w:t>2</w:t>
          </w:r>
          <w:r>
            <w:rPr>
              <w:color w:val="auto"/>
            </w:rPr>
            <w:fldChar w:fldCharType="end"/>
          </w:r>
          <w:r>
            <w:rPr>
              <w:color w:val="auto"/>
            </w:rPr>
            <w:fldChar w:fldCharType="end"/>
          </w:r>
        </w:p>
        <w:p w14:paraId="660FE114">
          <w:pPr>
            <w:pStyle w:val="9"/>
            <w:tabs>
              <w:tab w:val="right" w:leader="dot" w:pos="8958"/>
            </w:tabs>
            <w:rPr>
              <w:rFonts w:hint="eastAsia"/>
              <w:color w:val="auto"/>
            </w:rPr>
          </w:pPr>
          <w:r>
            <w:rPr>
              <w:color w:val="auto"/>
            </w:rPr>
            <w:fldChar w:fldCharType="begin"/>
          </w:r>
          <w:r>
            <w:rPr>
              <w:color w:val="auto"/>
            </w:rPr>
            <w:instrText xml:space="preserve"> HYPERLINK \l "_Toc30552" </w:instrText>
          </w:r>
          <w:r>
            <w:rPr>
              <w:color w:val="auto"/>
            </w:rPr>
            <w:fldChar w:fldCharType="separate"/>
          </w:r>
          <w:r>
            <w:rPr>
              <w:rFonts w:hint="eastAsia"/>
              <w:color w:val="auto"/>
            </w:rPr>
            <w:t>二、试题及评判标准</w:t>
          </w:r>
          <w:r>
            <w:rPr>
              <w:color w:val="auto"/>
            </w:rPr>
            <w:tab/>
          </w:r>
          <w:r>
            <w:rPr>
              <w:color w:val="auto"/>
            </w:rPr>
            <w:fldChar w:fldCharType="begin"/>
          </w:r>
          <w:r>
            <w:rPr>
              <w:color w:val="auto"/>
            </w:rPr>
            <w:instrText xml:space="preserve"> PAGEREF _Toc30552 \h </w:instrText>
          </w:r>
          <w:r>
            <w:rPr>
              <w:color w:val="auto"/>
            </w:rPr>
            <w:fldChar w:fldCharType="separate"/>
          </w:r>
          <w:r>
            <w:rPr>
              <w:color w:val="auto"/>
            </w:rPr>
            <w:t>3</w:t>
          </w:r>
          <w:r>
            <w:rPr>
              <w:color w:val="auto"/>
            </w:rPr>
            <w:fldChar w:fldCharType="end"/>
          </w:r>
          <w:r>
            <w:rPr>
              <w:color w:val="auto"/>
            </w:rPr>
            <w:fldChar w:fldCharType="end"/>
          </w:r>
        </w:p>
        <w:p w14:paraId="6261A4CE">
          <w:pPr>
            <w:pStyle w:val="10"/>
            <w:tabs>
              <w:tab w:val="right" w:leader="dot" w:pos="8958"/>
            </w:tabs>
            <w:ind w:left="632"/>
            <w:rPr>
              <w:rFonts w:hint="eastAsia"/>
              <w:color w:val="auto"/>
            </w:rPr>
          </w:pPr>
          <w:r>
            <w:rPr>
              <w:color w:val="auto"/>
            </w:rPr>
            <w:fldChar w:fldCharType="begin"/>
          </w:r>
          <w:r>
            <w:rPr>
              <w:color w:val="auto"/>
            </w:rPr>
            <w:instrText xml:space="preserve"> HYPERLINK \l "_Toc3048" </w:instrText>
          </w:r>
          <w:r>
            <w:rPr>
              <w:color w:val="auto"/>
            </w:rPr>
            <w:fldChar w:fldCharType="separate"/>
          </w:r>
          <w:r>
            <w:rPr>
              <w:rFonts w:hint="eastAsia"/>
              <w:color w:val="auto"/>
            </w:rPr>
            <w:t>（一）试题（样题）</w:t>
          </w:r>
          <w:r>
            <w:rPr>
              <w:color w:val="auto"/>
            </w:rPr>
            <w:tab/>
          </w:r>
          <w:r>
            <w:rPr>
              <w:color w:val="auto"/>
            </w:rPr>
            <w:fldChar w:fldCharType="begin"/>
          </w:r>
          <w:r>
            <w:rPr>
              <w:color w:val="auto"/>
            </w:rPr>
            <w:instrText xml:space="preserve"> PAGEREF _Toc3048 \h </w:instrText>
          </w:r>
          <w:r>
            <w:rPr>
              <w:color w:val="auto"/>
            </w:rPr>
            <w:fldChar w:fldCharType="separate"/>
          </w:r>
          <w:r>
            <w:rPr>
              <w:color w:val="auto"/>
            </w:rPr>
            <w:t>3</w:t>
          </w:r>
          <w:r>
            <w:rPr>
              <w:color w:val="auto"/>
            </w:rPr>
            <w:fldChar w:fldCharType="end"/>
          </w:r>
          <w:r>
            <w:rPr>
              <w:color w:val="auto"/>
            </w:rPr>
            <w:fldChar w:fldCharType="end"/>
          </w:r>
        </w:p>
        <w:p w14:paraId="76D82FEB">
          <w:pPr>
            <w:pStyle w:val="10"/>
            <w:tabs>
              <w:tab w:val="right" w:leader="dot" w:pos="8958"/>
            </w:tabs>
            <w:ind w:left="632"/>
            <w:rPr>
              <w:rFonts w:hint="eastAsia"/>
              <w:color w:val="auto"/>
            </w:rPr>
          </w:pPr>
          <w:r>
            <w:rPr>
              <w:color w:val="auto"/>
            </w:rPr>
            <w:fldChar w:fldCharType="begin"/>
          </w:r>
          <w:r>
            <w:rPr>
              <w:color w:val="auto"/>
            </w:rPr>
            <w:instrText xml:space="preserve"> HYPERLINK \l "_Toc8509" </w:instrText>
          </w:r>
          <w:r>
            <w:rPr>
              <w:color w:val="auto"/>
            </w:rPr>
            <w:fldChar w:fldCharType="separate"/>
          </w:r>
          <w:r>
            <w:rPr>
              <w:rFonts w:hint="eastAsia"/>
              <w:color w:val="auto"/>
            </w:rPr>
            <w:t>（二）比赛时间及试题具体内容</w:t>
          </w:r>
          <w:r>
            <w:rPr>
              <w:color w:val="auto"/>
            </w:rPr>
            <w:tab/>
          </w:r>
          <w:r>
            <w:rPr>
              <w:rFonts w:hint="eastAsia"/>
              <w:color w:val="auto"/>
              <w:lang w:val="en-US" w:eastAsia="zh-CN"/>
            </w:rPr>
            <w:t>3</w:t>
          </w:r>
          <w:r>
            <w:rPr>
              <w:color w:val="auto"/>
            </w:rPr>
            <w:fldChar w:fldCharType="end"/>
          </w:r>
        </w:p>
        <w:p w14:paraId="014442BE">
          <w:pPr>
            <w:pStyle w:val="10"/>
            <w:tabs>
              <w:tab w:val="right" w:leader="dot" w:pos="8958"/>
            </w:tabs>
            <w:ind w:left="632"/>
            <w:rPr>
              <w:rFonts w:hint="eastAsia"/>
              <w:color w:val="auto"/>
            </w:rPr>
          </w:pPr>
          <w:r>
            <w:rPr>
              <w:color w:val="auto"/>
            </w:rPr>
            <w:fldChar w:fldCharType="begin"/>
          </w:r>
          <w:r>
            <w:rPr>
              <w:color w:val="auto"/>
            </w:rPr>
            <w:instrText xml:space="preserve"> HYPERLINK \l "_Toc25439" </w:instrText>
          </w:r>
          <w:r>
            <w:rPr>
              <w:color w:val="auto"/>
            </w:rPr>
            <w:fldChar w:fldCharType="separate"/>
          </w:r>
          <w:r>
            <w:rPr>
              <w:rFonts w:hint="eastAsia"/>
              <w:color w:val="auto"/>
            </w:rPr>
            <w:t>（三）评判标准</w:t>
          </w:r>
          <w:r>
            <w:rPr>
              <w:color w:val="auto"/>
            </w:rPr>
            <w:tab/>
          </w:r>
          <w:r>
            <w:rPr>
              <w:rFonts w:hint="eastAsia"/>
              <w:color w:val="auto"/>
              <w:lang w:val="en-US" w:eastAsia="zh-CN"/>
            </w:rPr>
            <w:t>7</w:t>
          </w:r>
          <w:r>
            <w:rPr>
              <w:color w:val="auto"/>
            </w:rPr>
            <w:fldChar w:fldCharType="end"/>
          </w:r>
        </w:p>
        <w:p w14:paraId="6DBA72AE">
          <w:pPr>
            <w:pStyle w:val="9"/>
            <w:tabs>
              <w:tab w:val="right" w:leader="dot" w:pos="8958"/>
            </w:tabs>
            <w:rPr>
              <w:rFonts w:hint="eastAsia" w:eastAsia="仿宋_GB2312"/>
              <w:color w:val="auto"/>
              <w:lang w:val="en-US" w:eastAsia="zh-CN"/>
            </w:rPr>
          </w:pPr>
          <w:r>
            <w:rPr>
              <w:color w:val="auto"/>
            </w:rPr>
            <w:fldChar w:fldCharType="begin"/>
          </w:r>
          <w:r>
            <w:rPr>
              <w:color w:val="auto"/>
            </w:rPr>
            <w:instrText xml:space="preserve"> HYPERLINK \l "_Toc25863" </w:instrText>
          </w:r>
          <w:r>
            <w:rPr>
              <w:color w:val="auto"/>
            </w:rPr>
            <w:fldChar w:fldCharType="separate"/>
          </w:r>
          <w:r>
            <w:rPr>
              <w:rFonts w:hint="eastAsia"/>
              <w:color w:val="auto"/>
            </w:rPr>
            <w:t>三、竞赛细则</w:t>
          </w:r>
          <w:r>
            <w:rPr>
              <w:color w:val="auto"/>
            </w:rPr>
            <w:tab/>
          </w:r>
          <w:r>
            <w:rPr>
              <w:rFonts w:hint="eastAsia"/>
              <w:color w:val="auto"/>
              <w:lang w:val="en-US" w:eastAsia="zh-CN"/>
            </w:rPr>
            <w:t>1</w:t>
          </w:r>
          <w:r>
            <w:rPr>
              <w:color w:val="auto"/>
            </w:rPr>
            <w:fldChar w:fldCharType="end"/>
          </w:r>
          <w:r>
            <w:rPr>
              <w:rFonts w:hint="eastAsia"/>
              <w:color w:val="auto"/>
              <w:lang w:val="en-US" w:eastAsia="zh-CN"/>
            </w:rPr>
            <w:t>1</w:t>
          </w:r>
        </w:p>
        <w:p w14:paraId="426451DB">
          <w:pPr>
            <w:pStyle w:val="10"/>
            <w:tabs>
              <w:tab w:val="right" w:leader="dot" w:pos="8958"/>
            </w:tabs>
            <w:ind w:left="632"/>
            <w:rPr>
              <w:rFonts w:hint="eastAsia" w:eastAsia="仿宋_GB2312"/>
              <w:color w:val="auto"/>
              <w:lang w:val="en-US" w:eastAsia="zh-CN"/>
            </w:rPr>
          </w:pPr>
          <w:r>
            <w:rPr>
              <w:color w:val="auto"/>
            </w:rPr>
            <w:fldChar w:fldCharType="begin"/>
          </w:r>
          <w:r>
            <w:rPr>
              <w:color w:val="auto"/>
            </w:rPr>
            <w:instrText xml:space="preserve"> HYPERLINK \l "_Toc23703" </w:instrText>
          </w:r>
          <w:r>
            <w:rPr>
              <w:color w:val="auto"/>
            </w:rPr>
            <w:fldChar w:fldCharType="separate"/>
          </w:r>
          <w:r>
            <w:rPr>
              <w:rFonts w:hint="eastAsia"/>
              <w:color w:val="auto"/>
            </w:rPr>
            <w:t>（一）比赛流程及时间安排</w:t>
          </w:r>
          <w:r>
            <w:rPr>
              <w:color w:val="auto"/>
            </w:rPr>
            <w:tab/>
          </w:r>
          <w:r>
            <w:rPr>
              <w:rFonts w:hint="eastAsia"/>
              <w:color w:val="auto"/>
              <w:lang w:val="en-US" w:eastAsia="zh-CN"/>
            </w:rPr>
            <w:t>1</w:t>
          </w:r>
          <w:r>
            <w:rPr>
              <w:color w:val="auto"/>
            </w:rPr>
            <w:fldChar w:fldCharType="end"/>
          </w:r>
          <w:r>
            <w:rPr>
              <w:rFonts w:hint="eastAsia"/>
              <w:color w:val="auto"/>
              <w:lang w:val="en-US" w:eastAsia="zh-CN"/>
            </w:rPr>
            <w:t>1</w:t>
          </w:r>
        </w:p>
        <w:p w14:paraId="5956B168">
          <w:pPr>
            <w:pStyle w:val="10"/>
            <w:tabs>
              <w:tab w:val="right" w:leader="dot" w:pos="8958"/>
            </w:tabs>
            <w:ind w:left="632"/>
            <w:rPr>
              <w:rFonts w:hint="eastAsia" w:eastAsia="仿宋_GB2312"/>
              <w:color w:val="auto"/>
              <w:lang w:val="en-US" w:eastAsia="zh-CN"/>
            </w:rPr>
          </w:pPr>
          <w:r>
            <w:rPr>
              <w:color w:val="auto"/>
            </w:rPr>
            <w:fldChar w:fldCharType="begin"/>
          </w:r>
          <w:r>
            <w:rPr>
              <w:color w:val="auto"/>
            </w:rPr>
            <w:instrText xml:space="preserve"> HYPERLINK \l "_Toc16958" </w:instrText>
          </w:r>
          <w:r>
            <w:rPr>
              <w:color w:val="auto"/>
            </w:rPr>
            <w:fldChar w:fldCharType="separate"/>
          </w:r>
          <w:r>
            <w:rPr>
              <w:rFonts w:hint="eastAsia"/>
              <w:color w:val="auto"/>
            </w:rPr>
            <w:t>（二）比赛流程及</w:t>
          </w:r>
          <w:r>
            <w:rPr>
              <w:rFonts w:hint="eastAsia"/>
              <w:color w:val="auto"/>
              <w:lang w:eastAsia="zh-CN"/>
            </w:rPr>
            <w:t>要求</w:t>
          </w:r>
          <w:r>
            <w:rPr>
              <w:color w:val="auto"/>
            </w:rPr>
            <w:tab/>
          </w:r>
          <w:r>
            <w:rPr>
              <w:rFonts w:hint="eastAsia"/>
              <w:color w:val="auto"/>
              <w:lang w:val="en-US" w:eastAsia="zh-CN"/>
            </w:rPr>
            <w:t>1</w:t>
          </w:r>
          <w:r>
            <w:rPr>
              <w:color w:val="auto"/>
            </w:rPr>
            <w:fldChar w:fldCharType="end"/>
          </w:r>
          <w:r>
            <w:rPr>
              <w:rFonts w:hint="eastAsia"/>
              <w:color w:val="auto"/>
              <w:lang w:val="en-US" w:eastAsia="zh-CN"/>
            </w:rPr>
            <w:t>2</w:t>
          </w:r>
        </w:p>
        <w:p w14:paraId="1B42EE22">
          <w:pPr>
            <w:pStyle w:val="9"/>
            <w:tabs>
              <w:tab w:val="right" w:leader="dot" w:pos="8958"/>
            </w:tabs>
            <w:rPr>
              <w:rFonts w:hint="eastAsia"/>
              <w:color w:val="auto"/>
            </w:rPr>
          </w:pPr>
          <w:r>
            <w:rPr>
              <w:color w:val="auto"/>
            </w:rPr>
            <w:fldChar w:fldCharType="begin"/>
          </w:r>
          <w:r>
            <w:rPr>
              <w:color w:val="auto"/>
            </w:rPr>
            <w:instrText xml:space="preserve"> HYPERLINK \l "_Toc9840" </w:instrText>
          </w:r>
          <w:r>
            <w:rPr>
              <w:color w:val="auto"/>
            </w:rPr>
            <w:fldChar w:fldCharType="separate"/>
          </w:r>
          <w:r>
            <w:rPr>
              <w:rFonts w:hint="eastAsia"/>
              <w:color w:val="auto"/>
            </w:rPr>
            <w:t>四、竞赛场地、设施设备等安排</w:t>
          </w:r>
          <w:r>
            <w:rPr>
              <w:color w:val="auto"/>
            </w:rPr>
            <w:tab/>
          </w:r>
          <w:r>
            <w:rPr>
              <w:color w:val="auto"/>
            </w:rPr>
            <w:fldChar w:fldCharType="begin"/>
          </w:r>
          <w:r>
            <w:rPr>
              <w:color w:val="auto"/>
            </w:rPr>
            <w:instrText xml:space="preserve"> PAGEREF _Toc9840 \h </w:instrText>
          </w:r>
          <w:r>
            <w:rPr>
              <w:color w:val="auto"/>
            </w:rPr>
            <w:fldChar w:fldCharType="separate"/>
          </w:r>
          <w:r>
            <w:rPr>
              <w:color w:val="auto"/>
            </w:rPr>
            <w:t>1</w:t>
          </w:r>
          <w:r>
            <w:rPr>
              <w:rFonts w:hint="eastAsia"/>
              <w:color w:val="auto"/>
              <w:lang w:val="en-US" w:eastAsia="zh-CN"/>
            </w:rPr>
            <w:t>4</w:t>
          </w:r>
          <w:r>
            <w:rPr>
              <w:color w:val="auto"/>
            </w:rPr>
            <w:fldChar w:fldCharType="end"/>
          </w:r>
          <w:r>
            <w:rPr>
              <w:color w:val="auto"/>
            </w:rPr>
            <w:fldChar w:fldCharType="end"/>
          </w:r>
        </w:p>
        <w:p w14:paraId="57E3BB3E">
          <w:pPr>
            <w:pStyle w:val="10"/>
            <w:tabs>
              <w:tab w:val="right" w:leader="dot" w:pos="8958"/>
            </w:tabs>
            <w:ind w:left="632"/>
            <w:rPr>
              <w:rFonts w:hint="eastAsia"/>
              <w:color w:val="auto"/>
            </w:rPr>
          </w:pPr>
          <w:r>
            <w:rPr>
              <w:color w:val="auto"/>
            </w:rPr>
            <w:fldChar w:fldCharType="begin"/>
          </w:r>
          <w:r>
            <w:rPr>
              <w:color w:val="auto"/>
            </w:rPr>
            <w:instrText xml:space="preserve"> HYPERLINK \l "_Toc3033" </w:instrText>
          </w:r>
          <w:r>
            <w:rPr>
              <w:color w:val="auto"/>
            </w:rPr>
            <w:fldChar w:fldCharType="separate"/>
          </w:r>
          <w:r>
            <w:rPr>
              <w:rFonts w:hint="eastAsia"/>
              <w:color w:val="auto"/>
            </w:rPr>
            <w:t>（一）赛场规格要求</w:t>
          </w:r>
          <w:r>
            <w:rPr>
              <w:color w:val="auto"/>
            </w:rPr>
            <w:tab/>
          </w:r>
          <w:r>
            <w:rPr>
              <w:color w:val="auto"/>
            </w:rPr>
            <w:fldChar w:fldCharType="begin"/>
          </w:r>
          <w:r>
            <w:rPr>
              <w:color w:val="auto"/>
            </w:rPr>
            <w:instrText xml:space="preserve"> PAGEREF _Toc3033 \h </w:instrText>
          </w:r>
          <w:r>
            <w:rPr>
              <w:color w:val="auto"/>
            </w:rPr>
            <w:fldChar w:fldCharType="separate"/>
          </w:r>
          <w:r>
            <w:rPr>
              <w:color w:val="auto"/>
            </w:rPr>
            <w:t>1</w:t>
          </w:r>
          <w:r>
            <w:rPr>
              <w:rFonts w:hint="eastAsia"/>
              <w:color w:val="auto"/>
              <w:lang w:val="en-US" w:eastAsia="zh-CN"/>
            </w:rPr>
            <w:t>4</w:t>
          </w:r>
          <w:r>
            <w:rPr>
              <w:color w:val="auto"/>
            </w:rPr>
            <w:fldChar w:fldCharType="end"/>
          </w:r>
          <w:r>
            <w:rPr>
              <w:color w:val="auto"/>
            </w:rPr>
            <w:fldChar w:fldCharType="end"/>
          </w:r>
        </w:p>
        <w:p w14:paraId="37066EF3">
          <w:pPr>
            <w:pStyle w:val="10"/>
            <w:tabs>
              <w:tab w:val="right" w:leader="dot" w:pos="8958"/>
            </w:tabs>
            <w:ind w:left="632"/>
            <w:rPr>
              <w:rFonts w:hint="eastAsia"/>
              <w:color w:val="auto"/>
            </w:rPr>
          </w:pPr>
          <w:r>
            <w:rPr>
              <w:color w:val="auto"/>
            </w:rPr>
            <w:fldChar w:fldCharType="begin"/>
          </w:r>
          <w:r>
            <w:rPr>
              <w:color w:val="auto"/>
            </w:rPr>
            <w:instrText xml:space="preserve"> HYPERLINK \l "_Toc29010" </w:instrText>
          </w:r>
          <w:r>
            <w:rPr>
              <w:color w:val="auto"/>
            </w:rPr>
            <w:fldChar w:fldCharType="separate"/>
          </w:r>
          <w:r>
            <w:rPr>
              <w:rFonts w:hint="eastAsia"/>
              <w:color w:val="auto"/>
            </w:rPr>
            <w:t>（二）场地布局图</w:t>
          </w:r>
          <w:r>
            <w:rPr>
              <w:color w:val="auto"/>
            </w:rPr>
            <w:tab/>
          </w:r>
          <w:r>
            <w:rPr>
              <w:color w:val="auto"/>
            </w:rPr>
            <w:fldChar w:fldCharType="begin"/>
          </w:r>
          <w:r>
            <w:rPr>
              <w:color w:val="auto"/>
            </w:rPr>
            <w:instrText xml:space="preserve"> PAGEREF _Toc29010 \h </w:instrText>
          </w:r>
          <w:r>
            <w:rPr>
              <w:color w:val="auto"/>
            </w:rPr>
            <w:fldChar w:fldCharType="separate"/>
          </w:r>
          <w:r>
            <w:rPr>
              <w:color w:val="auto"/>
            </w:rPr>
            <w:t>1</w:t>
          </w:r>
          <w:r>
            <w:rPr>
              <w:rFonts w:hint="eastAsia"/>
              <w:color w:val="auto"/>
              <w:lang w:val="en-US" w:eastAsia="zh-CN"/>
            </w:rPr>
            <w:t>4</w:t>
          </w:r>
          <w:r>
            <w:rPr>
              <w:color w:val="auto"/>
            </w:rPr>
            <w:fldChar w:fldCharType="end"/>
          </w:r>
          <w:r>
            <w:rPr>
              <w:color w:val="auto"/>
            </w:rPr>
            <w:fldChar w:fldCharType="end"/>
          </w:r>
        </w:p>
        <w:p w14:paraId="3E2BE5E8">
          <w:pPr>
            <w:pStyle w:val="10"/>
            <w:tabs>
              <w:tab w:val="right" w:leader="dot" w:pos="8958"/>
            </w:tabs>
            <w:ind w:left="632"/>
            <w:rPr>
              <w:rFonts w:hint="eastAsia"/>
              <w:color w:val="auto"/>
            </w:rPr>
          </w:pPr>
          <w:r>
            <w:rPr>
              <w:color w:val="auto"/>
            </w:rPr>
            <w:fldChar w:fldCharType="begin"/>
          </w:r>
          <w:r>
            <w:rPr>
              <w:color w:val="auto"/>
            </w:rPr>
            <w:instrText xml:space="preserve"> HYPERLINK \l "_Toc23743" </w:instrText>
          </w:r>
          <w:r>
            <w:rPr>
              <w:color w:val="auto"/>
            </w:rPr>
            <w:fldChar w:fldCharType="separate"/>
          </w:r>
          <w:r>
            <w:rPr>
              <w:rFonts w:hint="eastAsia"/>
              <w:color w:val="auto"/>
            </w:rPr>
            <w:t>（三）基础设施清单</w:t>
          </w:r>
          <w:r>
            <w:rPr>
              <w:color w:val="auto"/>
            </w:rPr>
            <w:tab/>
          </w:r>
          <w:r>
            <w:rPr>
              <w:color w:val="auto"/>
            </w:rPr>
            <w:fldChar w:fldCharType="begin"/>
          </w:r>
          <w:r>
            <w:rPr>
              <w:color w:val="auto"/>
            </w:rPr>
            <w:instrText xml:space="preserve"> PAGEREF _Toc23743 \h </w:instrText>
          </w:r>
          <w:r>
            <w:rPr>
              <w:color w:val="auto"/>
            </w:rPr>
            <w:fldChar w:fldCharType="separate"/>
          </w:r>
          <w:r>
            <w:rPr>
              <w:color w:val="auto"/>
            </w:rPr>
            <w:t>1</w:t>
          </w:r>
          <w:r>
            <w:rPr>
              <w:rFonts w:hint="eastAsia"/>
              <w:color w:val="auto"/>
              <w:lang w:val="en-US" w:eastAsia="zh-CN"/>
            </w:rPr>
            <w:t>4</w:t>
          </w:r>
          <w:r>
            <w:rPr>
              <w:color w:val="auto"/>
            </w:rPr>
            <w:fldChar w:fldCharType="end"/>
          </w:r>
          <w:r>
            <w:rPr>
              <w:color w:val="auto"/>
            </w:rPr>
            <w:fldChar w:fldCharType="end"/>
          </w:r>
        </w:p>
        <w:p w14:paraId="0EEBDA37">
          <w:pPr>
            <w:pStyle w:val="9"/>
            <w:tabs>
              <w:tab w:val="right" w:leader="dot" w:pos="8958"/>
            </w:tabs>
            <w:rPr>
              <w:rFonts w:hint="eastAsia"/>
              <w:color w:val="auto"/>
            </w:rPr>
          </w:pPr>
          <w:r>
            <w:rPr>
              <w:color w:val="auto"/>
            </w:rPr>
            <w:fldChar w:fldCharType="begin"/>
          </w:r>
          <w:r>
            <w:rPr>
              <w:color w:val="auto"/>
            </w:rPr>
            <w:instrText xml:space="preserve"> HYPERLINK \l "_Toc28702" </w:instrText>
          </w:r>
          <w:r>
            <w:rPr>
              <w:color w:val="auto"/>
            </w:rPr>
            <w:fldChar w:fldCharType="separate"/>
          </w:r>
          <w:r>
            <w:rPr>
              <w:rFonts w:hint="eastAsia"/>
              <w:color w:val="auto"/>
            </w:rPr>
            <w:t>五、其他</w:t>
          </w:r>
          <w:r>
            <w:rPr>
              <w:color w:val="auto"/>
            </w:rPr>
            <w:tab/>
          </w:r>
          <w:r>
            <w:rPr>
              <w:color w:val="auto"/>
            </w:rPr>
            <w:fldChar w:fldCharType="begin"/>
          </w:r>
          <w:r>
            <w:rPr>
              <w:color w:val="auto"/>
            </w:rPr>
            <w:instrText xml:space="preserve"> PAGEREF _Toc28702 \h </w:instrText>
          </w:r>
          <w:r>
            <w:rPr>
              <w:color w:val="auto"/>
            </w:rPr>
            <w:fldChar w:fldCharType="separate"/>
          </w:r>
          <w:r>
            <w:rPr>
              <w:color w:val="auto"/>
            </w:rPr>
            <w:t>1</w:t>
          </w:r>
          <w:r>
            <w:rPr>
              <w:rFonts w:hint="eastAsia"/>
              <w:color w:val="auto"/>
              <w:lang w:val="en-US" w:eastAsia="zh-CN"/>
            </w:rPr>
            <w:t>5</w:t>
          </w:r>
          <w:r>
            <w:rPr>
              <w:color w:val="auto"/>
            </w:rPr>
            <w:fldChar w:fldCharType="end"/>
          </w:r>
          <w:r>
            <w:rPr>
              <w:color w:val="auto"/>
            </w:rPr>
            <w:fldChar w:fldCharType="end"/>
          </w:r>
        </w:p>
        <w:p w14:paraId="76122871">
          <w:pPr>
            <w:pStyle w:val="10"/>
            <w:tabs>
              <w:tab w:val="right" w:leader="dot" w:pos="8958"/>
            </w:tabs>
            <w:ind w:left="632"/>
            <w:rPr>
              <w:rFonts w:hint="eastAsia"/>
              <w:color w:val="auto"/>
            </w:rPr>
          </w:pPr>
          <w:r>
            <w:rPr>
              <w:color w:val="auto"/>
            </w:rPr>
            <w:fldChar w:fldCharType="begin"/>
          </w:r>
          <w:r>
            <w:rPr>
              <w:color w:val="auto"/>
            </w:rPr>
            <w:instrText xml:space="preserve"> HYPERLINK \l "_Toc31102" </w:instrText>
          </w:r>
          <w:r>
            <w:rPr>
              <w:color w:val="auto"/>
            </w:rPr>
            <w:fldChar w:fldCharType="separate"/>
          </w:r>
          <w:r>
            <w:rPr>
              <w:rFonts w:hint="eastAsia"/>
              <w:color w:val="auto"/>
            </w:rPr>
            <w:t>（一）比赛器材与装备</w:t>
          </w:r>
          <w:r>
            <w:rPr>
              <w:color w:val="auto"/>
            </w:rPr>
            <w:tab/>
          </w:r>
          <w:r>
            <w:rPr>
              <w:color w:val="auto"/>
            </w:rPr>
            <w:fldChar w:fldCharType="begin"/>
          </w:r>
          <w:r>
            <w:rPr>
              <w:color w:val="auto"/>
            </w:rPr>
            <w:instrText xml:space="preserve"> PAGEREF _Toc31102 \h </w:instrText>
          </w:r>
          <w:r>
            <w:rPr>
              <w:color w:val="auto"/>
            </w:rPr>
            <w:fldChar w:fldCharType="separate"/>
          </w:r>
          <w:r>
            <w:rPr>
              <w:color w:val="auto"/>
            </w:rPr>
            <w:t>1</w:t>
          </w:r>
          <w:r>
            <w:rPr>
              <w:rFonts w:hint="eastAsia"/>
              <w:color w:val="auto"/>
              <w:lang w:val="en-US" w:eastAsia="zh-CN"/>
            </w:rPr>
            <w:t>5</w:t>
          </w:r>
          <w:r>
            <w:rPr>
              <w:color w:val="auto"/>
            </w:rPr>
            <w:fldChar w:fldCharType="end"/>
          </w:r>
          <w:r>
            <w:rPr>
              <w:color w:val="auto"/>
            </w:rPr>
            <w:fldChar w:fldCharType="end"/>
          </w:r>
        </w:p>
        <w:p w14:paraId="6AB122E4">
          <w:pPr>
            <w:pStyle w:val="10"/>
            <w:tabs>
              <w:tab w:val="right" w:leader="dot" w:pos="8958"/>
            </w:tabs>
            <w:ind w:left="632"/>
            <w:rPr>
              <w:rFonts w:hint="eastAsia"/>
              <w:color w:val="auto"/>
            </w:rPr>
          </w:pPr>
          <w:r>
            <w:rPr>
              <w:color w:val="auto"/>
            </w:rPr>
            <w:fldChar w:fldCharType="begin"/>
          </w:r>
          <w:r>
            <w:rPr>
              <w:color w:val="auto"/>
            </w:rPr>
            <w:instrText xml:space="preserve"> HYPERLINK \l "_Toc1431" </w:instrText>
          </w:r>
          <w:r>
            <w:rPr>
              <w:color w:val="auto"/>
            </w:rPr>
            <w:fldChar w:fldCharType="separate"/>
          </w:r>
          <w:r>
            <w:rPr>
              <w:rFonts w:hint="eastAsia"/>
              <w:color w:val="auto"/>
            </w:rPr>
            <w:t>（二）保险</w:t>
          </w:r>
          <w:r>
            <w:rPr>
              <w:color w:val="auto"/>
            </w:rPr>
            <w:tab/>
          </w:r>
          <w:r>
            <w:rPr>
              <w:color w:val="auto"/>
            </w:rPr>
            <w:fldChar w:fldCharType="begin"/>
          </w:r>
          <w:r>
            <w:rPr>
              <w:color w:val="auto"/>
            </w:rPr>
            <w:instrText xml:space="preserve"> PAGEREF _Toc1431 \h </w:instrText>
          </w:r>
          <w:r>
            <w:rPr>
              <w:color w:val="auto"/>
            </w:rPr>
            <w:fldChar w:fldCharType="separate"/>
          </w:r>
          <w:r>
            <w:rPr>
              <w:color w:val="auto"/>
            </w:rPr>
            <w:t>1</w:t>
          </w:r>
          <w:r>
            <w:rPr>
              <w:rFonts w:hint="eastAsia"/>
              <w:color w:val="auto"/>
              <w:lang w:val="en-US" w:eastAsia="zh-CN"/>
            </w:rPr>
            <w:t>5</w:t>
          </w:r>
          <w:r>
            <w:rPr>
              <w:color w:val="auto"/>
            </w:rPr>
            <w:fldChar w:fldCharType="end"/>
          </w:r>
          <w:r>
            <w:rPr>
              <w:color w:val="auto"/>
            </w:rPr>
            <w:fldChar w:fldCharType="end"/>
          </w:r>
        </w:p>
        <w:p w14:paraId="26FAD439">
          <w:pPr>
            <w:pStyle w:val="10"/>
            <w:tabs>
              <w:tab w:val="right" w:leader="dot" w:pos="8958"/>
            </w:tabs>
            <w:ind w:left="632"/>
            <w:rPr>
              <w:rFonts w:hint="eastAsia"/>
              <w:color w:val="auto"/>
            </w:rPr>
          </w:pPr>
          <w:r>
            <w:rPr>
              <w:color w:val="auto"/>
            </w:rPr>
            <w:fldChar w:fldCharType="begin"/>
          </w:r>
          <w:r>
            <w:rPr>
              <w:color w:val="auto"/>
            </w:rPr>
            <w:instrText xml:space="preserve"> HYPERLINK \l "_Toc20623" </w:instrText>
          </w:r>
          <w:r>
            <w:rPr>
              <w:color w:val="auto"/>
            </w:rPr>
            <w:fldChar w:fldCharType="separate"/>
          </w:r>
          <w:r>
            <w:rPr>
              <w:rFonts w:hint="eastAsia"/>
              <w:color w:val="auto"/>
            </w:rPr>
            <w:t>（三）前期准备</w:t>
          </w:r>
          <w:r>
            <w:rPr>
              <w:color w:val="auto"/>
            </w:rPr>
            <w:tab/>
          </w:r>
          <w:r>
            <w:rPr>
              <w:color w:val="auto"/>
            </w:rPr>
            <w:fldChar w:fldCharType="begin"/>
          </w:r>
          <w:r>
            <w:rPr>
              <w:color w:val="auto"/>
            </w:rPr>
            <w:instrText xml:space="preserve"> PAGEREF _Toc20623 \h </w:instrText>
          </w:r>
          <w:r>
            <w:rPr>
              <w:color w:val="auto"/>
            </w:rPr>
            <w:fldChar w:fldCharType="separate"/>
          </w:r>
          <w:r>
            <w:rPr>
              <w:color w:val="auto"/>
            </w:rPr>
            <w:t>1</w:t>
          </w:r>
          <w:r>
            <w:rPr>
              <w:rFonts w:hint="eastAsia"/>
              <w:color w:val="auto"/>
              <w:lang w:val="en-US" w:eastAsia="zh-CN"/>
            </w:rPr>
            <w:t>5</w:t>
          </w:r>
          <w:r>
            <w:rPr>
              <w:color w:val="auto"/>
            </w:rPr>
            <w:fldChar w:fldCharType="end"/>
          </w:r>
          <w:r>
            <w:rPr>
              <w:color w:val="auto"/>
            </w:rPr>
            <w:fldChar w:fldCharType="end"/>
          </w:r>
        </w:p>
        <w:p w14:paraId="5CBB6B18">
          <w:pPr>
            <w:pStyle w:val="10"/>
            <w:tabs>
              <w:tab w:val="right" w:leader="dot" w:pos="8958"/>
            </w:tabs>
            <w:ind w:left="632"/>
            <w:rPr>
              <w:rFonts w:hint="eastAsia"/>
              <w:color w:val="auto"/>
            </w:rPr>
          </w:pPr>
          <w:r>
            <w:rPr>
              <w:color w:val="auto"/>
            </w:rPr>
            <w:fldChar w:fldCharType="begin"/>
          </w:r>
          <w:r>
            <w:rPr>
              <w:color w:val="auto"/>
            </w:rPr>
            <w:instrText xml:space="preserve"> HYPERLINK \l "_Toc10763" </w:instrText>
          </w:r>
          <w:r>
            <w:rPr>
              <w:color w:val="auto"/>
            </w:rPr>
            <w:fldChar w:fldCharType="separate"/>
          </w:r>
          <w:r>
            <w:rPr>
              <w:rFonts w:hint="eastAsia"/>
              <w:color w:val="auto"/>
            </w:rPr>
            <w:t>（四）竞赛解释权</w:t>
          </w:r>
          <w:r>
            <w:rPr>
              <w:color w:val="auto"/>
            </w:rPr>
            <w:tab/>
          </w:r>
          <w:r>
            <w:rPr>
              <w:color w:val="auto"/>
            </w:rPr>
            <w:fldChar w:fldCharType="begin"/>
          </w:r>
          <w:r>
            <w:rPr>
              <w:color w:val="auto"/>
            </w:rPr>
            <w:instrText xml:space="preserve"> PAGEREF _Toc10763 \h </w:instrText>
          </w:r>
          <w:r>
            <w:rPr>
              <w:color w:val="auto"/>
            </w:rPr>
            <w:fldChar w:fldCharType="separate"/>
          </w:r>
          <w:r>
            <w:rPr>
              <w:color w:val="auto"/>
            </w:rPr>
            <w:t>1</w:t>
          </w:r>
          <w:r>
            <w:rPr>
              <w:rFonts w:hint="eastAsia"/>
              <w:color w:val="auto"/>
              <w:lang w:val="en-US" w:eastAsia="zh-CN"/>
            </w:rPr>
            <w:t>6</w:t>
          </w:r>
          <w:r>
            <w:rPr>
              <w:color w:val="auto"/>
            </w:rPr>
            <w:fldChar w:fldCharType="end"/>
          </w:r>
          <w:r>
            <w:rPr>
              <w:color w:val="auto"/>
            </w:rPr>
            <w:fldChar w:fldCharType="end"/>
          </w:r>
        </w:p>
        <w:p w14:paraId="0EE3BDC2">
          <w:pPr>
            <w:pStyle w:val="9"/>
            <w:tabs>
              <w:tab w:val="right" w:leader="dot" w:pos="8958"/>
            </w:tabs>
            <w:rPr>
              <w:rFonts w:hint="eastAsia"/>
              <w:color w:val="auto"/>
            </w:rPr>
          </w:pPr>
          <w:r>
            <w:rPr>
              <w:color w:val="auto"/>
            </w:rPr>
            <w:fldChar w:fldCharType="begin"/>
          </w:r>
          <w:r>
            <w:rPr>
              <w:color w:val="auto"/>
            </w:rPr>
            <w:instrText xml:space="preserve"> HYPERLINK \l "_Toc5597" </w:instrText>
          </w:r>
          <w:r>
            <w:rPr>
              <w:color w:val="auto"/>
            </w:rPr>
            <w:fldChar w:fldCharType="separate"/>
          </w:r>
          <w:r>
            <w:rPr>
              <w:rFonts w:hint="eastAsia"/>
              <w:color w:val="auto"/>
            </w:rPr>
            <w:t>六、安全、健康要求</w:t>
          </w:r>
          <w:r>
            <w:rPr>
              <w:color w:val="auto"/>
            </w:rPr>
            <w:tab/>
          </w:r>
          <w:r>
            <w:rPr>
              <w:color w:val="auto"/>
            </w:rPr>
            <w:fldChar w:fldCharType="begin"/>
          </w:r>
          <w:r>
            <w:rPr>
              <w:color w:val="auto"/>
            </w:rPr>
            <w:instrText xml:space="preserve"> PAGEREF _Toc5597 \h </w:instrText>
          </w:r>
          <w:r>
            <w:rPr>
              <w:color w:val="auto"/>
            </w:rPr>
            <w:fldChar w:fldCharType="separate"/>
          </w:r>
          <w:r>
            <w:rPr>
              <w:color w:val="auto"/>
            </w:rPr>
            <w:t>1</w:t>
          </w:r>
          <w:r>
            <w:rPr>
              <w:rFonts w:hint="eastAsia"/>
              <w:color w:val="auto"/>
              <w:lang w:val="en-US" w:eastAsia="zh-CN"/>
            </w:rPr>
            <w:t>6</w:t>
          </w:r>
          <w:r>
            <w:rPr>
              <w:color w:val="auto"/>
            </w:rPr>
            <w:fldChar w:fldCharType="end"/>
          </w:r>
          <w:r>
            <w:rPr>
              <w:color w:val="auto"/>
            </w:rPr>
            <w:fldChar w:fldCharType="end"/>
          </w:r>
        </w:p>
        <w:p w14:paraId="0BA44FA8">
          <w:pPr>
            <w:pStyle w:val="10"/>
            <w:tabs>
              <w:tab w:val="right" w:leader="dot" w:pos="8958"/>
            </w:tabs>
            <w:ind w:left="632"/>
            <w:rPr>
              <w:rFonts w:hint="eastAsia"/>
              <w:color w:val="auto"/>
            </w:rPr>
          </w:pPr>
          <w:r>
            <w:rPr>
              <w:color w:val="auto"/>
            </w:rPr>
            <w:fldChar w:fldCharType="begin"/>
          </w:r>
          <w:r>
            <w:rPr>
              <w:color w:val="auto"/>
            </w:rPr>
            <w:instrText xml:space="preserve"> HYPERLINK \l "_Toc13123" </w:instrText>
          </w:r>
          <w:r>
            <w:rPr>
              <w:color w:val="auto"/>
            </w:rPr>
            <w:fldChar w:fldCharType="separate"/>
          </w:r>
          <w:r>
            <w:rPr>
              <w:rFonts w:hint="eastAsia"/>
              <w:color w:val="auto"/>
            </w:rPr>
            <w:t>（一）选手安全防护要求</w:t>
          </w:r>
          <w:r>
            <w:rPr>
              <w:color w:val="auto"/>
            </w:rPr>
            <w:tab/>
          </w:r>
          <w:r>
            <w:rPr>
              <w:color w:val="auto"/>
            </w:rPr>
            <w:fldChar w:fldCharType="begin"/>
          </w:r>
          <w:r>
            <w:rPr>
              <w:color w:val="auto"/>
            </w:rPr>
            <w:instrText xml:space="preserve"> PAGEREF _Toc13123 \h </w:instrText>
          </w:r>
          <w:r>
            <w:rPr>
              <w:color w:val="auto"/>
            </w:rPr>
            <w:fldChar w:fldCharType="separate"/>
          </w:r>
          <w:r>
            <w:rPr>
              <w:color w:val="auto"/>
            </w:rPr>
            <w:t>1</w:t>
          </w:r>
          <w:r>
            <w:rPr>
              <w:rFonts w:hint="eastAsia"/>
              <w:color w:val="auto"/>
              <w:lang w:val="en-US" w:eastAsia="zh-CN"/>
            </w:rPr>
            <w:t>6</w:t>
          </w:r>
          <w:r>
            <w:rPr>
              <w:color w:val="auto"/>
            </w:rPr>
            <w:fldChar w:fldCharType="end"/>
          </w:r>
          <w:r>
            <w:rPr>
              <w:color w:val="auto"/>
            </w:rPr>
            <w:fldChar w:fldCharType="end"/>
          </w:r>
        </w:p>
        <w:p w14:paraId="2B80935C">
          <w:pPr>
            <w:pStyle w:val="10"/>
            <w:tabs>
              <w:tab w:val="right" w:leader="dot" w:pos="8958"/>
            </w:tabs>
            <w:ind w:left="632"/>
            <w:rPr>
              <w:rFonts w:hint="eastAsia"/>
              <w:color w:val="auto"/>
            </w:rPr>
          </w:pPr>
          <w:r>
            <w:rPr>
              <w:color w:val="auto"/>
            </w:rPr>
            <w:fldChar w:fldCharType="begin"/>
          </w:r>
          <w:r>
            <w:rPr>
              <w:color w:val="auto"/>
            </w:rPr>
            <w:instrText xml:space="preserve"> HYPERLINK \l "_Toc7023" </w:instrText>
          </w:r>
          <w:r>
            <w:rPr>
              <w:color w:val="auto"/>
            </w:rPr>
            <w:fldChar w:fldCharType="separate"/>
          </w:r>
          <w:r>
            <w:rPr>
              <w:rFonts w:hint="eastAsia"/>
              <w:color w:val="auto"/>
            </w:rPr>
            <w:t>（二）赛事安全要求</w:t>
          </w:r>
          <w:r>
            <w:rPr>
              <w:color w:val="auto"/>
            </w:rPr>
            <w:tab/>
          </w:r>
          <w:r>
            <w:rPr>
              <w:color w:val="auto"/>
            </w:rPr>
            <w:fldChar w:fldCharType="begin"/>
          </w:r>
          <w:r>
            <w:rPr>
              <w:color w:val="auto"/>
            </w:rPr>
            <w:instrText xml:space="preserve"> PAGEREF _Toc7023 \h </w:instrText>
          </w:r>
          <w:r>
            <w:rPr>
              <w:color w:val="auto"/>
            </w:rPr>
            <w:fldChar w:fldCharType="separate"/>
          </w:r>
          <w:r>
            <w:rPr>
              <w:color w:val="auto"/>
            </w:rPr>
            <w:t>1</w:t>
          </w:r>
          <w:r>
            <w:rPr>
              <w:rFonts w:hint="eastAsia"/>
              <w:color w:val="auto"/>
              <w:lang w:val="en-US" w:eastAsia="zh-CN"/>
            </w:rPr>
            <w:t>6</w:t>
          </w:r>
          <w:r>
            <w:rPr>
              <w:color w:val="auto"/>
            </w:rPr>
            <w:fldChar w:fldCharType="end"/>
          </w:r>
          <w:r>
            <w:rPr>
              <w:color w:val="auto"/>
            </w:rPr>
            <w:fldChar w:fldCharType="end"/>
          </w:r>
        </w:p>
        <w:p w14:paraId="1D937EEC">
          <w:pPr>
            <w:pStyle w:val="10"/>
            <w:tabs>
              <w:tab w:val="right" w:leader="dot" w:pos="8958"/>
            </w:tabs>
            <w:ind w:left="632"/>
            <w:rPr>
              <w:rFonts w:hint="eastAsia"/>
              <w:color w:val="auto"/>
            </w:rPr>
          </w:pPr>
          <w:r>
            <w:rPr>
              <w:color w:val="auto"/>
            </w:rPr>
            <w:fldChar w:fldCharType="begin"/>
          </w:r>
          <w:r>
            <w:rPr>
              <w:color w:val="auto"/>
            </w:rPr>
            <w:instrText xml:space="preserve"> HYPERLINK \l "_Toc14599" </w:instrText>
          </w:r>
          <w:r>
            <w:rPr>
              <w:color w:val="auto"/>
            </w:rPr>
            <w:fldChar w:fldCharType="separate"/>
          </w:r>
          <w:r>
            <w:rPr>
              <w:rFonts w:hint="eastAsia"/>
              <w:color w:val="auto"/>
            </w:rPr>
            <w:t>（三）赛场要求</w:t>
          </w:r>
          <w:r>
            <w:rPr>
              <w:color w:val="auto"/>
            </w:rPr>
            <w:tab/>
          </w:r>
          <w:r>
            <w:rPr>
              <w:color w:val="auto"/>
            </w:rPr>
            <w:fldChar w:fldCharType="begin"/>
          </w:r>
          <w:r>
            <w:rPr>
              <w:color w:val="auto"/>
            </w:rPr>
            <w:instrText xml:space="preserve"> PAGEREF _Toc14599 \h </w:instrText>
          </w:r>
          <w:r>
            <w:rPr>
              <w:color w:val="auto"/>
            </w:rPr>
            <w:fldChar w:fldCharType="separate"/>
          </w:r>
          <w:r>
            <w:rPr>
              <w:color w:val="auto"/>
            </w:rPr>
            <w:t>1</w:t>
          </w:r>
          <w:r>
            <w:rPr>
              <w:rFonts w:hint="eastAsia"/>
              <w:color w:val="auto"/>
              <w:lang w:val="en-US" w:eastAsia="zh-CN"/>
            </w:rPr>
            <w:t>6</w:t>
          </w:r>
          <w:r>
            <w:rPr>
              <w:color w:val="auto"/>
            </w:rPr>
            <w:fldChar w:fldCharType="end"/>
          </w:r>
          <w:r>
            <w:rPr>
              <w:color w:val="auto"/>
            </w:rPr>
            <w:fldChar w:fldCharType="end"/>
          </w:r>
        </w:p>
        <w:p w14:paraId="56EA8281">
          <w:pPr>
            <w:pStyle w:val="10"/>
            <w:tabs>
              <w:tab w:val="right" w:leader="dot" w:pos="8958"/>
            </w:tabs>
            <w:ind w:left="632"/>
            <w:rPr>
              <w:rFonts w:hint="eastAsia"/>
              <w:color w:val="auto"/>
            </w:rPr>
          </w:pPr>
          <w:r>
            <w:rPr>
              <w:color w:val="auto"/>
            </w:rPr>
            <w:fldChar w:fldCharType="begin"/>
          </w:r>
          <w:r>
            <w:rPr>
              <w:color w:val="auto"/>
            </w:rPr>
            <w:instrText xml:space="preserve"> HYPERLINK \l "_Toc22618" </w:instrText>
          </w:r>
          <w:r>
            <w:rPr>
              <w:color w:val="auto"/>
            </w:rPr>
            <w:fldChar w:fldCharType="separate"/>
          </w:r>
          <w:r>
            <w:rPr>
              <w:rFonts w:hint="eastAsia"/>
              <w:color w:val="auto"/>
            </w:rPr>
            <w:t>（四）绿色环保要求</w:t>
          </w:r>
          <w:r>
            <w:rPr>
              <w:color w:val="auto"/>
            </w:rPr>
            <w:tab/>
          </w:r>
          <w:r>
            <w:rPr>
              <w:color w:val="auto"/>
            </w:rPr>
            <w:fldChar w:fldCharType="begin"/>
          </w:r>
          <w:r>
            <w:rPr>
              <w:color w:val="auto"/>
            </w:rPr>
            <w:instrText xml:space="preserve"> PAGEREF _Toc22618 \h </w:instrText>
          </w:r>
          <w:r>
            <w:rPr>
              <w:color w:val="auto"/>
            </w:rPr>
            <w:fldChar w:fldCharType="separate"/>
          </w:r>
          <w:r>
            <w:rPr>
              <w:color w:val="auto"/>
            </w:rPr>
            <w:t>1</w:t>
          </w:r>
          <w:r>
            <w:rPr>
              <w:rFonts w:hint="eastAsia"/>
              <w:color w:val="auto"/>
              <w:lang w:val="en-US" w:eastAsia="zh-CN"/>
            </w:rPr>
            <w:t>7</w:t>
          </w:r>
          <w:r>
            <w:rPr>
              <w:color w:val="auto"/>
            </w:rPr>
            <w:fldChar w:fldCharType="end"/>
          </w:r>
          <w:r>
            <w:rPr>
              <w:color w:val="auto"/>
            </w:rPr>
            <w:fldChar w:fldCharType="end"/>
          </w:r>
        </w:p>
        <w:p w14:paraId="0FC558F9">
          <w:pPr>
            <w:jc w:val="center"/>
            <w:rPr>
              <w:rFonts w:hint="eastAsia"/>
              <w:color w:val="auto"/>
            </w:rPr>
          </w:pPr>
          <w:r>
            <w:rPr>
              <w:rFonts w:hint="eastAsia"/>
              <w:b/>
              <w:color w:val="auto"/>
            </w:rPr>
            <w:fldChar w:fldCharType="end"/>
          </w:r>
        </w:p>
      </w:sdtContent>
    </w:sdt>
    <w:p w14:paraId="3CBA51DF">
      <w:pPr>
        <w:pStyle w:val="2"/>
        <w:rPr>
          <w:color w:val="auto"/>
        </w:rPr>
        <w:sectPr>
          <w:headerReference r:id="rId3" w:type="default"/>
          <w:footerReference r:id="rId4" w:type="default"/>
          <w:pgSz w:w="11906" w:h="16838"/>
          <w:pgMar w:top="1928" w:right="1474" w:bottom="1814" w:left="1474" w:header="851" w:footer="1531" w:gutter="0"/>
          <w:pgNumType w:start="1"/>
          <w:cols w:space="425" w:num="1"/>
          <w:docGrid w:type="linesAndChars" w:linePitch="595" w:charSpace="-849"/>
        </w:sectPr>
      </w:pPr>
    </w:p>
    <w:p w14:paraId="31F03C58">
      <w:pPr>
        <w:pStyle w:val="2"/>
        <w:ind w:firstLine="948" w:firstLineChars="300"/>
        <w:rPr>
          <w:color w:val="auto"/>
        </w:rPr>
      </w:pPr>
      <w:bookmarkStart w:id="0" w:name="_Toc11818"/>
      <w:r>
        <w:rPr>
          <w:color w:val="auto"/>
        </w:rPr>
        <w:t>一、技术描述</w:t>
      </w:r>
      <w:bookmarkEnd w:id="0"/>
    </w:p>
    <w:p w14:paraId="2F139CB2">
      <w:pPr>
        <w:pStyle w:val="3"/>
        <w:ind w:firstLine="634"/>
        <w:rPr>
          <w:b w:val="0"/>
          <w:bCs/>
          <w:color w:val="auto"/>
        </w:rPr>
      </w:pPr>
      <w:bookmarkStart w:id="1" w:name="_Toc1242"/>
      <w:bookmarkStart w:id="2" w:name="_Toc17339"/>
      <w:r>
        <w:rPr>
          <w:rFonts w:hint="eastAsia"/>
          <w:b w:val="0"/>
          <w:bCs/>
          <w:color w:val="auto"/>
        </w:rPr>
        <w:t>（一）项目概要</w:t>
      </w:r>
      <w:bookmarkEnd w:id="1"/>
      <w:bookmarkEnd w:id="2"/>
    </w:p>
    <w:p w14:paraId="35612F58">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社会体育指导（健身）职业</w:t>
      </w:r>
    </w:p>
    <w:p w14:paraId="7BBE1D06">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是指在健身俱乐部、工作室、体能馆或其它健身场所中指导大众健身者进行训练的专业技术人员，其职业具有专业性、互动性、针对性等特点。因其职责中具有提供科学有效的训练方法、正确的训练技巧指导、提供基本安全保障和运动风险防范，且在相对短的时间内达到大众健身者预期训练目标等因素，因此健身教练职业的技术包括教练自身体能、专业理论应用、大众运动心理及基本医学常识等几方面。</w:t>
      </w:r>
    </w:p>
    <w:p w14:paraId="747DA427">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因此健身教练职业技能竞赛则须从职业者的体能、理论技能及沟通技能这三个重点加以测评。在竞赛中，体能竞赛比拼的是选手的力量、耐力、心肺功能、速度、爆发力等综合身体素质，选手需要通过最短时间完成一系列规定数量、规定负荷、规定标准的技术动作作为竞赛名次的依据。理论和沟通技能比赛则是选手根据组委会所要求设计科学且符合训练者心理的教学方案和训练计划，并能通过讲解和评审答辩获得综合评价。</w:t>
      </w:r>
    </w:p>
    <w:p w14:paraId="3EC11023">
      <w:pPr>
        <w:spacing w:line="560" w:lineRule="exact"/>
        <w:rPr>
          <w:rFonts w:hAnsi="Times New Roman" w:eastAsia="楷体_GB2312" w:cs="方正楷体_GBK"/>
          <w:b/>
          <w:bCs/>
          <w:color w:val="auto"/>
          <w:szCs w:val="20"/>
        </w:rPr>
        <w:sectPr>
          <w:footerReference r:id="rId5" w:type="default"/>
          <w:pgSz w:w="11906" w:h="16838"/>
          <w:pgMar w:top="1928" w:right="1474" w:bottom="1814" w:left="1474" w:header="851" w:footer="1531" w:gutter="0"/>
          <w:pgNumType w:start="1"/>
          <w:cols w:space="425" w:num="1"/>
          <w:docGrid w:type="linesAndChars" w:linePitch="595" w:charSpace="-849"/>
        </w:sectPr>
      </w:pPr>
    </w:p>
    <w:p w14:paraId="5D0052F9">
      <w:pPr>
        <w:pStyle w:val="3"/>
        <w:ind w:firstLine="634"/>
        <w:rPr>
          <w:b w:val="0"/>
          <w:bCs/>
          <w:color w:val="auto"/>
        </w:rPr>
      </w:pPr>
      <w:bookmarkStart w:id="3" w:name="_Toc23237"/>
      <w:bookmarkStart w:id="4" w:name="_Toc1248"/>
      <w:r>
        <w:rPr>
          <w:rFonts w:hint="eastAsia"/>
          <w:b w:val="0"/>
          <w:bCs/>
          <w:color w:val="auto"/>
        </w:rPr>
        <w:t>（二）基本知识及能力要求</w:t>
      </w:r>
      <w:bookmarkEnd w:id="3"/>
      <w:bookmarkEnd w:id="4"/>
    </w:p>
    <w:tbl>
      <w:tblPr>
        <w:tblStyle w:val="12"/>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197"/>
        <w:gridCol w:w="2174"/>
      </w:tblGrid>
      <w:tr w14:paraId="38720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2" w:type="dxa"/>
            <w:gridSpan w:val="2"/>
            <w:tcBorders>
              <w:top w:val="single" w:color="auto" w:sz="4" w:space="0"/>
              <w:left w:val="single" w:color="auto" w:sz="4" w:space="0"/>
              <w:bottom w:val="single" w:color="auto" w:sz="4" w:space="0"/>
              <w:right w:val="single" w:color="auto" w:sz="4" w:space="0"/>
            </w:tcBorders>
            <w:vAlign w:val="center"/>
          </w:tcPr>
          <w:p w14:paraId="6EDFD974">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相关要求</w:t>
            </w:r>
          </w:p>
        </w:tc>
        <w:tc>
          <w:tcPr>
            <w:tcW w:w="2174" w:type="dxa"/>
            <w:tcBorders>
              <w:top w:val="single" w:color="auto" w:sz="4" w:space="0"/>
              <w:left w:val="single" w:color="auto" w:sz="4" w:space="0"/>
              <w:bottom w:val="single" w:color="auto" w:sz="4" w:space="0"/>
              <w:right w:val="single" w:color="auto" w:sz="4" w:space="0"/>
            </w:tcBorders>
            <w:vAlign w:val="center"/>
          </w:tcPr>
          <w:p w14:paraId="131E98F7">
            <w:pPr>
              <w:spacing w:line="560" w:lineRule="exact"/>
              <w:jc w:val="center"/>
              <w:rPr>
                <w:rFonts w:hint="eastAsia" w:ascii="仿宋" w:hAnsi="仿宋" w:eastAsia="仿宋" w:cs="仿宋"/>
                <w:color w:val="auto"/>
                <w:sz w:val="36"/>
                <w:szCs w:val="36"/>
              </w:rPr>
            </w:pPr>
            <w:r>
              <w:rPr>
                <w:rFonts w:hint="eastAsia" w:ascii="仿宋" w:hAnsi="仿宋" w:eastAsia="仿宋" w:cs="仿宋"/>
                <w:color w:val="auto"/>
                <w:szCs w:val="32"/>
              </w:rPr>
              <w:t>权重比例（%）</w:t>
            </w:r>
          </w:p>
        </w:tc>
      </w:tr>
      <w:tr w14:paraId="015A8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45774AD">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1</w:t>
            </w:r>
          </w:p>
        </w:tc>
        <w:tc>
          <w:tcPr>
            <w:tcW w:w="5197" w:type="dxa"/>
            <w:tcBorders>
              <w:top w:val="single" w:color="auto" w:sz="4" w:space="0"/>
              <w:left w:val="single" w:color="auto" w:sz="4" w:space="0"/>
              <w:bottom w:val="single" w:color="auto" w:sz="4" w:space="0"/>
              <w:right w:val="single" w:color="auto" w:sz="4" w:space="0"/>
            </w:tcBorders>
            <w:vAlign w:val="center"/>
          </w:tcPr>
          <w:p w14:paraId="45CD6C3C">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体能及动作技能</w:t>
            </w:r>
          </w:p>
        </w:tc>
        <w:tc>
          <w:tcPr>
            <w:tcW w:w="2174" w:type="dxa"/>
            <w:vMerge w:val="restart"/>
            <w:tcBorders>
              <w:top w:val="single" w:color="auto" w:sz="4" w:space="0"/>
              <w:left w:val="single" w:color="auto" w:sz="4" w:space="0"/>
              <w:bottom w:val="single" w:color="auto" w:sz="4" w:space="0"/>
              <w:right w:val="single" w:color="auto" w:sz="4" w:space="0"/>
            </w:tcBorders>
            <w:vAlign w:val="center"/>
          </w:tcPr>
          <w:p w14:paraId="77250C10">
            <w:pPr>
              <w:spacing w:line="560" w:lineRule="exact"/>
              <w:jc w:val="center"/>
              <w:rPr>
                <w:rFonts w:hint="eastAsia" w:ascii="仿宋" w:hAnsi="仿宋" w:eastAsia="仿宋" w:cs="仿宋"/>
                <w:color w:val="auto"/>
                <w:sz w:val="36"/>
                <w:szCs w:val="36"/>
              </w:rPr>
            </w:pPr>
            <w:r>
              <w:rPr>
                <w:rFonts w:hint="eastAsia" w:ascii="仿宋" w:hAnsi="仿宋" w:eastAsia="仿宋" w:cs="仿宋"/>
                <w:color w:val="auto"/>
                <w:szCs w:val="32"/>
              </w:rPr>
              <w:t>50</w:t>
            </w:r>
          </w:p>
        </w:tc>
      </w:tr>
      <w:tr w14:paraId="0FE9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CE17FD2">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基本知识</w:t>
            </w:r>
          </w:p>
        </w:tc>
        <w:tc>
          <w:tcPr>
            <w:tcW w:w="5197" w:type="dxa"/>
            <w:tcBorders>
              <w:top w:val="single" w:color="auto" w:sz="4" w:space="0"/>
              <w:left w:val="single" w:color="auto" w:sz="4" w:space="0"/>
              <w:bottom w:val="single" w:color="auto" w:sz="4" w:space="0"/>
              <w:right w:val="single" w:color="auto" w:sz="4" w:space="0"/>
            </w:tcBorders>
            <w:vAlign w:val="center"/>
          </w:tcPr>
          <w:p w14:paraId="4D1ACE59">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—动作熟练度及精准度</w:t>
            </w:r>
          </w:p>
          <w:p w14:paraId="5093D597">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—健身指导理论</w:t>
            </w:r>
          </w:p>
          <w:p w14:paraId="464C6965">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—运动解剖学及人体力学</w:t>
            </w:r>
          </w:p>
        </w:tc>
        <w:tc>
          <w:tcPr>
            <w:tcW w:w="2174" w:type="dxa"/>
            <w:vMerge w:val="continue"/>
            <w:tcBorders>
              <w:top w:val="single" w:color="auto" w:sz="4" w:space="0"/>
              <w:left w:val="single" w:color="auto" w:sz="4" w:space="0"/>
              <w:bottom w:val="single" w:color="auto" w:sz="4" w:space="0"/>
              <w:right w:val="single" w:color="auto" w:sz="4" w:space="0"/>
            </w:tcBorders>
            <w:vAlign w:val="center"/>
          </w:tcPr>
          <w:p w14:paraId="7F665B04">
            <w:pPr>
              <w:spacing w:line="560" w:lineRule="exact"/>
              <w:jc w:val="center"/>
              <w:rPr>
                <w:rFonts w:hint="eastAsia" w:ascii="仿宋" w:hAnsi="仿宋" w:eastAsia="仿宋" w:cs="仿宋"/>
                <w:color w:val="auto"/>
                <w:sz w:val="36"/>
                <w:szCs w:val="36"/>
                <w:lang w:val="en-GB"/>
              </w:rPr>
            </w:pPr>
          </w:p>
        </w:tc>
      </w:tr>
      <w:tr w14:paraId="17B9C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5A2787DF">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工作能力</w:t>
            </w:r>
          </w:p>
        </w:tc>
        <w:tc>
          <w:tcPr>
            <w:tcW w:w="5197" w:type="dxa"/>
            <w:tcBorders>
              <w:top w:val="single" w:color="auto" w:sz="4" w:space="0"/>
              <w:left w:val="single" w:color="auto" w:sz="4" w:space="0"/>
              <w:bottom w:val="single" w:color="auto" w:sz="4" w:space="0"/>
              <w:right w:val="single" w:color="auto" w:sz="4" w:space="0"/>
            </w:tcBorders>
            <w:vAlign w:val="center"/>
          </w:tcPr>
          <w:p w14:paraId="73A2EB16">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—自身身体功能及体能</w:t>
            </w:r>
          </w:p>
          <w:p w14:paraId="7F16A40D">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—动作指导能力和技术流程</w:t>
            </w:r>
          </w:p>
          <w:p w14:paraId="7C044FB1">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—运动防损意识</w:t>
            </w:r>
          </w:p>
        </w:tc>
        <w:tc>
          <w:tcPr>
            <w:tcW w:w="2174" w:type="dxa"/>
            <w:vMerge w:val="continue"/>
            <w:tcBorders>
              <w:top w:val="single" w:color="auto" w:sz="4" w:space="0"/>
              <w:left w:val="single" w:color="auto" w:sz="4" w:space="0"/>
              <w:bottom w:val="single" w:color="auto" w:sz="4" w:space="0"/>
              <w:right w:val="single" w:color="auto" w:sz="4" w:space="0"/>
            </w:tcBorders>
            <w:vAlign w:val="center"/>
          </w:tcPr>
          <w:p w14:paraId="68F4E8B1">
            <w:pPr>
              <w:spacing w:line="560" w:lineRule="exact"/>
              <w:jc w:val="center"/>
              <w:rPr>
                <w:rFonts w:hint="eastAsia" w:ascii="仿宋" w:hAnsi="仿宋" w:eastAsia="仿宋" w:cs="仿宋"/>
                <w:color w:val="auto"/>
                <w:sz w:val="36"/>
                <w:szCs w:val="36"/>
                <w:lang w:val="en-GB"/>
              </w:rPr>
            </w:pPr>
          </w:p>
        </w:tc>
      </w:tr>
      <w:tr w14:paraId="372F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7C13177B">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2</w:t>
            </w:r>
          </w:p>
        </w:tc>
        <w:tc>
          <w:tcPr>
            <w:tcW w:w="5197" w:type="dxa"/>
            <w:tcBorders>
              <w:top w:val="single" w:color="auto" w:sz="4" w:space="0"/>
              <w:left w:val="single" w:color="auto" w:sz="4" w:space="0"/>
              <w:bottom w:val="single" w:color="auto" w:sz="4" w:space="0"/>
              <w:right w:val="single" w:color="auto" w:sz="4" w:space="0"/>
            </w:tcBorders>
            <w:vAlign w:val="center"/>
          </w:tcPr>
          <w:p w14:paraId="12B8B3FC">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健身理论及计划设计</w:t>
            </w:r>
          </w:p>
        </w:tc>
        <w:tc>
          <w:tcPr>
            <w:tcW w:w="2174" w:type="dxa"/>
            <w:vMerge w:val="restart"/>
            <w:tcBorders>
              <w:top w:val="single" w:color="auto" w:sz="4" w:space="0"/>
              <w:left w:val="single" w:color="auto" w:sz="4" w:space="0"/>
              <w:right w:val="single" w:color="auto" w:sz="4" w:space="0"/>
            </w:tcBorders>
            <w:vAlign w:val="center"/>
          </w:tcPr>
          <w:p w14:paraId="29322B0C">
            <w:pPr>
              <w:spacing w:line="560" w:lineRule="exact"/>
              <w:jc w:val="center"/>
              <w:rPr>
                <w:rFonts w:hint="eastAsia" w:ascii="仿宋" w:hAnsi="仿宋" w:eastAsia="仿宋" w:cs="仿宋"/>
                <w:color w:val="auto"/>
                <w:sz w:val="36"/>
                <w:szCs w:val="36"/>
              </w:rPr>
            </w:pPr>
            <w:r>
              <w:rPr>
                <w:rFonts w:hint="eastAsia" w:ascii="仿宋" w:hAnsi="仿宋" w:eastAsia="仿宋" w:cs="仿宋"/>
                <w:color w:val="auto"/>
                <w:szCs w:val="32"/>
              </w:rPr>
              <w:t>30</w:t>
            </w:r>
          </w:p>
        </w:tc>
      </w:tr>
      <w:tr w14:paraId="67504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555" w:type="dxa"/>
            <w:tcBorders>
              <w:top w:val="single" w:color="auto" w:sz="4" w:space="0"/>
              <w:left w:val="single" w:color="auto" w:sz="4" w:space="0"/>
              <w:right w:val="single" w:color="auto" w:sz="4" w:space="0"/>
            </w:tcBorders>
            <w:vAlign w:val="center"/>
          </w:tcPr>
          <w:p w14:paraId="1396CDE0">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基本知识</w:t>
            </w:r>
          </w:p>
        </w:tc>
        <w:tc>
          <w:tcPr>
            <w:tcW w:w="5197" w:type="dxa"/>
            <w:tcBorders>
              <w:top w:val="single" w:color="auto" w:sz="4" w:space="0"/>
              <w:left w:val="single" w:color="auto" w:sz="4" w:space="0"/>
              <w:right w:val="single" w:color="auto" w:sz="4" w:space="0"/>
            </w:tcBorders>
            <w:vAlign w:val="center"/>
          </w:tcPr>
          <w:p w14:paraId="5B37AA4F">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—运动训练理论</w:t>
            </w:r>
          </w:p>
          <w:p w14:paraId="55A9BC8B">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—大众健康健身理论</w:t>
            </w:r>
          </w:p>
          <w:p w14:paraId="6F056FA3">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—大众健身人群计划设计实践</w:t>
            </w:r>
          </w:p>
          <w:p w14:paraId="7EF2E7F0">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—体态健康及身体功能恢复理论</w:t>
            </w:r>
          </w:p>
          <w:p w14:paraId="19FB5CD2">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—运动防损理论及安全使用设备的原则</w:t>
            </w:r>
          </w:p>
          <w:p w14:paraId="718DF4A2">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—大众体育运动项目的体能理论与实践</w:t>
            </w:r>
          </w:p>
          <w:p w14:paraId="60FB19DC">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—保持和更新知识库的重要性</w:t>
            </w:r>
          </w:p>
        </w:tc>
        <w:tc>
          <w:tcPr>
            <w:tcW w:w="2174" w:type="dxa"/>
            <w:vMerge w:val="continue"/>
            <w:tcBorders>
              <w:left w:val="single" w:color="auto" w:sz="4" w:space="0"/>
              <w:right w:val="single" w:color="auto" w:sz="4" w:space="0"/>
            </w:tcBorders>
            <w:vAlign w:val="center"/>
          </w:tcPr>
          <w:p w14:paraId="09D4B9F1">
            <w:pPr>
              <w:spacing w:line="560" w:lineRule="exact"/>
              <w:jc w:val="center"/>
              <w:rPr>
                <w:rFonts w:hAnsi="Times New Roman"/>
                <w:color w:val="auto"/>
                <w:sz w:val="28"/>
                <w:szCs w:val="28"/>
                <w:lang w:val="en-GB"/>
              </w:rPr>
            </w:pPr>
          </w:p>
        </w:tc>
      </w:tr>
      <w:tr w14:paraId="4A247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0FB0BA13">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工作能力</w:t>
            </w:r>
          </w:p>
        </w:tc>
        <w:tc>
          <w:tcPr>
            <w:tcW w:w="5197" w:type="dxa"/>
            <w:tcBorders>
              <w:top w:val="single" w:color="auto" w:sz="4" w:space="0"/>
              <w:left w:val="single" w:color="auto" w:sz="4" w:space="0"/>
              <w:bottom w:val="single" w:color="auto" w:sz="4" w:space="0"/>
              <w:right w:val="single" w:color="auto" w:sz="4" w:space="0"/>
            </w:tcBorders>
            <w:vAlign w:val="center"/>
          </w:tcPr>
          <w:p w14:paraId="3BB0FA2C">
            <w:pPr>
              <w:spacing w:line="560" w:lineRule="exact"/>
              <w:rPr>
                <w:rFonts w:hint="eastAsia" w:ascii="仿宋" w:hAnsi="仿宋" w:eastAsia="仿宋" w:cs="仿宋"/>
                <w:color w:val="auto"/>
                <w:szCs w:val="32"/>
              </w:rPr>
            </w:pPr>
            <w:r>
              <w:rPr>
                <w:rFonts w:hint="eastAsia" w:ascii="仿宋" w:hAnsi="仿宋" w:eastAsia="仿宋" w:cs="仿宋"/>
                <w:color w:val="auto"/>
                <w:szCs w:val="32"/>
              </w:rPr>
              <w:t>—训练目标提供建议和指导</w:t>
            </w:r>
          </w:p>
          <w:p w14:paraId="6D18FD51">
            <w:pPr>
              <w:spacing w:line="560" w:lineRule="exact"/>
              <w:rPr>
                <w:rFonts w:hint="eastAsia" w:ascii="仿宋" w:hAnsi="仿宋" w:eastAsia="仿宋" w:cs="仿宋"/>
                <w:color w:val="auto"/>
                <w:szCs w:val="32"/>
              </w:rPr>
            </w:pPr>
            <w:r>
              <w:rPr>
                <w:rFonts w:hint="eastAsia" w:ascii="仿宋" w:hAnsi="仿宋" w:eastAsia="仿宋" w:cs="仿宋"/>
                <w:color w:val="auto"/>
                <w:szCs w:val="32"/>
              </w:rPr>
              <w:t>—能够全面而正确的对训练者做出评估</w:t>
            </w:r>
          </w:p>
          <w:p w14:paraId="1D54B3A9">
            <w:pPr>
              <w:spacing w:line="560" w:lineRule="exact"/>
              <w:rPr>
                <w:rFonts w:hint="eastAsia" w:ascii="仿宋" w:hAnsi="仿宋" w:eastAsia="仿宋" w:cs="仿宋"/>
                <w:color w:val="auto"/>
                <w:szCs w:val="32"/>
              </w:rPr>
            </w:pPr>
            <w:r>
              <w:rPr>
                <w:rFonts w:hint="eastAsia" w:ascii="仿宋" w:hAnsi="仿宋" w:eastAsia="仿宋" w:cs="仿宋"/>
                <w:color w:val="auto"/>
                <w:szCs w:val="32"/>
              </w:rPr>
              <w:t>—根据训练目标和评估报告设计科学有效的训练计划</w:t>
            </w:r>
          </w:p>
          <w:p w14:paraId="42EA6F40">
            <w:pPr>
              <w:spacing w:line="560" w:lineRule="exact"/>
              <w:rPr>
                <w:rFonts w:hint="eastAsia" w:ascii="仿宋" w:hAnsi="仿宋" w:eastAsia="仿宋" w:cs="仿宋"/>
                <w:color w:val="auto"/>
                <w:szCs w:val="32"/>
              </w:rPr>
            </w:pPr>
            <w:r>
              <w:rPr>
                <w:rFonts w:hint="eastAsia" w:ascii="仿宋" w:hAnsi="仿宋" w:eastAsia="仿宋" w:cs="仿宋"/>
                <w:color w:val="auto"/>
                <w:szCs w:val="32"/>
              </w:rPr>
              <w:t>—能正确掌握形体、体态、功能、运动专项体能等训练需求</w:t>
            </w:r>
          </w:p>
        </w:tc>
        <w:tc>
          <w:tcPr>
            <w:tcW w:w="2174" w:type="dxa"/>
            <w:vMerge w:val="continue"/>
            <w:tcBorders>
              <w:left w:val="single" w:color="auto" w:sz="4" w:space="0"/>
              <w:bottom w:val="single" w:color="auto" w:sz="4" w:space="0"/>
              <w:right w:val="single" w:color="auto" w:sz="4" w:space="0"/>
            </w:tcBorders>
            <w:vAlign w:val="center"/>
          </w:tcPr>
          <w:p w14:paraId="571D4201">
            <w:pPr>
              <w:spacing w:line="560" w:lineRule="exact"/>
              <w:jc w:val="center"/>
              <w:rPr>
                <w:rFonts w:hAnsi="Times New Roman"/>
                <w:color w:val="auto"/>
                <w:sz w:val="28"/>
                <w:szCs w:val="28"/>
                <w:lang w:val="en-GB"/>
              </w:rPr>
            </w:pPr>
          </w:p>
        </w:tc>
      </w:tr>
      <w:tr w14:paraId="575C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B004A06">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3</w:t>
            </w:r>
          </w:p>
        </w:tc>
        <w:tc>
          <w:tcPr>
            <w:tcW w:w="5197" w:type="dxa"/>
            <w:tcBorders>
              <w:top w:val="single" w:color="auto" w:sz="4" w:space="0"/>
              <w:left w:val="single" w:color="auto" w:sz="4" w:space="0"/>
              <w:bottom w:val="single" w:color="auto" w:sz="4" w:space="0"/>
              <w:right w:val="single" w:color="auto" w:sz="4" w:space="0"/>
            </w:tcBorders>
            <w:vAlign w:val="center"/>
          </w:tcPr>
          <w:p w14:paraId="4A130FFD">
            <w:pPr>
              <w:spacing w:line="560" w:lineRule="exact"/>
              <w:jc w:val="both"/>
              <w:rPr>
                <w:rFonts w:hint="eastAsia" w:ascii="仿宋" w:hAnsi="仿宋" w:eastAsia="仿宋" w:cs="仿宋"/>
                <w:color w:val="auto"/>
                <w:szCs w:val="32"/>
              </w:rPr>
            </w:pPr>
            <w:r>
              <w:rPr>
                <w:rFonts w:hint="eastAsia" w:ascii="仿宋" w:hAnsi="仿宋" w:eastAsia="仿宋" w:cs="仿宋"/>
                <w:color w:val="auto"/>
                <w:szCs w:val="32"/>
              </w:rPr>
              <w:t>运动心理及沟通能力</w:t>
            </w:r>
          </w:p>
        </w:tc>
        <w:tc>
          <w:tcPr>
            <w:tcW w:w="2174" w:type="dxa"/>
            <w:vMerge w:val="restart"/>
            <w:tcBorders>
              <w:top w:val="single" w:color="auto" w:sz="4" w:space="0"/>
              <w:left w:val="single" w:color="auto" w:sz="4" w:space="0"/>
              <w:bottom w:val="single" w:color="auto" w:sz="4" w:space="0"/>
              <w:right w:val="single" w:color="auto" w:sz="4" w:space="0"/>
            </w:tcBorders>
            <w:vAlign w:val="center"/>
          </w:tcPr>
          <w:p w14:paraId="27DB4BA9">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20</w:t>
            </w:r>
          </w:p>
        </w:tc>
      </w:tr>
      <w:tr w14:paraId="73D7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1292647">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基本知识</w:t>
            </w:r>
          </w:p>
        </w:tc>
        <w:tc>
          <w:tcPr>
            <w:tcW w:w="5197" w:type="dxa"/>
            <w:tcBorders>
              <w:top w:val="single" w:color="auto" w:sz="4" w:space="0"/>
              <w:left w:val="single" w:color="auto" w:sz="4" w:space="0"/>
              <w:bottom w:val="single" w:color="auto" w:sz="4" w:space="0"/>
              <w:right w:val="single" w:color="auto" w:sz="4" w:space="0"/>
            </w:tcBorders>
          </w:tcPr>
          <w:p w14:paraId="4F3A9F62">
            <w:pPr>
              <w:spacing w:line="560" w:lineRule="exact"/>
              <w:rPr>
                <w:rFonts w:hint="eastAsia" w:ascii="仿宋" w:hAnsi="仿宋" w:eastAsia="仿宋" w:cs="仿宋"/>
                <w:color w:val="auto"/>
                <w:szCs w:val="32"/>
              </w:rPr>
            </w:pPr>
            <w:r>
              <w:rPr>
                <w:rFonts w:hint="eastAsia" w:ascii="仿宋" w:hAnsi="仿宋" w:eastAsia="仿宋" w:cs="仿宋"/>
                <w:color w:val="auto"/>
                <w:szCs w:val="32"/>
              </w:rPr>
              <w:t>—训练者运动心理</w:t>
            </w:r>
          </w:p>
          <w:p w14:paraId="15F672A4">
            <w:pPr>
              <w:spacing w:line="560" w:lineRule="exact"/>
              <w:rPr>
                <w:rFonts w:hint="eastAsia" w:ascii="仿宋" w:hAnsi="仿宋" w:eastAsia="仿宋" w:cs="仿宋"/>
                <w:color w:val="auto"/>
                <w:szCs w:val="32"/>
              </w:rPr>
            </w:pPr>
            <w:r>
              <w:rPr>
                <w:rFonts w:hint="eastAsia" w:ascii="仿宋" w:hAnsi="仿宋" w:eastAsia="仿宋" w:cs="仿宋"/>
                <w:color w:val="auto"/>
                <w:szCs w:val="32"/>
              </w:rPr>
              <w:t>—交流与沟通技巧</w:t>
            </w:r>
          </w:p>
        </w:tc>
        <w:tc>
          <w:tcPr>
            <w:tcW w:w="2174" w:type="dxa"/>
            <w:vMerge w:val="continue"/>
            <w:tcBorders>
              <w:top w:val="single" w:color="auto" w:sz="4" w:space="0"/>
              <w:left w:val="single" w:color="auto" w:sz="4" w:space="0"/>
              <w:bottom w:val="single" w:color="auto" w:sz="4" w:space="0"/>
              <w:right w:val="single" w:color="auto" w:sz="4" w:space="0"/>
            </w:tcBorders>
            <w:vAlign w:val="center"/>
          </w:tcPr>
          <w:p w14:paraId="12BC2007">
            <w:pPr>
              <w:spacing w:line="560" w:lineRule="exact"/>
              <w:jc w:val="center"/>
              <w:rPr>
                <w:rFonts w:hint="eastAsia" w:ascii="仿宋" w:hAnsi="仿宋" w:eastAsia="仿宋" w:cs="仿宋"/>
                <w:color w:val="auto"/>
                <w:szCs w:val="32"/>
                <w:lang w:val="en-GB"/>
              </w:rPr>
            </w:pPr>
          </w:p>
        </w:tc>
      </w:tr>
      <w:tr w14:paraId="33CA6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3640142">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工作能力</w:t>
            </w:r>
          </w:p>
        </w:tc>
        <w:tc>
          <w:tcPr>
            <w:tcW w:w="5197" w:type="dxa"/>
            <w:tcBorders>
              <w:top w:val="single" w:color="auto" w:sz="4" w:space="0"/>
              <w:left w:val="single" w:color="auto" w:sz="4" w:space="0"/>
              <w:bottom w:val="single" w:color="auto" w:sz="4" w:space="0"/>
              <w:right w:val="single" w:color="auto" w:sz="4" w:space="0"/>
            </w:tcBorders>
          </w:tcPr>
          <w:p w14:paraId="4A00F976">
            <w:pPr>
              <w:spacing w:line="560" w:lineRule="exact"/>
              <w:jc w:val="left"/>
              <w:rPr>
                <w:rFonts w:hint="eastAsia" w:ascii="仿宋" w:hAnsi="仿宋" w:eastAsia="仿宋" w:cs="仿宋"/>
                <w:color w:val="auto"/>
                <w:szCs w:val="32"/>
              </w:rPr>
            </w:pPr>
            <w:r>
              <w:rPr>
                <w:rFonts w:hint="eastAsia" w:ascii="仿宋" w:hAnsi="仿宋" w:eastAsia="仿宋" w:cs="仿宋"/>
                <w:color w:val="auto"/>
                <w:szCs w:val="32"/>
              </w:rPr>
              <w:t>—清晰表达训练计划的目的、意图和益处—建立和维护客户信心和信任的重要性</w:t>
            </w:r>
          </w:p>
          <w:p w14:paraId="5954B3BD">
            <w:pPr>
              <w:spacing w:line="560" w:lineRule="exact"/>
              <w:rPr>
                <w:rFonts w:hint="eastAsia" w:ascii="仿宋" w:hAnsi="仿宋" w:eastAsia="仿宋" w:cs="仿宋"/>
                <w:color w:val="auto"/>
                <w:szCs w:val="32"/>
              </w:rPr>
            </w:pPr>
            <w:r>
              <w:rPr>
                <w:rFonts w:hint="eastAsia" w:ascii="仿宋" w:hAnsi="仿宋" w:eastAsia="仿宋" w:cs="仿宋"/>
                <w:color w:val="auto"/>
                <w:szCs w:val="32"/>
              </w:rPr>
              <w:t>—解释客户需求并积极管理客户期望</w:t>
            </w:r>
          </w:p>
        </w:tc>
        <w:tc>
          <w:tcPr>
            <w:tcW w:w="2174" w:type="dxa"/>
            <w:vMerge w:val="continue"/>
            <w:tcBorders>
              <w:top w:val="single" w:color="auto" w:sz="4" w:space="0"/>
              <w:left w:val="single" w:color="auto" w:sz="4" w:space="0"/>
              <w:bottom w:val="single" w:color="auto" w:sz="4" w:space="0"/>
              <w:right w:val="single" w:color="auto" w:sz="4" w:space="0"/>
            </w:tcBorders>
            <w:vAlign w:val="center"/>
          </w:tcPr>
          <w:p w14:paraId="4A05E1B1">
            <w:pPr>
              <w:spacing w:line="560" w:lineRule="exact"/>
              <w:jc w:val="center"/>
              <w:rPr>
                <w:rFonts w:hint="eastAsia" w:ascii="仿宋" w:hAnsi="仿宋" w:eastAsia="仿宋" w:cs="仿宋"/>
                <w:color w:val="auto"/>
                <w:szCs w:val="32"/>
                <w:lang w:val="en-GB"/>
              </w:rPr>
            </w:pPr>
          </w:p>
        </w:tc>
      </w:tr>
      <w:tr w14:paraId="4E4D1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1B2DB3CC">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合计</w:t>
            </w:r>
          </w:p>
        </w:tc>
        <w:tc>
          <w:tcPr>
            <w:tcW w:w="5197" w:type="dxa"/>
            <w:tcBorders>
              <w:top w:val="single" w:color="auto" w:sz="4" w:space="0"/>
              <w:left w:val="single" w:color="auto" w:sz="4" w:space="0"/>
              <w:bottom w:val="single" w:color="auto" w:sz="4" w:space="0"/>
              <w:right w:val="single" w:color="auto" w:sz="4" w:space="0"/>
            </w:tcBorders>
            <w:vAlign w:val="center"/>
          </w:tcPr>
          <w:p w14:paraId="6E882EF7">
            <w:pPr>
              <w:spacing w:line="560" w:lineRule="exact"/>
              <w:rPr>
                <w:rFonts w:hint="eastAsia" w:ascii="仿宋" w:hAnsi="仿宋" w:eastAsia="仿宋" w:cs="仿宋"/>
                <w:color w:val="auto"/>
                <w:szCs w:val="32"/>
              </w:rPr>
            </w:pPr>
          </w:p>
        </w:tc>
        <w:tc>
          <w:tcPr>
            <w:tcW w:w="2174" w:type="dxa"/>
            <w:tcBorders>
              <w:top w:val="single" w:color="auto" w:sz="4" w:space="0"/>
              <w:left w:val="single" w:color="auto" w:sz="4" w:space="0"/>
              <w:bottom w:val="single" w:color="auto" w:sz="4" w:space="0"/>
              <w:right w:val="single" w:color="auto" w:sz="4" w:space="0"/>
            </w:tcBorders>
            <w:vAlign w:val="center"/>
          </w:tcPr>
          <w:p w14:paraId="67138030">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100</w:t>
            </w:r>
          </w:p>
        </w:tc>
      </w:tr>
    </w:tbl>
    <w:p w14:paraId="695F9AF3">
      <w:pPr>
        <w:pStyle w:val="2"/>
        <w:ind w:firstLine="632" w:firstLineChars="200"/>
        <w:rPr>
          <w:bCs w:val="0"/>
          <w:color w:val="auto"/>
        </w:rPr>
      </w:pPr>
      <w:bookmarkStart w:id="5" w:name="_Toc30552"/>
      <w:bookmarkStart w:id="6" w:name="_Toc28806"/>
      <w:r>
        <w:rPr>
          <w:bCs w:val="0"/>
          <w:color w:val="auto"/>
        </w:rPr>
        <w:t>二、试题及评判标准</w:t>
      </w:r>
      <w:bookmarkEnd w:id="5"/>
      <w:bookmarkEnd w:id="6"/>
    </w:p>
    <w:p w14:paraId="36564641">
      <w:pPr>
        <w:pStyle w:val="3"/>
        <w:ind w:firstLine="634"/>
        <w:rPr>
          <w:b w:val="0"/>
          <w:bCs/>
          <w:color w:val="auto"/>
        </w:rPr>
      </w:pPr>
      <w:bookmarkStart w:id="7" w:name="_Toc23528"/>
      <w:bookmarkStart w:id="8" w:name="_Toc3048"/>
      <w:r>
        <w:rPr>
          <w:rFonts w:hint="eastAsia"/>
          <w:b w:val="0"/>
          <w:bCs/>
          <w:color w:val="auto"/>
        </w:rPr>
        <w:t>（一）</w:t>
      </w:r>
      <w:bookmarkEnd w:id="7"/>
      <w:r>
        <w:rPr>
          <w:rFonts w:hint="eastAsia"/>
          <w:b w:val="0"/>
          <w:bCs/>
          <w:color w:val="auto"/>
        </w:rPr>
        <w:t>试题（样题）</w:t>
      </w:r>
      <w:bookmarkEnd w:id="8"/>
    </w:p>
    <w:p w14:paraId="4304A2BC">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本次比赛包括三个模块：</w:t>
      </w:r>
    </w:p>
    <w:p w14:paraId="50D18452">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1.模块A：个人体能赛</w:t>
      </w:r>
    </w:p>
    <w:p w14:paraId="210E8DE5">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现场布置赛道，选手需要连续完成有数量和动作标准要求的六个动作并计时，时间最短者为优胜，进入复赛。动作包括：折返跑（速度）、壶铃推肩（力量、爆发）、杠铃硬拉（力量）、跨栏跳加立卧撑（心肺功能、敏捷）、速度划船（心肺功能）、翻轮胎（力量、耐力、爆发、速度），男女选手执行不同的负荷和数量标准，比分同等计算。</w:t>
      </w:r>
    </w:p>
    <w:p w14:paraId="1B14F354">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2.模块B：方案设计赛</w:t>
      </w:r>
    </w:p>
    <w:p w14:paraId="3CBC0FE5">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选手根据个人真实案例设计训练计划，并由裁判组评分，组委会根据名次确定进入决赛选手。选手提交训练计划中包括：训练目标分析、客户评估、阶段训练目标、阶段性测试、每阶段三篇训练日志等内容。</w:t>
      </w:r>
    </w:p>
    <w:p w14:paraId="43060B82">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3.模块C：动作路演赛</w:t>
      </w:r>
    </w:p>
    <w:p w14:paraId="6FD90C95">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组委会通过前两轮晋级的选手进入决赛阶段，要求选手详细讲解自己设计的训练计划，说明训练目的、阶段目标、评估结果、训练大纲设计及部分方案，最后由裁判团提出问题，现场答辩。裁判团根据选手路演和答辩的表现、准确性、职业感等方面做出判断并赋分，判断最终优胜者。</w:t>
      </w:r>
    </w:p>
    <w:p w14:paraId="1347D12F">
      <w:pPr>
        <w:pStyle w:val="3"/>
        <w:ind w:firstLine="634"/>
        <w:rPr>
          <w:b w:val="0"/>
          <w:bCs/>
          <w:color w:val="auto"/>
        </w:rPr>
      </w:pPr>
      <w:bookmarkStart w:id="9" w:name="_Toc31295"/>
      <w:bookmarkStart w:id="10" w:name="_Toc8509"/>
      <w:r>
        <w:rPr>
          <w:rFonts w:hint="eastAsia"/>
          <w:b w:val="0"/>
          <w:bCs/>
          <w:color w:val="auto"/>
        </w:rPr>
        <w:t>（二）比赛时间及试题具体内容</w:t>
      </w:r>
      <w:bookmarkEnd w:id="9"/>
      <w:bookmarkEnd w:id="10"/>
    </w:p>
    <w:p w14:paraId="2F20BA3A">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1.比赛时间安排</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0"/>
        <w:gridCol w:w="3686"/>
        <w:gridCol w:w="1978"/>
      </w:tblGrid>
      <w:tr w14:paraId="56F3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7BF21B5A">
            <w:pPr>
              <w:spacing w:line="560" w:lineRule="exact"/>
              <w:rPr>
                <w:rFonts w:hint="eastAsia" w:ascii="仿宋" w:hAnsi="仿宋" w:eastAsia="仿宋" w:cs="仿宋"/>
                <w:color w:val="auto"/>
                <w:szCs w:val="32"/>
              </w:rPr>
            </w:pPr>
            <w:r>
              <w:rPr>
                <w:rFonts w:hint="eastAsia" w:ascii="仿宋" w:hAnsi="仿宋" w:eastAsia="仿宋" w:cs="仿宋"/>
                <w:color w:val="auto"/>
                <w:szCs w:val="32"/>
              </w:rPr>
              <w:t>模块</w:t>
            </w:r>
          </w:p>
        </w:tc>
        <w:tc>
          <w:tcPr>
            <w:tcW w:w="3686" w:type="dxa"/>
          </w:tcPr>
          <w:p w14:paraId="4973D308">
            <w:pPr>
              <w:spacing w:line="560" w:lineRule="exact"/>
              <w:rPr>
                <w:rFonts w:hint="eastAsia" w:ascii="仿宋" w:hAnsi="仿宋" w:eastAsia="仿宋" w:cs="仿宋"/>
                <w:color w:val="auto"/>
                <w:szCs w:val="32"/>
              </w:rPr>
            </w:pPr>
            <w:r>
              <w:rPr>
                <w:rFonts w:hint="eastAsia" w:ascii="仿宋" w:hAnsi="仿宋" w:eastAsia="仿宋" w:cs="仿宋"/>
                <w:color w:val="auto"/>
                <w:szCs w:val="32"/>
              </w:rPr>
              <w:t>内容</w:t>
            </w:r>
          </w:p>
        </w:tc>
        <w:tc>
          <w:tcPr>
            <w:tcW w:w="1978" w:type="dxa"/>
          </w:tcPr>
          <w:p w14:paraId="4E4FA26E">
            <w:pPr>
              <w:spacing w:line="560" w:lineRule="exact"/>
              <w:rPr>
                <w:rFonts w:hint="eastAsia" w:ascii="仿宋" w:hAnsi="仿宋" w:eastAsia="仿宋" w:cs="仿宋"/>
                <w:color w:val="auto"/>
                <w:szCs w:val="32"/>
              </w:rPr>
            </w:pPr>
            <w:r>
              <w:rPr>
                <w:rFonts w:hint="eastAsia" w:ascii="仿宋" w:hAnsi="仿宋" w:eastAsia="仿宋" w:cs="仿宋"/>
                <w:color w:val="auto"/>
                <w:szCs w:val="32"/>
              </w:rPr>
              <w:t>时长</w:t>
            </w:r>
          </w:p>
        </w:tc>
      </w:tr>
      <w:tr w14:paraId="19DB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6A434998">
            <w:pPr>
              <w:spacing w:line="560" w:lineRule="exact"/>
              <w:rPr>
                <w:rFonts w:hint="eastAsia" w:ascii="仿宋" w:hAnsi="仿宋" w:eastAsia="仿宋" w:cs="仿宋"/>
                <w:color w:val="auto"/>
                <w:szCs w:val="32"/>
              </w:rPr>
            </w:pPr>
            <w:r>
              <w:rPr>
                <w:rFonts w:hint="eastAsia" w:ascii="仿宋" w:hAnsi="仿宋" w:eastAsia="仿宋" w:cs="仿宋"/>
                <w:color w:val="auto"/>
                <w:szCs w:val="32"/>
              </w:rPr>
              <w:t>模块A (个人体能赛）</w:t>
            </w:r>
          </w:p>
        </w:tc>
        <w:tc>
          <w:tcPr>
            <w:tcW w:w="3686" w:type="dxa"/>
          </w:tcPr>
          <w:p w14:paraId="32DAF6AD">
            <w:pPr>
              <w:spacing w:line="560" w:lineRule="exact"/>
              <w:rPr>
                <w:rFonts w:hint="eastAsia" w:ascii="仿宋" w:hAnsi="仿宋" w:eastAsia="仿宋" w:cs="仿宋"/>
                <w:color w:val="auto"/>
                <w:szCs w:val="32"/>
              </w:rPr>
            </w:pPr>
            <w:r>
              <w:rPr>
                <w:rFonts w:hint="eastAsia" w:ascii="仿宋" w:hAnsi="仿宋" w:eastAsia="仿宋" w:cs="仿宋"/>
                <w:color w:val="auto"/>
                <w:szCs w:val="32"/>
              </w:rPr>
              <w:t>6种体能训练</w:t>
            </w:r>
          </w:p>
        </w:tc>
        <w:tc>
          <w:tcPr>
            <w:tcW w:w="1978" w:type="dxa"/>
          </w:tcPr>
          <w:p w14:paraId="1B40F5F6">
            <w:pPr>
              <w:spacing w:line="560" w:lineRule="exact"/>
              <w:rPr>
                <w:rFonts w:hint="eastAsia" w:ascii="仿宋" w:hAnsi="仿宋" w:eastAsia="仿宋" w:cs="仿宋"/>
                <w:color w:val="auto"/>
                <w:szCs w:val="32"/>
              </w:rPr>
            </w:pPr>
            <w:r>
              <w:rPr>
                <w:rFonts w:hint="eastAsia" w:ascii="仿宋" w:hAnsi="仿宋" w:eastAsia="仿宋" w:cs="仿宋"/>
                <w:color w:val="auto"/>
                <w:szCs w:val="32"/>
              </w:rPr>
              <w:t>2.5-3小时</w:t>
            </w:r>
          </w:p>
        </w:tc>
      </w:tr>
      <w:tr w14:paraId="53DC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6D6E7A50">
            <w:pPr>
              <w:spacing w:line="560" w:lineRule="exact"/>
              <w:rPr>
                <w:rFonts w:hint="eastAsia" w:ascii="仿宋" w:hAnsi="仿宋" w:eastAsia="仿宋" w:cs="仿宋"/>
                <w:color w:val="auto"/>
                <w:szCs w:val="32"/>
              </w:rPr>
            </w:pPr>
            <w:r>
              <w:rPr>
                <w:rFonts w:hint="eastAsia" w:ascii="仿宋" w:hAnsi="仿宋" w:eastAsia="仿宋" w:cs="仿宋"/>
                <w:color w:val="auto"/>
                <w:szCs w:val="32"/>
              </w:rPr>
              <w:t>模块B（方案设计赛）</w:t>
            </w:r>
          </w:p>
        </w:tc>
        <w:tc>
          <w:tcPr>
            <w:tcW w:w="3686" w:type="dxa"/>
          </w:tcPr>
          <w:p w14:paraId="42869C90">
            <w:pPr>
              <w:spacing w:line="560" w:lineRule="exact"/>
              <w:rPr>
                <w:rFonts w:hint="eastAsia" w:ascii="仿宋" w:hAnsi="仿宋" w:eastAsia="仿宋" w:cs="仿宋"/>
                <w:color w:val="auto"/>
                <w:szCs w:val="32"/>
              </w:rPr>
            </w:pPr>
            <w:r>
              <w:rPr>
                <w:rFonts w:hint="eastAsia" w:ascii="仿宋" w:hAnsi="仿宋" w:eastAsia="仿宋" w:cs="仿宋"/>
                <w:color w:val="auto"/>
                <w:szCs w:val="32"/>
              </w:rPr>
              <w:t>教学或训练方案设计</w:t>
            </w:r>
          </w:p>
        </w:tc>
        <w:tc>
          <w:tcPr>
            <w:tcW w:w="1978" w:type="dxa"/>
          </w:tcPr>
          <w:p w14:paraId="6892DE62">
            <w:pPr>
              <w:spacing w:line="560" w:lineRule="exact"/>
              <w:rPr>
                <w:rFonts w:hint="eastAsia" w:ascii="仿宋" w:hAnsi="仿宋" w:eastAsia="仿宋" w:cs="仿宋"/>
                <w:color w:val="auto"/>
                <w:szCs w:val="32"/>
              </w:rPr>
            </w:pPr>
            <w:r>
              <w:rPr>
                <w:rFonts w:hint="eastAsia" w:ascii="仿宋" w:hAnsi="仿宋" w:eastAsia="仿宋" w:cs="仿宋"/>
                <w:color w:val="auto"/>
                <w:szCs w:val="32"/>
              </w:rPr>
              <w:t>1小时</w:t>
            </w:r>
          </w:p>
        </w:tc>
      </w:tr>
      <w:tr w14:paraId="38D6F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3691A9C0">
            <w:pPr>
              <w:spacing w:line="560" w:lineRule="exact"/>
              <w:rPr>
                <w:rFonts w:hint="eastAsia" w:ascii="仿宋" w:hAnsi="仿宋" w:eastAsia="仿宋" w:cs="仿宋"/>
                <w:color w:val="auto"/>
                <w:szCs w:val="32"/>
              </w:rPr>
            </w:pPr>
            <w:r>
              <w:rPr>
                <w:rFonts w:hint="eastAsia" w:ascii="仿宋" w:hAnsi="仿宋" w:eastAsia="仿宋" w:cs="仿宋"/>
                <w:color w:val="auto"/>
                <w:szCs w:val="32"/>
              </w:rPr>
              <w:t>模块C（动作路演赛）</w:t>
            </w:r>
          </w:p>
        </w:tc>
        <w:tc>
          <w:tcPr>
            <w:tcW w:w="3686" w:type="dxa"/>
          </w:tcPr>
          <w:p w14:paraId="7A2277B1">
            <w:pPr>
              <w:spacing w:line="560" w:lineRule="exact"/>
              <w:rPr>
                <w:rFonts w:hint="eastAsia" w:ascii="仿宋" w:hAnsi="仿宋" w:eastAsia="仿宋" w:cs="仿宋"/>
                <w:color w:val="auto"/>
                <w:szCs w:val="32"/>
              </w:rPr>
            </w:pPr>
            <w:r>
              <w:rPr>
                <w:rFonts w:hint="eastAsia" w:ascii="仿宋" w:hAnsi="仿宋" w:eastAsia="仿宋" w:cs="仿宋"/>
                <w:color w:val="auto"/>
                <w:szCs w:val="32"/>
              </w:rPr>
              <w:t>8块大肌肉群训练的动作展示并讲解</w:t>
            </w:r>
          </w:p>
        </w:tc>
        <w:tc>
          <w:tcPr>
            <w:tcW w:w="1978" w:type="dxa"/>
          </w:tcPr>
          <w:p w14:paraId="2A03F4FF">
            <w:pPr>
              <w:spacing w:line="560" w:lineRule="exact"/>
              <w:rPr>
                <w:rFonts w:hint="eastAsia" w:ascii="仿宋" w:hAnsi="仿宋" w:eastAsia="仿宋" w:cs="仿宋"/>
                <w:color w:val="auto"/>
                <w:szCs w:val="32"/>
              </w:rPr>
            </w:pPr>
            <w:r>
              <w:rPr>
                <w:rFonts w:hint="eastAsia" w:ascii="仿宋" w:hAnsi="仿宋" w:eastAsia="仿宋" w:cs="仿宋"/>
                <w:color w:val="auto"/>
                <w:szCs w:val="32"/>
              </w:rPr>
              <w:t>2-2.5小时</w:t>
            </w:r>
          </w:p>
        </w:tc>
      </w:tr>
      <w:tr w14:paraId="5DD9B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gridSpan w:val="2"/>
          </w:tcPr>
          <w:p w14:paraId="15CD6584">
            <w:pPr>
              <w:spacing w:line="560" w:lineRule="exact"/>
              <w:jc w:val="center"/>
              <w:rPr>
                <w:rFonts w:hint="eastAsia" w:ascii="仿宋" w:hAnsi="仿宋" w:eastAsia="仿宋" w:cs="仿宋"/>
                <w:color w:val="auto"/>
                <w:szCs w:val="32"/>
              </w:rPr>
            </w:pPr>
            <w:r>
              <w:rPr>
                <w:rFonts w:hint="eastAsia" w:ascii="仿宋" w:hAnsi="仿宋" w:eastAsia="仿宋" w:cs="仿宋"/>
                <w:color w:val="auto"/>
                <w:szCs w:val="32"/>
              </w:rPr>
              <w:t>总  时  间</w:t>
            </w:r>
          </w:p>
        </w:tc>
        <w:tc>
          <w:tcPr>
            <w:tcW w:w="1978" w:type="dxa"/>
          </w:tcPr>
          <w:p w14:paraId="79B69539">
            <w:pPr>
              <w:spacing w:line="560" w:lineRule="exact"/>
              <w:rPr>
                <w:rFonts w:hint="eastAsia" w:ascii="仿宋" w:hAnsi="仿宋" w:eastAsia="仿宋" w:cs="仿宋"/>
                <w:color w:val="auto"/>
                <w:szCs w:val="32"/>
              </w:rPr>
            </w:pPr>
            <w:r>
              <w:rPr>
                <w:rFonts w:hint="eastAsia" w:ascii="仿宋" w:hAnsi="仿宋" w:eastAsia="仿宋" w:cs="仿宋"/>
                <w:color w:val="auto"/>
                <w:szCs w:val="32"/>
              </w:rPr>
              <w:t>6-7小时</w:t>
            </w:r>
          </w:p>
        </w:tc>
      </w:tr>
    </w:tbl>
    <w:p w14:paraId="6131FD9D">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2.试题</w:t>
      </w:r>
      <w:r>
        <w:rPr>
          <w:rFonts w:hint="eastAsia" w:ascii="仿宋" w:hAnsi="仿宋" w:eastAsia="仿宋" w:cs="仿宋"/>
          <w:color w:val="auto"/>
        </w:rPr>
        <w:t>具体内容</w:t>
      </w:r>
    </w:p>
    <w:p w14:paraId="6D35B0C1">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模块A：个人体能赛</w:t>
      </w:r>
    </w:p>
    <w:tbl>
      <w:tblPr>
        <w:tblStyle w:val="12"/>
        <w:tblW w:w="0" w:type="auto"/>
        <w:tblInd w:w="0" w:type="dxa"/>
        <w:tblLayout w:type="autofit"/>
        <w:tblCellMar>
          <w:top w:w="0" w:type="dxa"/>
          <w:left w:w="108" w:type="dxa"/>
          <w:bottom w:w="0" w:type="dxa"/>
          <w:right w:w="108" w:type="dxa"/>
        </w:tblCellMar>
      </w:tblPr>
      <w:tblGrid>
        <w:gridCol w:w="1409"/>
        <w:gridCol w:w="1857"/>
        <w:gridCol w:w="2556"/>
        <w:gridCol w:w="3352"/>
      </w:tblGrid>
      <w:tr w14:paraId="24886498">
        <w:tblPrEx>
          <w:tblCellMar>
            <w:top w:w="0" w:type="dxa"/>
            <w:left w:w="108" w:type="dxa"/>
            <w:bottom w:w="0" w:type="dxa"/>
            <w:right w:w="108" w:type="dxa"/>
          </w:tblCellMar>
        </w:tblPrEx>
        <w:trPr>
          <w:trHeight w:val="740" w:hRule="atLeast"/>
        </w:trPr>
        <w:tc>
          <w:tcPr>
            <w:tcW w:w="0" w:type="auto"/>
            <w:tcBorders>
              <w:top w:val="single" w:color="auto" w:sz="4" w:space="0"/>
              <w:left w:val="single" w:color="auto" w:sz="4" w:space="0"/>
              <w:bottom w:val="single" w:color="auto" w:sz="4" w:space="0"/>
              <w:right w:val="single" w:color="auto" w:sz="4" w:space="0"/>
            </w:tcBorders>
            <w:noWrap/>
            <w:vAlign w:val="center"/>
          </w:tcPr>
          <w:p w14:paraId="770ED01F">
            <w:pPr>
              <w:widowControl/>
              <w:jc w:val="center"/>
              <w:rPr>
                <w:rFonts w:hint="eastAsia" w:ascii="仿宋" w:hAnsi="仿宋" w:eastAsia="仿宋" w:cs="仿宋"/>
                <w:b w:val="0"/>
                <w:bCs w:val="0"/>
                <w:color w:val="auto"/>
                <w:kern w:val="0"/>
                <w:sz w:val="32"/>
                <w:szCs w:val="32"/>
              </w:rPr>
            </w:pPr>
            <w:r>
              <w:rPr>
                <w:rFonts w:hint="eastAsia" w:ascii="仿宋" w:hAnsi="仿宋" w:eastAsia="仿宋" w:cs="仿宋"/>
                <w:b w:val="0"/>
                <w:bCs w:val="0"/>
                <w:color w:val="auto"/>
                <w:kern w:val="0"/>
                <w:sz w:val="32"/>
                <w:szCs w:val="32"/>
              </w:rPr>
              <w:t>比赛项目</w:t>
            </w:r>
          </w:p>
        </w:tc>
        <w:tc>
          <w:tcPr>
            <w:tcW w:w="1393" w:type="dxa"/>
            <w:tcBorders>
              <w:top w:val="single" w:color="auto" w:sz="4" w:space="0"/>
              <w:left w:val="nil"/>
              <w:bottom w:val="single" w:color="auto" w:sz="4" w:space="0"/>
              <w:right w:val="single" w:color="auto" w:sz="4" w:space="0"/>
            </w:tcBorders>
            <w:noWrap/>
            <w:vAlign w:val="center"/>
          </w:tcPr>
          <w:p w14:paraId="150C8640">
            <w:pPr>
              <w:widowControl/>
              <w:jc w:val="center"/>
              <w:rPr>
                <w:rFonts w:hint="eastAsia" w:ascii="仿宋" w:hAnsi="仿宋" w:eastAsia="仿宋" w:cs="仿宋"/>
                <w:b w:val="0"/>
                <w:bCs w:val="0"/>
                <w:color w:val="auto"/>
                <w:kern w:val="0"/>
                <w:sz w:val="32"/>
                <w:szCs w:val="32"/>
              </w:rPr>
            </w:pPr>
            <w:r>
              <w:rPr>
                <w:rFonts w:hint="eastAsia" w:ascii="仿宋" w:hAnsi="仿宋" w:eastAsia="仿宋" w:cs="仿宋"/>
                <w:b w:val="0"/>
                <w:bCs w:val="0"/>
                <w:color w:val="auto"/>
                <w:kern w:val="0"/>
                <w:sz w:val="32"/>
                <w:szCs w:val="32"/>
              </w:rPr>
              <w:t>规格</w:t>
            </w:r>
          </w:p>
        </w:tc>
        <w:tc>
          <w:tcPr>
            <w:tcW w:w="2694" w:type="dxa"/>
            <w:tcBorders>
              <w:top w:val="single" w:color="auto" w:sz="4" w:space="0"/>
              <w:left w:val="nil"/>
              <w:bottom w:val="single" w:color="auto" w:sz="4" w:space="0"/>
              <w:right w:val="single" w:color="auto" w:sz="4" w:space="0"/>
            </w:tcBorders>
            <w:noWrap/>
            <w:vAlign w:val="center"/>
          </w:tcPr>
          <w:p w14:paraId="2D92A280">
            <w:pPr>
              <w:widowControl/>
              <w:jc w:val="center"/>
              <w:rPr>
                <w:rFonts w:hint="eastAsia" w:ascii="仿宋" w:hAnsi="仿宋" w:eastAsia="仿宋" w:cs="仿宋"/>
                <w:b w:val="0"/>
                <w:bCs w:val="0"/>
                <w:color w:val="auto"/>
                <w:kern w:val="0"/>
                <w:sz w:val="32"/>
                <w:szCs w:val="32"/>
              </w:rPr>
            </w:pPr>
            <w:r>
              <w:rPr>
                <w:rFonts w:hint="eastAsia" w:ascii="仿宋" w:hAnsi="仿宋" w:eastAsia="仿宋" w:cs="仿宋"/>
                <w:b w:val="0"/>
                <w:bCs w:val="0"/>
                <w:color w:val="auto"/>
                <w:kern w:val="0"/>
                <w:sz w:val="32"/>
                <w:szCs w:val="32"/>
              </w:rPr>
              <w:t>标准</w:t>
            </w:r>
          </w:p>
        </w:tc>
        <w:tc>
          <w:tcPr>
            <w:tcW w:w="3537" w:type="dxa"/>
            <w:tcBorders>
              <w:top w:val="single" w:color="auto" w:sz="4" w:space="0"/>
              <w:left w:val="nil"/>
              <w:bottom w:val="single" w:color="auto" w:sz="4" w:space="0"/>
              <w:right w:val="single" w:color="auto" w:sz="4" w:space="0"/>
            </w:tcBorders>
            <w:noWrap/>
            <w:vAlign w:val="center"/>
          </w:tcPr>
          <w:p w14:paraId="55EE736C">
            <w:pPr>
              <w:widowControl/>
              <w:jc w:val="center"/>
              <w:rPr>
                <w:rFonts w:hint="eastAsia" w:ascii="仿宋" w:hAnsi="仿宋" w:eastAsia="仿宋" w:cs="仿宋"/>
                <w:b w:val="0"/>
                <w:bCs w:val="0"/>
                <w:color w:val="auto"/>
                <w:kern w:val="0"/>
                <w:sz w:val="32"/>
                <w:szCs w:val="32"/>
              </w:rPr>
            </w:pPr>
            <w:r>
              <w:rPr>
                <w:rFonts w:hint="eastAsia" w:ascii="仿宋" w:hAnsi="仿宋" w:eastAsia="仿宋" w:cs="仿宋"/>
                <w:b w:val="0"/>
                <w:bCs w:val="0"/>
                <w:color w:val="auto"/>
                <w:kern w:val="0"/>
                <w:sz w:val="32"/>
                <w:szCs w:val="32"/>
              </w:rPr>
              <w:t>犯规</w:t>
            </w:r>
          </w:p>
        </w:tc>
      </w:tr>
      <w:tr w14:paraId="7532EA9F">
        <w:tblPrEx>
          <w:tblCellMar>
            <w:top w:w="0" w:type="dxa"/>
            <w:left w:w="108" w:type="dxa"/>
            <w:bottom w:w="0" w:type="dxa"/>
            <w:right w:w="108" w:type="dxa"/>
          </w:tblCellMar>
        </w:tblPrEx>
        <w:trPr>
          <w:trHeight w:val="1975" w:hRule="atLeast"/>
        </w:trPr>
        <w:tc>
          <w:tcPr>
            <w:tcW w:w="0" w:type="auto"/>
            <w:tcBorders>
              <w:top w:val="nil"/>
              <w:left w:val="single" w:color="auto" w:sz="4" w:space="0"/>
              <w:bottom w:val="single" w:color="auto" w:sz="4" w:space="0"/>
              <w:right w:val="single" w:color="auto" w:sz="4" w:space="0"/>
            </w:tcBorders>
            <w:vAlign w:val="center"/>
          </w:tcPr>
          <w:p w14:paraId="035BCD8B">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翻轮胎</w:t>
            </w:r>
          </w:p>
        </w:tc>
        <w:tc>
          <w:tcPr>
            <w:tcW w:w="1393" w:type="dxa"/>
            <w:tcBorders>
              <w:top w:val="nil"/>
              <w:left w:val="nil"/>
              <w:bottom w:val="single" w:color="auto" w:sz="4" w:space="0"/>
              <w:right w:val="single" w:color="auto" w:sz="4" w:space="0"/>
            </w:tcBorders>
            <w:vAlign w:val="center"/>
          </w:tcPr>
          <w:p w14:paraId="2FDC0A6B">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男子：25米×2</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女子：20米×2</w:t>
            </w:r>
          </w:p>
        </w:tc>
        <w:tc>
          <w:tcPr>
            <w:tcW w:w="2694" w:type="dxa"/>
            <w:tcBorders>
              <w:top w:val="nil"/>
              <w:left w:val="nil"/>
              <w:bottom w:val="single" w:color="auto" w:sz="4" w:space="0"/>
              <w:right w:val="single" w:color="auto" w:sz="4" w:space="0"/>
            </w:tcBorders>
            <w:vAlign w:val="center"/>
          </w:tcPr>
          <w:p w14:paraId="350B596E">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轮胎翻行前进折返与跑道两端折返点之间，轮胎任意位置触压终点线即为结束。</w:t>
            </w:r>
          </w:p>
        </w:tc>
        <w:tc>
          <w:tcPr>
            <w:tcW w:w="3537" w:type="dxa"/>
            <w:tcBorders>
              <w:top w:val="nil"/>
              <w:left w:val="nil"/>
              <w:bottom w:val="single" w:color="auto" w:sz="4" w:space="0"/>
              <w:right w:val="single" w:color="auto" w:sz="4" w:space="0"/>
            </w:tcBorders>
            <w:vAlign w:val="center"/>
          </w:tcPr>
          <w:p w14:paraId="3F690CD8">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有意或无意滚动、拖行轮胎；违例则返回上次正确翻行位置重新翻行；轮胎未触压终点线视为未能完成比赛。</w:t>
            </w:r>
          </w:p>
        </w:tc>
      </w:tr>
      <w:tr w14:paraId="0B350FAA">
        <w:tblPrEx>
          <w:tblCellMar>
            <w:top w:w="0" w:type="dxa"/>
            <w:left w:w="108" w:type="dxa"/>
            <w:bottom w:w="0" w:type="dxa"/>
            <w:right w:w="108" w:type="dxa"/>
          </w:tblCellMar>
        </w:tblPrEx>
        <w:trPr>
          <w:trHeight w:val="1520" w:hRule="atLeast"/>
        </w:trPr>
        <w:tc>
          <w:tcPr>
            <w:tcW w:w="0" w:type="auto"/>
            <w:tcBorders>
              <w:top w:val="nil"/>
              <w:left w:val="single" w:color="auto" w:sz="4" w:space="0"/>
              <w:bottom w:val="single" w:color="auto" w:sz="4" w:space="0"/>
              <w:right w:val="single" w:color="auto" w:sz="4" w:space="0"/>
            </w:tcBorders>
            <w:vAlign w:val="center"/>
          </w:tcPr>
          <w:p w14:paraId="016471A8">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双手壶铃肩推</w:t>
            </w:r>
          </w:p>
        </w:tc>
        <w:tc>
          <w:tcPr>
            <w:tcW w:w="1393" w:type="dxa"/>
            <w:tcBorders>
              <w:top w:val="nil"/>
              <w:left w:val="nil"/>
              <w:bottom w:val="single" w:color="auto" w:sz="4" w:space="0"/>
              <w:right w:val="single" w:color="auto" w:sz="4" w:space="0"/>
            </w:tcBorders>
            <w:vAlign w:val="center"/>
          </w:tcPr>
          <w:p w14:paraId="0A1F24C3">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男子：12kg×2×20次</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女子：8kg×2×20次</w:t>
            </w:r>
          </w:p>
        </w:tc>
        <w:tc>
          <w:tcPr>
            <w:tcW w:w="2694" w:type="dxa"/>
            <w:tcBorders>
              <w:top w:val="nil"/>
              <w:left w:val="nil"/>
              <w:bottom w:val="single" w:color="auto" w:sz="4" w:space="0"/>
              <w:right w:val="single" w:color="auto" w:sz="4" w:space="0"/>
            </w:tcBorders>
            <w:vAlign w:val="center"/>
          </w:tcPr>
          <w:p w14:paraId="541AB5A2">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双手各持壶铃从胸部向上推起，推起最高点须双臂垂直向上伸直；下落最低点须双手位置低于下颚。</w:t>
            </w:r>
          </w:p>
        </w:tc>
        <w:tc>
          <w:tcPr>
            <w:tcW w:w="3537" w:type="dxa"/>
            <w:tcBorders>
              <w:top w:val="nil"/>
              <w:left w:val="nil"/>
              <w:bottom w:val="single" w:color="auto" w:sz="4" w:space="0"/>
              <w:right w:val="single" w:color="auto" w:sz="4" w:space="0"/>
            </w:tcBorders>
            <w:vAlign w:val="center"/>
          </w:tcPr>
          <w:p w14:paraId="74EEE045">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双臂向上推出壶铃后未能伸直者；</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下落最低点时，双手未能低于下颚；</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双腿、躯干、髋关节等身体部位未能直立；</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违例则该次不计入成绩。</w:t>
            </w:r>
          </w:p>
        </w:tc>
      </w:tr>
      <w:tr w14:paraId="0C0BE900">
        <w:tblPrEx>
          <w:tblCellMar>
            <w:top w:w="0" w:type="dxa"/>
            <w:left w:w="108" w:type="dxa"/>
            <w:bottom w:w="0" w:type="dxa"/>
            <w:right w:w="108" w:type="dxa"/>
          </w:tblCellMar>
        </w:tblPrEx>
        <w:trPr>
          <w:trHeight w:val="699" w:hRule="atLeast"/>
        </w:trPr>
        <w:tc>
          <w:tcPr>
            <w:tcW w:w="0" w:type="auto"/>
            <w:tcBorders>
              <w:top w:val="nil"/>
              <w:left w:val="single" w:color="auto" w:sz="4" w:space="0"/>
              <w:bottom w:val="single" w:color="auto" w:sz="4" w:space="0"/>
              <w:right w:val="single" w:color="auto" w:sz="4" w:space="0"/>
            </w:tcBorders>
            <w:vAlign w:val="center"/>
          </w:tcPr>
          <w:p w14:paraId="1A54F80F">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跳跨栏立卧撑</w:t>
            </w:r>
          </w:p>
        </w:tc>
        <w:tc>
          <w:tcPr>
            <w:tcW w:w="1393" w:type="dxa"/>
            <w:tcBorders>
              <w:top w:val="nil"/>
              <w:left w:val="nil"/>
              <w:bottom w:val="single" w:color="auto" w:sz="4" w:space="0"/>
              <w:right w:val="single" w:color="auto" w:sz="4" w:space="0"/>
            </w:tcBorders>
            <w:vAlign w:val="center"/>
          </w:tcPr>
          <w:p w14:paraId="6B62D260">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男子：栏高23cm×20次</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女子：栏高15cm×20次</w:t>
            </w:r>
          </w:p>
        </w:tc>
        <w:tc>
          <w:tcPr>
            <w:tcW w:w="2694" w:type="dxa"/>
            <w:tcBorders>
              <w:top w:val="nil"/>
              <w:left w:val="nil"/>
              <w:bottom w:val="single" w:color="auto" w:sz="4" w:space="0"/>
              <w:right w:val="single" w:color="auto" w:sz="4" w:space="0"/>
            </w:tcBorders>
            <w:vAlign w:val="center"/>
          </w:tcPr>
          <w:p w14:paraId="5839BF15">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身体位于跨栏一侧，下蹲双手触地，双腿同时向后，伸展身体成府撑板式后，立即收回双脚成蹲姿，随后双脚同时跳起越过跨栏至另一侧，为一次有效次数。</w:t>
            </w:r>
          </w:p>
        </w:tc>
        <w:tc>
          <w:tcPr>
            <w:tcW w:w="3537" w:type="dxa"/>
            <w:tcBorders>
              <w:top w:val="nil"/>
              <w:left w:val="nil"/>
              <w:bottom w:val="single" w:color="auto" w:sz="4" w:space="0"/>
              <w:right w:val="single" w:color="auto" w:sz="4" w:space="0"/>
            </w:tcBorders>
            <w:vAlign w:val="center"/>
          </w:tcPr>
          <w:p w14:paraId="6B37CB21">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俯撑时身体未成板式，既耳肩髋膝踝未成一条直线；比赛过程中选手碰倒跨栏；违例则该次无效如碰倒跨栏则要自行扶起并摆正跨栏至原位置，该过程正常计时。</w:t>
            </w:r>
          </w:p>
        </w:tc>
      </w:tr>
      <w:tr w14:paraId="4DC30FA0">
        <w:tblPrEx>
          <w:tblCellMar>
            <w:top w:w="0" w:type="dxa"/>
            <w:left w:w="108" w:type="dxa"/>
            <w:bottom w:w="0" w:type="dxa"/>
            <w:right w:w="108" w:type="dxa"/>
          </w:tblCellMar>
        </w:tblPrEx>
        <w:trPr>
          <w:trHeight w:val="1460" w:hRule="atLeast"/>
        </w:trPr>
        <w:tc>
          <w:tcPr>
            <w:tcW w:w="0" w:type="auto"/>
            <w:tcBorders>
              <w:top w:val="nil"/>
              <w:left w:val="single" w:color="auto" w:sz="4" w:space="0"/>
              <w:bottom w:val="single" w:color="auto" w:sz="4" w:space="0"/>
              <w:right w:val="single" w:color="auto" w:sz="4" w:space="0"/>
            </w:tcBorders>
            <w:vAlign w:val="center"/>
          </w:tcPr>
          <w:p w14:paraId="056D7CB7">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硬拉</w:t>
            </w:r>
          </w:p>
        </w:tc>
        <w:tc>
          <w:tcPr>
            <w:tcW w:w="1393" w:type="dxa"/>
            <w:tcBorders>
              <w:top w:val="nil"/>
              <w:left w:val="nil"/>
              <w:bottom w:val="single" w:color="auto" w:sz="4" w:space="0"/>
              <w:right w:val="single" w:color="auto" w:sz="4" w:space="0"/>
            </w:tcBorders>
            <w:vAlign w:val="center"/>
          </w:tcPr>
          <w:p w14:paraId="70DC3CA6">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男子：50kg×20次</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女子：40kg×20次</w:t>
            </w:r>
          </w:p>
        </w:tc>
        <w:tc>
          <w:tcPr>
            <w:tcW w:w="2694" w:type="dxa"/>
            <w:tcBorders>
              <w:top w:val="nil"/>
              <w:left w:val="nil"/>
              <w:bottom w:val="single" w:color="auto" w:sz="4" w:space="0"/>
              <w:right w:val="single" w:color="auto" w:sz="4" w:space="0"/>
            </w:tcBorders>
            <w:vAlign w:val="center"/>
          </w:tcPr>
          <w:p w14:paraId="0ADC5ED2">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双脚间距小于50cm（示宽板），双手持杠铃，下落最低点为杠铃触地，最高点身体站直成中立位（即，髋、膝伸展180°）</w:t>
            </w:r>
          </w:p>
        </w:tc>
        <w:tc>
          <w:tcPr>
            <w:tcW w:w="3537" w:type="dxa"/>
            <w:tcBorders>
              <w:top w:val="nil"/>
              <w:left w:val="nil"/>
              <w:bottom w:val="single" w:color="auto" w:sz="4" w:space="0"/>
              <w:right w:val="single" w:color="auto" w:sz="4" w:space="0"/>
            </w:tcBorders>
            <w:vAlign w:val="center"/>
          </w:tcPr>
          <w:p w14:paraId="0254A60B">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双腿、躯干、髋关节等身体部位未能直立；</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每次最低点杠铃未触地；</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违例则该次不计入成绩。</w:t>
            </w:r>
          </w:p>
        </w:tc>
      </w:tr>
      <w:tr w14:paraId="31211479">
        <w:tblPrEx>
          <w:tblCellMar>
            <w:top w:w="0" w:type="dxa"/>
            <w:left w:w="108" w:type="dxa"/>
            <w:bottom w:w="0" w:type="dxa"/>
            <w:right w:w="108" w:type="dxa"/>
          </w:tblCellMar>
        </w:tblPrEx>
        <w:trPr>
          <w:trHeight w:val="1580" w:hRule="atLeast"/>
        </w:trPr>
        <w:tc>
          <w:tcPr>
            <w:tcW w:w="0" w:type="auto"/>
            <w:tcBorders>
              <w:top w:val="nil"/>
              <w:left w:val="single" w:color="auto" w:sz="4" w:space="0"/>
              <w:bottom w:val="single" w:color="auto" w:sz="4" w:space="0"/>
              <w:right w:val="single" w:color="auto" w:sz="4" w:space="0"/>
            </w:tcBorders>
            <w:vAlign w:val="center"/>
          </w:tcPr>
          <w:p w14:paraId="62876FA9">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折返跑</w:t>
            </w:r>
          </w:p>
        </w:tc>
        <w:tc>
          <w:tcPr>
            <w:tcW w:w="1393" w:type="dxa"/>
            <w:tcBorders>
              <w:top w:val="nil"/>
              <w:left w:val="nil"/>
              <w:bottom w:val="single" w:color="auto" w:sz="4" w:space="0"/>
              <w:right w:val="single" w:color="auto" w:sz="4" w:space="0"/>
            </w:tcBorders>
            <w:vAlign w:val="center"/>
          </w:tcPr>
          <w:p w14:paraId="0C5F55CF">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男子：25米×5</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女子：20米×5</w:t>
            </w:r>
          </w:p>
        </w:tc>
        <w:tc>
          <w:tcPr>
            <w:tcW w:w="2694" w:type="dxa"/>
            <w:tcBorders>
              <w:top w:val="nil"/>
              <w:left w:val="nil"/>
              <w:bottom w:val="single" w:color="auto" w:sz="4" w:space="0"/>
              <w:right w:val="single" w:color="auto" w:sz="4" w:space="0"/>
            </w:tcBorders>
            <w:vAlign w:val="center"/>
          </w:tcPr>
          <w:p w14:paraId="28DCAAEF">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快速通过跑道两端折返点，每次通过折返点时须至少一只脚触及或越过折返标志线</w:t>
            </w:r>
          </w:p>
        </w:tc>
        <w:tc>
          <w:tcPr>
            <w:tcW w:w="3537" w:type="dxa"/>
            <w:tcBorders>
              <w:top w:val="nil"/>
              <w:left w:val="nil"/>
              <w:bottom w:val="single" w:color="auto" w:sz="4" w:space="0"/>
              <w:right w:val="single" w:color="auto" w:sz="4" w:space="0"/>
            </w:tcBorders>
            <w:vAlign w:val="center"/>
          </w:tcPr>
          <w:p w14:paraId="3E39EC11">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脚未触及或越过折返标志线为违例，违例则罚时5秒；</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踏入其他选手赛道且影</w:t>
            </w:r>
            <w:r>
              <w:rPr>
                <w:rFonts w:hint="eastAsia" w:ascii="仿宋" w:hAnsi="仿宋" w:eastAsia="仿宋" w:cs="仿宋"/>
                <w:color w:val="auto"/>
                <w:kern w:val="0"/>
                <w:sz w:val="32"/>
                <w:szCs w:val="32"/>
                <w:lang w:val="en-US" w:eastAsia="zh-CN"/>
              </w:rPr>
              <w:t>响</w:t>
            </w:r>
            <w:r>
              <w:rPr>
                <w:rFonts w:hint="eastAsia" w:ascii="仿宋" w:hAnsi="仿宋" w:eastAsia="仿宋" w:cs="仿宋"/>
                <w:color w:val="auto"/>
                <w:kern w:val="0"/>
                <w:sz w:val="32"/>
                <w:szCs w:val="32"/>
              </w:rPr>
              <w:t>其他选手比赛，如有违例则取消比赛资格。</w:t>
            </w:r>
          </w:p>
        </w:tc>
      </w:tr>
    </w:tbl>
    <w:p w14:paraId="1E8E02BA">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比赛采用计时赛规则，即从第一项开始计时，到最后一项到终点结束。</w:t>
      </w:r>
    </w:p>
    <w:p w14:paraId="5DA22F5A">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比赛关门时间</w:t>
      </w:r>
      <w:r>
        <w:rPr>
          <w:rFonts w:ascii="仿宋" w:hAnsi="仿宋" w:eastAsia="仿宋" w:cs="仿宋"/>
          <w:color w:val="auto"/>
          <w:szCs w:val="32"/>
        </w:rPr>
        <w:t>8分钟（即全部比赛需要</w:t>
      </w:r>
      <w:r>
        <w:rPr>
          <w:rFonts w:hint="eastAsia" w:ascii="仿宋" w:hAnsi="仿宋" w:eastAsia="仿宋" w:cs="仿宋"/>
          <w:color w:val="auto"/>
          <w:szCs w:val="32"/>
          <w:lang w:eastAsia="zh-CN"/>
        </w:rPr>
        <w:t>在</w:t>
      </w:r>
      <w:r>
        <w:rPr>
          <w:rFonts w:ascii="仿宋" w:hAnsi="仿宋" w:eastAsia="仿宋" w:cs="仿宋"/>
          <w:color w:val="auto"/>
          <w:szCs w:val="32"/>
        </w:rPr>
        <w:t>8分钟内结束，如8分钟内未完成比赛，则取消比赛成绩。</w:t>
      </w:r>
    </w:p>
    <w:p w14:paraId="39BEDB06">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选手可佩戴手套、腰带、镁粉等保护装备，禁止带助力带等辅助装备。</w:t>
      </w:r>
    </w:p>
    <w:p w14:paraId="6C49DDCD">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模块B：教学方案设计</w:t>
      </w:r>
    </w:p>
    <w:p w14:paraId="6ECE6557">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要求参赛选手整理客户资料形成完整案例（不得体现会员真实姓名），包含：客户基本信息（可包含：基本体测信息、医学检查信息、生活方式等内容）、客户目标需求（形体改善、体能提升、体态改善）、客户的健康体适能测试与评估情况、客户运动目的和阶段目标设计、客户运动计划的制定（频率、强度、时间、类型）、客户运动计划的实施（器械选择、动作选择等）与调整、每个阶段不少于三篇的训练日志、客户运动健身前后健康与体适能状况对比（照片、视频、数据等）。</w:t>
      </w:r>
    </w:p>
    <w:p w14:paraId="558FEB70">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案例要求：</w:t>
      </w:r>
    </w:p>
    <w:p w14:paraId="38A02E19">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1.客户训练时间不低于半年或训练次数不少于50次；</w:t>
      </w:r>
    </w:p>
    <w:p w14:paraId="06082044">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2.案例类型仅限形体改善、体能提升、体态改善三大方面；</w:t>
      </w:r>
    </w:p>
    <w:p w14:paraId="5546CD89">
      <w:pPr>
        <w:spacing w:line="560" w:lineRule="exact"/>
        <w:ind w:firstLine="632" w:firstLineChars="200"/>
        <w:jc w:val="left"/>
        <w:rPr>
          <w:rFonts w:hint="eastAsia" w:ascii="仿宋" w:hAnsi="仿宋" w:eastAsia="仿宋" w:cs="仿宋"/>
          <w:color w:val="auto"/>
          <w:szCs w:val="32"/>
        </w:rPr>
      </w:pPr>
    </w:p>
    <w:p w14:paraId="66AA96A5">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模块C：训练计划路演及答辩</w:t>
      </w:r>
    </w:p>
    <w:p w14:paraId="23269F11">
      <w:pPr>
        <w:pStyle w:val="11"/>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（1）选手提前准备好符合要求的客户案例；</w:t>
      </w:r>
    </w:p>
    <w:p w14:paraId="4C8BC3C5">
      <w:pPr>
        <w:pStyle w:val="11"/>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（2）可将案例制作为PPT、图片、视频等呈现形式；</w:t>
      </w:r>
    </w:p>
    <w:p w14:paraId="4BB20416">
      <w:pPr>
        <w:pStyle w:val="11"/>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（3）选手结合准备好的案例进行讲解。</w:t>
      </w:r>
    </w:p>
    <w:p w14:paraId="4639CEFB">
      <w:pPr>
        <w:pStyle w:val="11"/>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（4）裁判团就案例内容提出专业性问题，要求选手现场答辩。</w:t>
      </w:r>
    </w:p>
    <w:p w14:paraId="7EE99EA6">
      <w:pPr>
        <w:pStyle w:val="3"/>
        <w:ind w:firstLine="634"/>
        <w:rPr>
          <w:b w:val="0"/>
          <w:bCs/>
          <w:color w:val="auto"/>
        </w:rPr>
      </w:pPr>
      <w:bookmarkStart w:id="11" w:name="_Toc25439"/>
      <w:bookmarkStart w:id="12" w:name="_Toc2678"/>
      <w:r>
        <w:rPr>
          <w:rFonts w:hint="eastAsia"/>
          <w:b w:val="0"/>
          <w:bCs/>
          <w:color w:val="auto"/>
        </w:rPr>
        <w:t>（三）评判标准</w:t>
      </w:r>
      <w:bookmarkEnd w:id="11"/>
      <w:bookmarkEnd w:id="12"/>
    </w:p>
    <w:p w14:paraId="2D67156E">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1.分数权重：</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3142"/>
        <w:gridCol w:w="1444"/>
        <w:gridCol w:w="2293"/>
      </w:tblGrid>
      <w:tr w14:paraId="6982E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3" w:type="dxa"/>
          </w:tcPr>
          <w:p w14:paraId="365EA3BE">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模块号</w:t>
            </w:r>
          </w:p>
        </w:tc>
        <w:tc>
          <w:tcPr>
            <w:tcW w:w="3142" w:type="dxa"/>
          </w:tcPr>
          <w:p w14:paraId="4EA2EB0F">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项目</w:t>
            </w:r>
          </w:p>
        </w:tc>
        <w:tc>
          <w:tcPr>
            <w:tcW w:w="1444" w:type="dxa"/>
          </w:tcPr>
          <w:p w14:paraId="29B1BAEE">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权重</w:t>
            </w:r>
          </w:p>
        </w:tc>
        <w:tc>
          <w:tcPr>
            <w:tcW w:w="2293" w:type="dxa"/>
          </w:tcPr>
          <w:p w14:paraId="6AC343CC">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得分</w:t>
            </w:r>
          </w:p>
        </w:tc>
      </w:tr>
      <w:tr w14:paraId="4405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3" w:type="dxa"/>
          </w:tcPr>
          <w:p w14:paraId="0A8A9202">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模块A</w:t>
            </w:r>
          </w:p>
        </w:tc>
        <w:tc>
          <w:tcPr>
            <w:tcW w:w="3142" w:type="dxa"/>
          </w:tcPr>
          <w:p w14:paraId="7F449F2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个人体能赛</w:t>
            </w:r>
          </w:p>
        </w:tc>
        <w:tc>
          <w:tcPr>
            <w:tcW w:w="1444" w:type="dxa"/>
          </w:tcPr>
          <w:p w14:paraId="14287779">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50%</w:t>
            </w:r>
          </w:p>
        </w:tc>
        <w:tc>
          <w:tcPr>
            <w:tcW w:w="2293" w:type="dxa"/>
          </w:tcPr>
          <w:p w14:paraId="5501E1C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50分</w:t>
            </w:r>
          </w:p>
        </w:tc>
      </w:tr>
      <w:tr w14:paraId="659D6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3" w:type="dxa"/>
          </w:tcPr>
          <w:p w14:paraId="5045C353">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模块B</w:t>
            </w:r>
          </w:p>
        </w:tc>
        <w:tc>
          <w:tcPr>
            <w:tcW w:w="3142" w:type="dxa"/>
          </w:tcPr>
          <w:p w14:paraId="1D86901F">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教学方案设计</w:t>
            </w:r>
          </w:p>
        </w:tc>
        <w:tc>
          <w:tcPr>
            <w:tcW w:w="1444" w:type="dxa"/>
          </w:tcPr>
          <w:p w14:paraId="04E9DFA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25%</w:t>
            </w:r>
          </w:p>
        </w:tc>
        <w:tc>
          <w:tcPr>
            <w:tcW w:w="2293" w:type="dxa"/>
          </w:tcPr>
          <w:p w14:paraId="6326F5FE">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25分</w:t>
            </w:r>
          </w:p>
        </w:tc>
      </w:tr>
      <w:tr w14:paraId="52371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3" w:type="dxa"/>
          </w:tcPr>
          <w:p w14:paraId="40839C50">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模块C</w:t>
            </w:r>
          </w:p>
        </w:tc>
        <w:tc>
          <w:tcPr>
            <w:tcW w:w="3142" w:type="dxa"/>
          </w:tcPr>
          <w:p w14:paraId="71D58657">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训练计划路演及答辩</w:t>
            </w:r>
          </w:p>
        </w:tc>
        <w:tc>
          <w:tcPr>
            <w:tcW w:w="1444" w:type="dxa"/>
          </w:tcPr>
          <w:p w14:paraId="5A12E03C">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25%</w:t>
            </w:r>
          </w:p>
        </w:tc>
        <w:tc>
          <w:tcPr>
            <w:tcW w:w="2293" w:type="dxa"/>
          </w:tcPr>
          <w:p w14:paraId="3729F151">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25分</w:t>
            </w:r>
          </w:p>
        </w:tc>
      </w:tr>
      <w:tr w14:paraId="668CD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35" w:type="dxa"/>
            <w:gridSpan w:val="2"/>
          </w:tcPr>
          <w:p w14:paraId="34B3F404">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总分</w:t>
            </w:r>
          </w:p>
        </w:tc>
        <w:tc>
          <w:tcPr>
            <w:tcW w:w="1444" w:type="dxa"/>
          </w:tcPr>
          <w:p w14:paraId="1C117E7E">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100%</w:t>
            </w:r>
          </w:p>
        </w:tc>
        <w:tc>
          <w:tcPr>
            <w:tcW w:w="2293" w:type="dxa"/>
          </w:tcPr>
          <w:p w14:paraId="31830C83">
            <w:pPr>
              <w:spacing w:line="56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100分</w:t>
            </w:r>
          </w:p>
        </w:tc>
      </w:tr>
    </w:tbl>
    <w:p w14:paraId="403CCE64">
      <w:pPr>
        <w:numPr>
          <w:ilvl w:val="0"/>
          <w:numId w:val="1"/>
        </w:numPr>
        <w:spacing w:line="600" w:lineRule="exact"/>
        <w:jc w:val="left"/>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个人体能赛（模块A）计分规则表</w:t>
      </w:r>
    </w:p>
    <w:tbl>
      <w:tblPr>
        <w:tblStyle w:val="12"/>
        <w:tblW w:w="95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1"/>
        <w:gridCol w:w="951"/>
        <w:gridCol w:w="952"/>
        <w:gridCol w:w="952"/>
        <w:gridCol w:w="952"/>
        <w:gridCol w:w="954"/>
        <w:gridCol w:w="952"/>
        <w:gridCol w:w="954"/>
        <w:gridCol w:w="952"/>
        <w:gridCol w:w="952"/>
      </w:tblGrid>
      <w:tr w14:paraId="03B8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8" w:hRule="atLeast"/>
        </w:trPr>
        <w:tc>
          <w:tcPr>
            <w:tcW w:w="951" w:type="dxa"/>
            <w:tcBorders>
              <w:top w:val="single" w:color="000000" w:sz="4" w:space="0"/>
              <w:left w:val="single" w:color="000000" w:sz="4" w:space="0"/>
              <w:bottom w:val="single" w:color="000000" w:sz="4" w:space="0"/>
              <w:right w:val="single" w:color="000000" w:sz="4" w:space="0"/>
            </w:tcBorders>
            <w:shd w:val="clear" w:color="auto" w:fill="auto"/>
            <w:vAlign w:val="top"/>
          </w:tcPr>
          <w:p w14:paraId="12413CFC">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名次</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top"/>
          </w:tcPr>
          <w:p w14:paraId="504F747D">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得分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7B3FC99E">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名次</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532A737A">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得分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5E9AA23B">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名次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top"/>
          </w:tcPr>
          <w:p w14:paraId="5A5577CC">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得分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7222759C">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名次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top"/>
          </w:tcPr>
          <w:p w14:paraId="35844F3E">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得分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5B04FF48">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名次</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top"/>
          </w:tcPr>
          <w:p w14:paraId="19DE7191">
            <w:pPr>
              <w:keepNext w:val="0"/>
              <w:keepLines w:val="0"/>
              <w:widowControl/>
              <w:suppressLineNumbers w:val="0"/>
              <w:jc w:val="center"/>
              <w:textAlignment w:val="top"/>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得分</w:t>
            </w:r>
          </w:p>
        </w:tc>
      </w:tr>
      <w:tr w14:paraId="03C5A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5CAF4">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5457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44B4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B56F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587F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0EC9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4783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1D9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A7A9E">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D7AA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10</w:t>
            </w:r>
          </w:p>
        </w:tc>
      </w:tr>
      <w:tr w14:paraId="283ED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58F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AC7B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A58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B73C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2901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1710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9B16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2AC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4D3A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347C">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9.5</w:t>
            </w:r>
          </w:p>
        </w:tc>
      </w:tr>
      <w:tr w14:paraId="53DCA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979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3CE3C">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A8C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66F2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2EF13">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7F1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87F8C">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458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996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58E2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9</w:t>
            </w:r>
          </w:p>
        </w:tc>
      </w:tr>
      <w:tr w14:paraId="4DAEC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75FE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333E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E7C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E1D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F6B1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1D7B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F6F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D164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828F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756E">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8.5</w:t>
            </w:r>
          </w:p>
        </w:tc>
      </w:tr>
      <w:tr w14:paraId="555AF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3F7E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EFB2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BA2A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545E">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C3F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706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0397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CBBF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ECE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E391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8</w:t>
            </w:r>
          </w:p>
        </w:tc>
      </w:tr>
      <w:tr w14:paraId="3F971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D0E3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846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95D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8B7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CE4C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763D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FAA4">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2AC2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E9C8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835F3">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7.5</w:t>
            </w:r>
          </w:p>
        </w:tc>
      </w:tr>
      <w:tr w14:paraId="7DB6A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5981E">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35F1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B08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945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4F5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0F8F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22C9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5821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6F9A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383F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7</w:t>
            </w:r>
          </w:p>
        </w:tc>
      </w:tr>
      <w:tr w14:paraId="3413F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3B53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49FD3">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7EF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052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7896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C4449">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545B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B61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340A">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94746">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6.5</w:t>
            </w:r>
          </w:p>
        </w:tc>
      </w:tr>
      <w:tr w14:paraId="6D4CE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2F59F">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DCB03">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92514">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205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4CB1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47A5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53C8">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13AF0">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DF14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02E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6</w:t>
            </w:r>
          </w:p>
        </w:tc>
      </w:tr>
      <w:tr w14:paraId="12131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B9912">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30CB1">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2783">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B62C">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14ED">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A657">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2914">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019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6CF1B">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1E535">
            <w:pPr>
              <w:keepNext w:val="0"/>
              <w:keepLines w:val="0"/>
              <w:widowControl/>
              <w:suppressLineNumbers w:val="0"/>
              <w:jc w:val="center"/>
              <w:textAlignment w:val="center"/>
              <w:rPr>
                <w:rFonts w:hint="eastAsia" w:ascii="仿宋" w:hAnsi="仿宋" w:eastAsia="仿宋" w:cs="仿宋"/>
                <w:i w:val="0"/>
                <w:iCs w:val="0"/>
                <w:color w:val="auto"/>
                <w:sz w:val="32"/>
                <w:szCs w:val="32"/>
                <w:u w:val="none"/>
              </w:rPr>
            </w:pPr>
            <w:r>
              <w:rPr>
                <w:rFonts w:hint="eastAsia" w:ascii="仿宋" w:hAnsi="仿宋" w:eastAsia="仿宋" w:cs="仿宋"/>
                <w:i w:val="0"/>
                <w:iCs w:val="0"/>
                <w:color w:val="auto"/>
                <w:kern w:val="0"/>
                <w:sz w:val="32"/>
                <w:szCs w:val="32"/>
                <w:u w:val="none"/>
                <w:lang w:val="en-US" w:eastAsia="zh-CN" w:bidi="ar"/>
              </w:rPr>
              <w:t>5.5</w:t>
            </w:r>
          </w:p>
        </w:tc>
      </w:tr>
      <w:tr w14:paraId="10C52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1" w:hRule="atLeast"/>
        </w:trPr>
        <w:tc>
          <w:tcPr>
            <w:tcW w:w="9522"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9AC23">
            <w:pPr>
              <w:keepNext w:val="0"/>
              <w:keepLines w:val="0"/>
              <w:widowControl/>
              <w:suppressLineNumbers w:val="0"/>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第1名计50分，2至10名依次递减2分</w:t>
            </w:r>
          </w:p>
          <w:p w14:paraId="698E6E99">
            <w:pPr>
              <w:keepNext w:val="0"/>
              <w:keepLines w:val="0"/>
              <w:widowControl/>
              <w:suppressLineNumbers w:val="0"/>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第11名至第20名依次递减1分</w:t>
            </w:r>
          </w:p>
          <w:p w14:paraId="039770C9">
            <w:pPr>
              <w:keepNext w:val="0"/>
              <w:keepLines w:val="0"/>
              <w:widowControl/>
              <w:suppressLineNumbers w:val="0"/>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第21名至第50名依次递减0.5分</w:t>
            </w:r>
          </w:p>
          <w:p w14:paraId="70EBD15E">
            <w:pPr>
              <w:keepNext w:val="0"/>
              <w:keepLines w:val="0"/>
              <w:widowControl/>
              <w:suppressLineNumbers w:val="0"/>
              <w:jc w:val="left"/>
              <w:textAlignment w:val="center"/>
              <w:rPr>
                <w:rFonts w:hint="eastAsia" w:ascii="仿宋" w:hAnsi="仿宋" w:eastAsia="仿宋" w:cs="仿宋"/>
                <w:i w:val="0"/>
                <w:iCs w:val="0"/>
                <w:color w:val="auto"/>
                <w:kern w:val="0"/>
                <w:sz w:val="32"/>
                <w:szCs w:val="32"/>
                <w:u w:val="none"/>
                <w:lang w:val="en-US" w:eastAsia="zh-CN" w:bidi="ar"/>
              </w:rPr>
            </w:pPr>
            <w:r>
              <w:rPr>
                <w:rFonts w:hint="eastAsia" w:ascii="仿宋" w:hAnsi="仿宋" w:eastAsia="仿宋" w:cs="仿宋"/>
                <w:i w:val="0"/>
                <w:iCs w:val="0"/>
                <w:color w:val="auto"/>
                <w:kern w:val="0"/>
                <w:sz w:val="32"/>
                <w:szCs w:val="32"/>
                <w:u w:val="none"/>
                <w:lang w:val="en-US" w:eastAsia="zh-CN" w:bidi="ar"/>
              </w:rPr>
              <w:t>第51名之后均计5分</w:t>
            </w:r>
          </w:p>
        </w:tc>
      </w:tr>
    </w:tbl>
    <w:p w14:paraId="154E937C">
      <w:pPr>
        <w:numPr>
          <w:ilvl w:val="0"/>
          <w:numId w:val="0"/>
        </w:numPr>
        <w:spacing w:line="600" w:lineRule="exact"/>
        <w:jc w:val="left"/>
        <w:rPr>
          <w:rFonts w:hint="default" w:ascii="仿宋" w:hAnsi="仿宋" w:eastAsia="仿宋" w:cs="仿宋"/>
          <w:color w:val="auto"/>
          <w:kern w:val="0"/>
          <w:sz w:val="32"/>
          <w:szCs w:val="32"/>
          <w:lang w:val="en-US" w:eastAsia="zh-CN"/>
        </w:rPr>
      </w:pPr>
    </w:p>
    <w:p w14:paraId="43E3B73A">
      <w:pPr>
        <w:numPr>
          <w:ilvl w:val="0"/>
          <w:numId w:val="0"/>
        </w:numPr>
        <w:spacing w:line="600" w:lineRule="exact"/>
        <w:jc w:val="left"/>
        <w:rPr>
          <w:rFonts w:hint="default" w:ascii="仿宋" w:hAnsi="仿宋" w:eastAsia="仿宋" w:cs="仿宋"/>
          <w:color w:val="auto"/>
          <w:kern w:val="0"/>
          <w:sz w:val="32"/>
          <w:szCs w:val="32"/>
          <w:lang w:val="en-US" w:eastAsia="zh-CN"/>
        </w:rPr>
      </w:pPr>
    </w:p>
    <w:p w14:paraId="18F7A209">
      <w:pPr>
        <w:numPr>
          <w:ilvl w:val="0"/>
          <w:numId w:val="0"/>
        </w:numPr>
        <w:spacing w:line="600" w:lineRule="exact"/>
        <w:jc w:val="left"/>
        <w:rPr>
          <w:rFonts w:hint="default" w:ascii="仿宋" w:hAnsi="仿宋" w:eastAsia="仿宋" w:cs="仿宋"/>
          <w:color w:val="auto"/>
          <w:kern w:val="0"/>
          <w:sz w:val="32"/>
          <w:szCs w:val="32"/>
          <w:lang w:val="en-US" w:eastAsia="zh-CN"/>
        </w:rPr>
      </w:pPr>
    </w:p>
    <w:p w14:paraId="07783D8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模块A选手比赛记录表</w:t>
      </w:r>
    </w:p>
    <w:tbl>
      <w:tblPr>
        <w:tblStyle w:val="13"/>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9"/>
        <w:gridCol w:w="1489"/>
        <w:gridCol w:w="1489"/>
        <w:gridCol w:w="1489"/>
        <w:gridCol w:w="1489"/>
        <w:gridCol w:w="1492"/>
      </w:tblGrid>
      <w:tr w14:paraId="6923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shd w:val="clear" w:color="auto" w:fill="auto"/>
            <w:vAlign w:val="top"/>
          </w:tcPr>
          <w:p w14:paraId="6370E2D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r>
              <w:rPr>
                <w:rFonts w:hint="eastAsia" w:hAnsi="Times New Roman" w:cs="仿宋_GB2312"/>
                <w:color w:val="auto"/>
                <w:szCs w:val="20"/>
                <w:vertAlign w:val="baseline"/>
                <w:lang w:val="en-US" w:eastAsia="zh-CN"/>
              </w:rPr>
              <w:t>选手姓名</w:t>
            </w:r>
          </w:p>
        </w:tc>
        <w:tc>
          <w:tcPr>
            <w:tcW w:w="1489" w:type="dxa"/>
            <w:shd w:val="clear" w:color="auto" w:fill="auto"/>
            <w:vAlign w:val="top"/>
          </w:tcPr>
          <w:p w14:paraId="06E3F0C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r>
              <w:rPr>
                <w:rFonts w:hint="eastAsia" w:hAnsi="Times New Roman" w:cs="仿宋_GB2312"/>
                <w:color w:val="auto"/>
                <w:szCs w:val="20"/>
                <w:vertAlign w:val="baseline"/>
                <w:lang w:val="en-US" w:eastAsia="zh-CN"/>
              </w:rPr>
              <w:t>成绩</w:t>
            </w:r>
          </w:p>
        </w:tc>
        <w:tc>
          <w:tcPr>
            <w:tcW w:w="1489" w:type="dxa"/>
            <w:shd w:val="clear" w:color="auto" w:fill="auto"/>
            <w:vAlign w:val="top"/>
          </w:tcPr>
          <w:p w14:paraId="3D2A74A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r>
              <w:rPr>
                <w:rFonts w:hint="eastAsia" w:hAnsi="Times New Roman" w:cs="仿宋_GB2312"/>
                <w:color w:val="auto"/>
                <w:szCs w:val="20"/>
                <w:vertAlign w:val="baseline"/>
                <w:lang w:val="en-US" w:eastAsia="zh-CN"/>
              </w:rPr>
              <w:t>裁判签名</w:t>
            </w:r>
          </w:p>
        </w:tc>
        <w:tc>
          <w:tcPr>
            <w:tcW w:w="1489" w:type="dxa"/>
            <w:shd w:val="clear" w:color="auto" w:fill="auto"/>
            <w:vAlign w:val="top"/>
          </w:tcPr>
          <w:p w14:paraId="32CA6FB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r>
              <w:rPr>
                <w:rFonts w:hint="eastAsia" w:hAnsi="Times New Roman" w:cs="仿宋_GB2312"/>
                <w:color w:val="auto"/>
                <w:szCs w:val="20"/>
                <w:vertAlign w:val="baseline"/>
                <w:lang w:val="en-US" w:eastAsia="zh-CN"/>
              </w:rPr>
              <w:t>选手签名</w:t>
            </w:r>
          </w:p>
        </w:tc>
        <w:tc>
          <w:tcPr>
            <w:tcW w:w="1489" w:type="dxa"/>
            <w:shd w:val="clear" w:color="auto" w:fill="auto"/>
            <w:vAlign w:val="top"/>
          </w:tcPr>
          <w:p w14:paraId="7A755C1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r>
              <w:rPr>
                <w:rFonts w:hint="eastAsia" w:hAnsi="Times New Roman" w:cs="仿宋_GB2312"/>
                <w:color w:val="auto"/>
                <w:szCs w:val="20"/>
                <w:vertAlign w:val="baseline"/>
                <w:lang w:val="en-US" w:eastAsia="zh-CN"/>
              </w:rPr>
              <w:t>名次</w:t>
            </w:r>
          </w:p>
        </w:tc>
        <w:tc>
          <w:tcPr>
            <w:tcW w:w="1492" w:type="dxa"/>
            <w:vAlign w:val="top"/>
          </w:tcPr>
          <w:p w14:paraId="75F0B4B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hAnsi="Times New Roman" w:cs="仿宋_GB2312"/>
                <w:color w:val="auto"/>
                <w:szCs w:val="20"/>
                <w:vertAlign w:val="baseline"/>
                <w:lang w:val="en-US" w:eastAsia="zh-CN"/>
              </w:rPr>
            </w:pPr>
            <w:r>
              <w:rPr>
                <w:rFonts w:hint="eastAsia" w:hAnsi="Times New Roman" w:cs="仿宋_GB2312"/>
                <w:color w:val="auto"/>
                <w:szCs w:val="20"/>
                <w:vertAlign w:val="baseline"/>
                <w:lang w:val="en-US" w:eastAsia="zh-CN"/>
              </w:rPr>
              <w:t>积分</w:t>
            </w:r>
          </w:p>
        </w:tc>
      </w:tr>
      <w:tr w14:paraId="5380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4E23C55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68B0BA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3FBAE9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shd w:val="clear" w:color="auto" w:fill="auto"/>
            <w:vAlign w:val="top"/>
          </w:tcPr>
          <w:p w14:paraId="067BE64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p>
        </w:tc>
        <w:tc>
          <w:tcPr>
            <w:tcW w:w="1489" w:type="dxa"/>
            <w:shd w:val="clear" w:color="auto" w:fill="auto"/>
            <w:vAlign w:val="top"/>
          </w:tcPr>
          <w:p w14:paraId="538529D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仿宋_GB2312"/>
                <w:color w:val="auto"/>
                <w:kern w:val="2"/>
                <w:sz w:val="32"/>
                <w:szCs w:val="20"/>
                <w:vertAlign w:val="baseline"/>
                <w:lang w:val="en-US" w:eastAsia="zh-CN" w:bidi="ar-SA"/>
              </w:rPr>
            </w:pPr>
          </w:p>
        </w:tc>
        <w:tc>
          <w:tcPr>
            <w:tcW w:w="1492" w:type="dxa"/>
          </w:tcPr>
          <w:p w14:paraId="7A6AC8F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0A19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4672DF2A">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A33490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60D40D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353C15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D143FF2">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2F9C492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1FA51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72108CF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C89A7E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31D0576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9245DA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D23CBA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568CCC1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6C9DD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3E61CDF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3EA4E3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ADB241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ADD65A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4F9D4E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2DFF3FC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4D6B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4820FAE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365F75A">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76B9F4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B47C5B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C62F64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42BAE29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5F3B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2D10D48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07CC26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1D267B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7AEFCF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3844157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5044AD6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1AF3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1CD51B5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4D47F5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BC4588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152525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8AA259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451A981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77D0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5386E61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B112A4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3505DB9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2BA662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AD10AB0">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30AFD14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499CE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7B90C83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9E4F9B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A8C9DA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E8E78E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2BC995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C6E026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40597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2A58BEE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B0E7448">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161423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A453E5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46592F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1620FE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5A737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0E89C60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BCA9D68">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261818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3E1743F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3926AAF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513DA27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247C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2C81E9D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6FF8E8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82266E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DCCFF0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78A3B0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7B9CB1B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3F448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74133DF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073848E">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52F6F0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AFE3D5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30F8522">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38F1CE3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36763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7E77DDA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951D618">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98A732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D54BD0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2B51DA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59CD9A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7127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1E05A54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153EE6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0B52A7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FFBA7F2">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B24DBB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8C4634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3B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489" w:type="dxa"/>
          </w:tcPr>
          <w:p w14:paraId="335A5EF8">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7F64AF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6D4CE53">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301110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042634A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712C701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6C5B3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53079E5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8DC593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5402C1D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D348CE8">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456E008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9C98037">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r w14:paraId="7AF44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89" w:type="dxa"/>
          </w:tcPr>
          <w:p w14:paraId="46770EF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2F3BEB0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1AFBC579">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6601F7E1">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89" w:type="dxa"/>
          </w:tcPr>
          <w:p w14:paraId="7811C8C6">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c>
          <w:tcPr>
            <w:tcW w:w="1492" w:type="dxa"/>
          </w:tcPr>
          <w:p w14:paraId="18A1119C">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Times New Roman" w:cs="仿宋_GB2312"/>
                <w:color w:val="auto"/>
                <w:szCs w:val="20"/>
                <w:vertAlign w:val="baseline"/>
                <w:lang w:val="en-US" w:eastAsia="zh-CN"/>
              </w:rPr>
            </w:pPr>
          </w:p>
        </w:tc>
      </w:tr>
    </w:tbl>
    <w:p w14:paraId="023F9DDD">
      <w:pPr>
        <w:spacing w:line="600" w:lineRule="exact"/>
        <w:jc w:val="left"/>
        <w:rPr>
          <w:rFonts w:hint="eastAsia" w:ascii="仿宋" w:hAnsi="仿宋" w:eastAsia="仿宋" w:cs="仿宋"/>
          <w:color w:val="auto"/>
          <w:kern w:val="0"/>
          <w:sz w:val="32"/>
          <w:szCs w:val="32"/>
          <w:lang w:val="en-US" w:eastAsia="zh-CN"/>
        </w:rPr>
      </w:pPr>
    </w:p>
    <w:p w14:paraId="76AA976C">
      <w:pPr>
        <w:spacing w:line="600" w:lineRule="exact"/>
        <w:ind w:firstLine="632" w:firstLineChars="20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3.</w:t>
      </w:r>
      <w:r>
        <w:rPr>
          <w:rFonts w:hint="eastAsia" w:ascii="仿宋" w:hAnsi="仿宋" w:eastAsia="仿宋" w:cs="仿宋"/>
          <w:color w:val="auto"/>
          <w:kern w:val="0"/>
          <w:sz w:val="32"/>
          <w:szCs w:val="32"/>
        </w:rPr>
        <w:t>方案设计赛 （模块B）比赛评分表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1061"/>
        <w:gridCol w:w="2560"/>
        <w:gridCol w:w="2424"/>
        <w:gridCol w:w="1079"/>
        <w:gridCol w:w="1123"/>
      </w:tblGrid>
      <w:tr w14:paraId="0CBB0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5000" w:type="pct"/>
            <w:gridSpan w:val="6"/>
            <w:noWrap/>
          </w:tcPr>
          <w:p w14:paraId="6EDD4181">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教学方案设计赛（模块B）比赛评分表</w:t>
            </w:r>
          </w:p>
        </w:tc>
      </w:tr>
      <w:tr w14:paraId="40116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 w:hRule="atLeast"/>
        </w:trPr>
        <w:tc>
          <w:tcPr>
            <w:tcW w:w="2479" w:type="pct"/>
            <w:gridSpan w:val="3"/>
            <w:noWrap/>
          </w:tcPr>
          <w:p w14:paraId="15BE13B0">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选手号码：</w:t>
            </w:r>
          </w:p>
        </w:tc>
        <w:tc>
          <w:tcPr>
            <w:tcW w:w="2521" w:type="pct"/>
            <w:gridSpan w:val="3"/>
            <w:noWrap/>
          </w:tcPr>
          <w:p w14:paraId="794CC258">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裁判员：</w:t>
            </w:r>
          </w:p>
        </w:tc>
      </w:tr>
      <w:tr w14:paraId="724F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84" w:type="pct"/>
            <w:gridSpan w:val="2"/>
            <w:noWrap/>
          </w:tcPr>
          <w:p w14:paraId="4C4C279D">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序 号</w:t>
            </w:r>
          </w:p>
        </w:tc>
        <w:tc>
          <w:tcPr>
            <w:tcW w:w="2716" w:type="pct"/>
            <w:gridSpan w:val="2"/>
            <w:noWrap/>
          </w:tcPr>
          <w:p w14:paraId="58CB8C7C">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xml:space="preserve">          评价标准</w:t>
            </w:r>
          </w:p>
        </w:tc>
        <w:tc>
          <w:tcPr>
            <w:tcW w:w="587" w:type="pct"/>
            <w:noWrap/>
          </w:tcPr>
          <w:p w14:paraId="38E4019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分值</w:t>
            </w:r>
          </w:p>
        </w:tc>
        <w:tc>
          <w:tcPr>
            <w:tcW w:w="612" w:type="pct"/>
            <w:noWrap/>
          </w:tcPr>
          <w:p w14:paraId="409A3588">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得分</w:t>
            </w:r>
          </w:p>
        </w:tc>
      </w:tr>
      <w:tr w14:paraId="7D5C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506" w:type="pct"/>
            <w:vMerge w:val="restart"/>
          </w:tcPr>
          <w:p w14:paraId="05DD8E46">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模块B比赛</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分数</w:t>
            </w:r>
          </w:p>
        </w:tc>
        <w:tc>
          <w:tcPr>
            <w:tcW w:w="578" w:type="pct"/>
            <w:noWrap/>
          </w:tcPr>
          <w:p w14:paraId="09A19400">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1</w:t>
            </w:r>
          </w:p>
        </w:tc>
        <w:tc>
          <w:tcPr>
            <w:tcW w:w="2716" w:type="pct"/>
            <w:gridSpan w:val="2"/>
            <w:noWrap/>
          </w:tcPr>
          <w:p w14:paraId="57372CC6">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训练需求分析判断准确性和全面性</w:t>
            </w:r>
          </w:p>
        </w:tc>
        <w:tc>
          <w:tcPr>
            <w:tcW w:w="587" w:type="pct"/>
            <w:noWrap/>
          </w:tcPr>
          <w:p w14:paraId="2C55FFF7">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612" w:type="pct"/>
            <w:noWrap/>
          </w:tcPr>
          <w:p w14:paraId="5E1801AE">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54D0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06" w:type="pct"/>
            <w:vMerge w:val="continue"/>
          </w:tcPr>
          <w:p w14:paraId="2121D3DB">
            <w:pPr>
              <w:widowControl/>
              <w:jc w:val="left"/>
              <w:rPr>
                <w:rFonts w:hint="eastAsia" w:ascii="仿宋" w:hAnsi="仿宋" w:eastAsia="仿宋" w:cs="仿宋"/>
                <w:color w:val="auto"/>
                <w:kern w:val="0"/>
                <w:sz w:val="32"/>
                <w:szCs w:val="32"/>
              </w:rPr>
            </w:pPr>
          </w:p>
        </w:tc>
        <w:tc>
          <w:tcPr>
            <w:tcW w:w="578" w:type="pct"/>
            <w:noWrap/>
          </w:tcPr>
          <w:p w14:paraId="45C0B551">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2</w:t>
            </w:r>
          </w:p>
        </w:tc>
        <w:tc>
          <w:tcPr>
            <w:tcW w:w="2716" w:type="pct"/>
            <w:gridSpan w:val="2"/>
            <w:noWrap/>
          </w:tcPr>
          <w:p w14:paraId="7D9A90C8">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训练任务目标提炼准确性和全面性</w:t>
            </w:r>
          </w:p>
        </w:tc>
        <w:tc>
          <w:tcPr>
            <w:tcW w:w="587" w:type="pct"/>
            <w:noWrap/>
          </w:tcPr>
          <w:p w14:paraId="79D3B625">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612" w:type="pct"/>
            <w:noWrap/>
          </w:tcPr>
          <w:p w14:paraId="5EED116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2B03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06" w:type="pct"/>
            <w:vMerge w:val="continue"/>
          </w:tcPr>
          <w:p w14:paraId="62912395">
            <w:pPr>
              <w:widowControl/>
              <w:jc w:val="left"/>
              <w:rPr>
                <w:rFonts w:hint="eastAsia" w:ascii="仿宋" w:hAnsi="仿宋" w:eastAsia="仿宋" w:cs="仿宋"/>
                <w:color w:val="auto"/>
                <w:kern w:val="0"/>
                <w:sz w:val="32"/>
                <w:szCs w:val="32"/>
              </w:rPr>
            </w:pPr>
          </w:p>
        </w:tc>
        <w:tc>
          <w:tcPr>
            <w:tcW w:w="578" w:type="pct"/>
            <w:noWrap/>
          </w:tcPr>
          <w:p w14:paraId="4EDAE18C">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3</w:t>
            </w:r>
          </w:p>
        </w:tc>
        <w:tc>
          <w:tcPr>
            <w:tcW w:w="2716" w:type="pct"/>
            <w:gridSpan w:val="2"/>
            <w:noWrap/>
          </w:tcPr>
          <w:p w14:paraId="66DBCCED">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训练重点要点说明准确性和全面性</w:t>
            </w:r>
          </w:p>
        </w:tc>
        <w:tc>
          <w:tcPr>
            <w:tcW w:w="587" w:type="pct"/>
            <w:noWrap/>
          </w:tcPr>
          <w:p w14:paraId="025DEF3F">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612" w:type="pct"/>
            <w:noWrap/>
          </w:tcPr>
          <w:p w14:paraId="79417751">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34D3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06" w:type="pct"/>
            <w:vMerge w:val="continue"/>
          </w:tcPr>
          <w:p w14:paraId="746D2B5F">
            <w:pPr>
              <w:widowControl/>
              <w:jc w:val="left"/>
              <w:rPr>
                <w:rFonts w:hint="eastAsia" w:ascii="仿宋" w:hAnsi="仿宋" w:eastAsia="仿宋" w:cs="仿宋"/>
                <w:color w:val="auto"/>
                <w:kern w:val="0"/>
                <w:sz w:val="32"/>
                <w:szCs w:val="32"/>
              </w:rPr>
            </w:pPr>
          </w:p>
        </w:tc>
        <w:tc>
          <w:tcPr>
            <w:tcW w:w="578" w:type="pct"/>
            <w:noWrap/>
          </w:tcPr>
          <w:p w14:paraId="47E23E1D">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4</w:t>
            </w:r>
          </w:p>
        </w:tc>
        <w:tc>
          <w:tcPr>
            <w:tcW w:w="2716" w:type="pct"/>
            <w:gridSpan w:val="2"/>
            <w:noWrap/>
          </w:tcPr>
          <w:p w14:paraId="1EBB2316">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训练动作组合设计准确性和全面性</w:t>
            </w:r>
          </w:p>
        </w:tc>
        <w:tc>
          <w:tcPr>
            <w:tcW w:w="587" w:type="pct"/>
            <w:noWrap/>
          </w:tcPr>
          <w:p w14:paraId="01AFF19F">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612" w:type="pct"/>
            <w:noWrap/>
          </w:tcPr>
          <w:p w14:paraId="596D6A1D">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1D0B3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6" w:type="pct"/>
            <w:vMerge w:val="continue"/>
          </w:tcPr>
          <w:p w14:paraId="639A2C6B">
            <w:pPr>
              <w:widowControl/>
              <w:jc w:val="left"/>
              <w:rPr>
                <w:rFonts w:hint="eastAsia" w:ascii="仿宋" w:hAnsi="仿宋" w:eastAsia="仿宋" w:cs="仿宋"/>
                <w:color w:val="auto"/>
                <w:kern w:val="0"/>
                <w:sz w:val="32"/>
                <w:szCs w:val="32"/>
              </w:rPr>
            </w:pPr>
          </w:p>
        </w:tc>
        <w:tc>
          <w:tcPr>
            <w:tcW w:w="578" w:type="pct"/>
            <w:noWrap/>
          </w:tcPr>
          <w:p w14:paraId="1F316016">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2716" w:type="pct"/>
            <w:gridSpan w:val="2"/>
            <w:noWrap/>
          </w:tcPr>
          <w:p w14:paraId="4C809F86">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方案设计创新性和可行性</w:t>
            </w:r>
          </w:p>
        </w:tc>
        <w:tc>
          <w:tcPr>
            <w:tcW w:w="587" w:type="pct"/>
            <w:noWrap/>
          </w:tcPr>
          <w:p w14:paraId="0C9A65EE">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612" w:type="pct"/>
            <w:noWrap/>
          </w:tcPr>
          <w:p w14:paraId="4907F65B">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1BCE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trPr>
        <w:tc>
          <w:tcPr>
            <w:tcW w:w="4388" w:type="pct"/>
            <w:gridSpan w:val="5"/>
            <w:noWrap/>
          </w:tcPr>
          <w:p w14:paraId="08ACAA73">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总      得     分</w:t>
            </w:r>
          </w:p>
        </w:tc>
        <w:tc>
          <w:tcPr>
            <w:tcW w:w="612" w:type="pct"/>
            <w:noWrap/>
          </w:tcPr>
          <w:p w14:paraId="370F133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bl>
    <w:p w14:paraId="2A3FD5AD">
      <w:pPr>
        <w:spacing w:line="600" w:lineRule="exact"/>
        <w:ind w:firstLine="632" w:firstLineChars="200"/>
        <w:jc w:val="left"/>
        <w:rPr>
          <w:rFonts w:hint="eastAsia" w:ascii="仿宋" w:hAnsi="仿宋" w:eastAsia="仿宋" w:cs="仿宋"/>
          <w:color w:val="auto"/>
          <w:sz w:val="32"/>
          <w:szCs w:val="32"/>
        </w:rPr>
      </w:pP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 动作路演赛（模块C）比赛评分表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004"/>
        <w:gridCol w:w="2971"/>
        <w:gridCol w:w="1622"/>
        <w:gridCol w:w="1216"/>
        <w:gridCol w:w="1338"/>
      </w:tblGrid>
      <w:tr w14:paraId="4972B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 w:hRule="atLeast"/>
        </w:trPr>
        <w:tc>
          <w:tcPr>
            <w:tcW w:w="5000" w:type="pct"/>
            <w:gridSpan w:val="6"/>
            <w:noWrap/>
            <w:vAlign w:val="center"/>
          </w:tcPr>
          <w:p w14:paraId="4C504F1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动作路演赛（模块C）比赛评分表</w:t>
            </w:r>
          </w:p>
        </w:tc>
      </w:tr>
      <w:tr w14:paraId="3C2BB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2724" w:type="pct"/>
            <w:gridSpan w:val="3"/>
            <w:noWrap/>
            <w:vAlign w:val="center"/>
          </w:tcPr>
          <w:p w14:paraId="1E172331">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选手号码：</w:t>
            </w:r>
          </w:p>
        </w:tc>
        <w:tc>
          <w:tcPr>
            <w:tcW w:w="2276" w:type="pct"/>
            <w:gridSpan w:val="3"/>
            <w:noWrap/>
            <w:vAlign w:val="center"/>
          </w:tcPr>
          <w:p w14:paraId="5099EFFA">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裁判员：</w:t>
            </w:r>
          </w:p>
        </w:tc>
      </w:tr>
      <w:tr w14:paraId="6E5BA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1105" w:type="pct"/>
            <w:gridSpan w:val="2"/>
            <w:noWrap/>
            <w:vAlign w:val="center"/>
          </w:tcPr>
          <w:p w14:paraId="6ED03BE7">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序号</w:t>
            </w:r>
          </w:p>
        </w:tc>
        <w:tc>
          <w:tcPr>
            <w:tcW w:w="2503" w:type="pct"/>
            <w:gridSpan w:val="2"/>
            <w:noWrap/>
            <w:vAlign w:val="center"/>
          </w:tcPr>
          <w:p w14:paraId="594BDFD2">
            <w:pPr>
              <w:widowControl/>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xml:space="preserve">        评价标准</w:t>
            </w:r>
          </w:p>
        </w:tc>
        <w:tc>
          <w:tcPr>
            <w:tcW w:w="663" w:type="pct"/>
            <w:noWrap/>
            <w:vAlign w:val="center"/>
          </w:tcPr>
          <w:p w14:paraId="0364DA64">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分值</w:t>
            </w:r>
          </w:p>
        </w:tc>
        <w:tc>
          <w:tcPr>
            <w:tcW w:w="729" w:type="pct"/>
            <w:noWrap/>
            <w:vAlign w:val="center"/>
          </w:tcPr>
          <w:p w14:paraId="258ED98C">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得分</w:t>
            </w:r>
          </w:p>
        </w:tc>
      </w:tr>
      <w:tr w14:paraId="5BCE3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558" w:type="pct"/>
            <w:vMerge w:val="restart"/>
            <w:vAlign w:val="center"/>
          </w:tcPr>
          <w:p w14:paraId="1EAF3EE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模块C比赛</w:t>
            </w:r>
            <w:r>
              <w:rPr>
                <w:rFonts w:hint="eastAsia" w:ascii="仿宋" w:hAnsi="仿宋" w:eastAsia="仿宋" w:cs="仿宋"/>
                <w:color w:val="auto"/>
                <w:kern w:val="0"/>
                <w:sz w:val="32"/>
                <w:szCs w:val="32"/>
              </w:rPr>
              <w:br w:type="textWrapping"/>
            </w:r>
            <w:r>
              <w:rPr>
                <w:rFonts w:hint="eastAsia" w:ascii="仿宋" w:hAnsi="仿宋" w:eastAsia="仿宋" w:cs="仿宋"/>
                <w:color w:val="auto"/>
                <w:kern w:val="0"/>
                <w:sz w:val="32"/>
                <w:szCs w:val="32"/>
              </w:rPr>
              <w:t>分数</w:t>
            </w:r>
          </w:p>
        </w:tc>
        <w:tc>
          <w:tcPr>
            <w:tcW w:w="547" w:type="pct"/>
            <w:noWrap/>
            <w:vAlign w:val="center"/>
          </w:tcPr>
          <w:p w14:paraId="088C9106">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1</w:t>
            </w:r>
          </w:p>
        </w:tc>
        <w:tc>
          <w:tcPr>
            <w:tcW w:w="2503" w:type="pct"/>
            <w:gridSpan w:val="2"/>
            <w:noWrap/>
            <w:vAlign w:val="center"/>
          </w:tcPr>
          <w:p w14:paraId="2DD093A5">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问答环节准确性和全面性</w:t>
            </w:r>
          </w:p>
        </w:tc>
        <w:tc>
          <w:tcPr>
            <w:tcW w:w="663" w:type="pct"/>
            <w:noWrap/>
            <w:vAlign w:val="center"/>
          </w:tcPr>
          <w:p w14:paraId="7A6E9B86">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729" w:type="pct"/>
            <w:noWrap/>
            <w:vAlign w:val="center"/>
          </w:tcPr>
          <w:p w14:paraId="6691E3A3">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0FB83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58" w:type="pct"/>
            <w:vMerge w:val="continue"/>
            <w:vAlign w:val="center"/>
          </w:tcPr>
          <w:p w14:paraId="4D8A0872">
            <w:pPr>
              <w:widowControl/>
              <w:jc w:val="left"/>
              <w:rPr>
                <w:rFonts w:hint="eastAsia" w:ascii="仿宋" w:hAnsi="仿宋" w:eastAsia="仿宋" w:cs="仿宋"/>
                <w:color w:val="auto"/>
                <w:kern w:val="0"/>
                <w:sz w:val="32"/>
                <w:szCs w:val="32"/>
              </w:rPr>
            </w:pPr>
          </w:p>
        </w:tc>
        <w:tc>
          <w:tcPr>
            <w:tcW w:w="547" w:type="pct"/>
            <w:noWrap/>
            <w:vAlign w:val="center"/>
          </w:tcPr>
          <w:p w14:paraId="22306E75">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2</w:t>
            </w:r>
          </w:p>
        </w:tc>
        <w:tc>
          <w:tcPr>
            <w:tcW w:w="2503" w:type="pct"/>
            <w:gridSpan w:val="2"/>
            <w:noWrap/>
            <w:vAlign w:val="center"/>
          </w:tcPr>
          <w:p w14:paraId="3F213F6A">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教练职业形象及语言表达能力</w:t>
            </w:r>
          </w:p>
        </w:tc>
        <w:tc>
          <w:tcPr>
            <w:tcW w:w="663" w:type="pct"/>
            <w:noWrap/>
            <w:vAlign w:val="center"/>
          </w:tcPr>
          <w:p w14:paraId="31D60DBD">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729" w:type="pct"/>
            <w:noWrap/>
            <w:vAlign w:val="center"/>
          </w:tcPr>
          <w:p w14:paraId="11204203">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4DC3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558" w:type="pct"/>
            <w:vMerge w:val="continue"/>
            <w:vAlign w:val="center"/>
          </w:tcPr>
          <w:p w14:paraId="71BBD8D8">
            <w:pPr>
              <w:widowControl/>
              <w:jc w:val="left"/>
              <w:rPr>
                <w:rFonts w:hint="eastAsia" w:ascii="仿宋" w:hAnsi="仿宋" w:eastAsia="仿宋" w:cs="仿宋"/>
                <w:color w:val="auto"/>
                <w:kern w:val="0"/>
                <w:sz w:val="32"/>
                <w:szCs w:val="32"/>
              </w:rPr>
            </w:pPr>
          </w:p>
        </w:tc>
        <w:tc>
          <w:tcPr>
            <w:tcW w:w="547" w:type="pct"/>
            <w:noWrap/>
            <w:vAlign w:val="center"/>
          </w:tcPr>
          <w:p w14:paraId="2FAD153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3</w:t>
            </w:r>
          </w:p>
        </w:tc>
        <w:tc>
          <w:tcPr>
            <w:tcW w:w="2503" w:type="pct"/>
            <w:gridSpan w:val="2"/>
            <w:noWrap/>
            <w:vAlign w:val="center"/>
          </w:tcPr>
          <w:p w14:paraId="4CEBB950">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肌肉功能讲解准确性及全面性</w:t>
            </w:r>
          </w:p>
        </w:tc>
        <w:tc>
          <w:tcPr>
            <w:tcW w:w="663" w:type="pct"/>
            <w:noWrap/>
            <w:vAlign w:val="center"/>
          </w:tcPr>
          <w:p w14:paraId="1C53ED59">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729" w:type="pct"/>
            <w:noWrap/>
            <w:vAlign w:val="center"/>
          </w:tcPr>
          <w:p w14:paraId="4B2F0657">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2F3AF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558" w:type="pct"/>
            <w:vMerge w:val="continue"/>
            <w:vAlign w:val="center"/>
          </w:tcPr>
          <w:p w14:paraId="3AE8D52F">
            <w:pPr>
              <w:widowControl/>
              <w:jc w:val="left"/>
              <w:rPr>
                <w:rFonts w:hint="eastAsia" w:ascii="仿宋" w:hAnsi="仿宋" w:eastAsia="仿宋" w:cs="仿宋"/>
                <w:color w:val="auto"/>
                <w:kern w:val="0"/>
                <w:sz w:val="32"/>
                <w:szCs w:val="32"/>
              </w:rPr>
            </w:pPr>
          </w:p>
        </w:tc>
        <w:tc>
          <w:tcPr>
            <w:tcW w:w="547" w:type="pct"/>
            <w:noWrap/>
            <w:vAlign w:val="center"/>
          </w:tcPr>
          <w:p w14:paraId="468D8944">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4</w:t>
            </w:r>
          </w:p>
        </w:tc>
        <w:tc>
          <w:tcPr>
            <w:tcW w:w="2503" w:type="pct"/>
            <w:gridSpan w:val="2"/>
            <w:noWrap/>
            <w:vAlign w:val="center"/>
          </w:tcPr>
          <w:p w14:paraId="7F24E817">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动作讲解准确性及标准度</w:t>
            </w:r>
          </w:p>
        </w:tc>
        <w:tc>
          <w:tcPr>
            <w:tcW w:w="663" w:type="pct"/>
            <w:noWrap/>
            <w:vAlign w:val="center"/>
          </w:tcPr>
          <w:p w14:paraId="223304B6">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729" w:type="pct"/>
            <w:noWrap/>
            <w:vAlign w:val="center"/>
          </w:tcPr>
          <w:p w14:paraId="087D97AC">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419DE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558" w:type="pct"/>
            <w:vMerge w:val="continue"/>
            <w:vAlign w:val="center"/>
          </w:tcPr>
          <w:p w14:paraId="079801D0">
            <w:pPr>
              <w:widowControl/>
              <w:jc w:val="left"/>
              <w:rPr>
                <w:rFonts w:hint="eastAsia" w:ascii="仿宋" w:hAnsi="仿宋" w:eastAsia="仿宋" w:cs="仿宋"/>
                <w:color w:val="auto"/>
                <w:kern w:val="0"/>
                <w:sz w:val="32"/>
                <w:szCs w:val="32"/>
              </w:rPr>
            </w:pPr>
          </w:p>
        </w:tc>
        <w:tc>
          <w:tcPr>
            <w:tcW w:w="547" w:type="pct"/>
            <w:noWrap/>
            <w:vAlign w:val="center"/>
          </w:tcPr>
          <w:p w14:paraId="2546D18E">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2503" w:type="pct"/>
            <w:gridSpan w:val="2"/>
            <w:noWrap/>
            <w:vAlign w:val="center"/>
          </w:tcPr>
          <w:p w14:paraId="2ABD11C0">
            <w:pPr>
              <w:widowControl/>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动作展示准确性及标准度</w:t>
            </w:r>
          </w:p>
        </w:tc>
        <w:tc>
          <w:tcPr>
            <w:tcW w:w="663" w:type="pct"/>
            <w:noWrap/>
            <w:vAlign w:val="center"/>
          </w:tcPr>
          <w:p w14:paraId="2F4E2E2F">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5</w:t>
            </w:r>
          </w:p>
        </w:tc>
        <w:tc>
          <w:tcPr>
            <w:tcW w:w="729" w:type="pct"/>
            <w:noWrap/>
            <w:vAlign w:val="center"/>
          </w:tcPr>
          <w:p w14:paraId="2CF97138">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r w14:paraId="22BF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4271" w:type="pct"/>
            <w:gridSpan w:val="5"/>
            <w:noWrap/>
            <w:vAlign w:val="center"/>
          </w:tcPr>
          <w:p w14:paraId="4633978A">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总  得  分</w:t>
            </w:r>
          </w:p>
        </w:tc>
        <w:tc>
          <w:tcPr>
            <w:tcW w:w="729" w:type="pct"/>
            <w:noWrap/>
            <w:vAlign w:val="center"/>
          </w:tcPr>
          <w:p w14:paraId="1E78271F">
            <w:pPr>
              <w:widowControl/>
              <w:jc w:val="center"/>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tc>
      </w:tr>
    </w:tbl>
    <w:p w14:paraId="452B579C">
      <w:p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2.评判方法：</w:t>
      </w:r>
    </w:p>
    <w:p w14:paraId="6CFE0B54">
      <w:pPr>
        <w:numPr>
          <w:ilvl w:val="1"/>
          <w:numId w:val="0"/>
        </w:num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（1）仲裁委员和总裁判长、副总裁判长、主要裁判员（</w:t>
      </w:r>
      <w:r>
        <w:rPr>
          <w:rFonts w:hint="eastAsia" w:ascii="仿宋" w:hAnsi="仿宋" w:eastAsia="仿宋" w:cs="仿宋"/>
          <w:color w:val="auto"/>
          <w:szCs w:val="32"/>
          <w:lang w:val="en-US" w:eastAsia="zh-CN"/>
        </w:rPr>
        <w:t>9</w:t>
      </w:r>
      <w:r>
        <w:rPr>
          <w:rFonts w:hint="eastAsia" w:ascii="仿宋" w:hAnsi="仿宋" w:eastAsia="仿宋" w:cs="仿宋"/>
          <w:color w:val="auto"/>
          <w:szCs w:val="32"/>
        </w:rPr>
        <w:t>-</w:t>
      </w:r>
      <w:r>
        <w:rPr>
          <w:rFonts w:hint="eastAsia" w:ascii="仿宋" w:hAnsi="仿宋" w:eastAsia="仿宋" w:cs="仿宋"/>
          <w:color w:val="auto"/>
          <w:szCs w:val="32"/>
          <w:lang w:val="en-US" w:eastAsia="zh-CN"/>
        </w:rPr>
        <w:t>15</w:t>
      </w:r>
      <w:r>
        <w:rPr>
          <w:rFonts w:hint="eastAsia" w:ascii="仿宋" w:hAnsi="仿宋" w:eastAsia="仿宋" w:cs="仿宋"/>
          <w:color w:val="auto"/>
          <w:szCs w:val="32"/>
        </w:rPr>
        <w:t>人）由大赛组委会选派。</w:t>
      </w:r>
    </w:p>
    <w:p w14:paraId="7FFB0714">
      <w:pPr>
        <w:keepNext w:val="0"/>
        <w:keepLines w:val="0"/>
        <w:widowControl/>
        <w:suppressLineNumbers w:val="0"/>
        <w:jc w:val="left"/>
        <w:textAlignment w:val="center"/>
        <w:rPr>
          <w:rFonts w:hint="eastAsia" w:ascii="仿宋" w:hAnsi="仿宋" w:eastAsia="仿宋" w:cs="仿宋"/>
          <w:color w:val="auto"/>
          <w:szCs w:val="32"/>
        </w:rPr>
      </w:pPr>
      <w:r>
        <w:rPr>
          <w:rFonts w:hint="eastAsia" w:ascii="仿宋" w:hAnsi="仿宋" w:eastAsia="仿宋" w:cs="仿宋"/>
          <w:color w:val="auto"/>
          <w:szCs w:val="32"/>
        </w:rPr>
        <w:t>（2）个人体能</w:t>
      </w:r>
      <w:r>
        <w:rPr>
          <w:rFonts w:hint="eastAsia"/>
          <w:color w:val="auto"/>
        </w:rPr>
        <w:t>赛（模块</w:t>
      </w:r>
      <w:r>
        <w:rPr>
          <w:color w:val="auto"/>
        </w:rPr>
        <w:t>A</w:t>
      </w:r>
      <w:r>
        <w:rPr>
          <w:rFonts w:hint="eastAsia"/>
          <w:color w:val="auto"/>
        </w:rPr>
        <w:t>）按照</w:t>
      </w:r>
      <w:r>
        <w:rPr>
          <w:color w:val="auto"/>
        </w:rPr>
        <w:t>所用时间</w:t>
      </w:r>
      <w:r>
        <w:rPr>
          <w:rFonts w:hint="eastAsia"/>
          <w:color w:val="auto"/>
        </w:rPr>
        <w:t>从快（少）到慢（多）的顺序</w:t>
      </w:r>
      <w:r>
        <w:rPr>
          <w:color w:val="auto"/>
        </w:rPr>
        <w:t>排列</w:t>
      </w:r>
      <w:r>
        <w:rPr>
          <w:rFonts w:hint="eastAsia"/>
          <w:color w:val="auto"/>
        </w:rPr>
        <w:t>名次，</w:t>
      </w:r>
      <w:r>
        <w:rPr>
          <w:rFonts w:hint="eastAsia" w:ascii="仿宋" w:hAnsi="仿宋" w:eastAsia="仿宋" w:cs="仿宋"/>
          <w:i w:val="0"/>
          <w:iCs w:val="0"/>
          <w:color w:val="auto"/>
          <w:kern w:val="0"/>
          <w:sz w:val="32"/>
          <w:szCs w:val="32"/>
          <w:u w:val="none"/>
          <w:lang w:val="en-US" w:eastAsia="zh-CN" w:bidi="ar"/>
        </w:rPr>
        <w:t>第1名及50分，2至10名依次递减2分，第11名至第20名依次递减1分，第21名至第50名依次递减0.5分，第51名之后均计5分。</w:t>
      </w:r>
      <w:r>
        <w:rPr>
          <w:rFonts w:hint="eastAsia"/>
          <w:color w:val="auto"/>
        </w:rPr>
        <w:t>方案设计赛 （模块</w:t>
      </w:r>
      <w:r>
        <w:rPr>
          <w:color w:val="auto"/>
        </w:rPr>
        <w:t>B</w:t>
      </w:r>
      <w:r>
        <w:rPr>
          <w:rFonts w:hint="eastAsia"/>
          <w:color w:val="auto"/>
        </w:rPr>
        <w:t>）、动作路演赛（模块C）由裁判员</w:t>
      </w:r>
      <w:r>
        <w:rPr>
          <w:color w:val="auto"/>
        </w:rPr>
        <w:t>依据评</w:t>
      </w:r>
      <w:r>
        <w:rPr>
          <w:rFonts w:hint="eastAsia"/>
          <w:color w:val="auto"/>
        </w:rPr>
        <w:t>分</w:t>
      </w:r>
      <w:r>
        <w:rPr>
          <w:color w:val="auto"/>
        </w:rPr>
        <w:t>标准进行</w:t>
      </w:r>
      <w:r>
        <w:rPr>
          <w:rFonts w:hint="eastAsia"/>
          <w:color w:val="auto"/>
        </w:rPr>
        <w:t>评</w:t>
      </w:r>
      <w:r>
        <w:rPr>
          <w:color w:val="auto"/>
        </w:rPr>
        <w:t>分，均按照</w:t>
      </w:r>
      <w:r>
        <w:rPr>
          <w:rFonts w:hint="eastAsia"/>
          <w:color w:val="auto"/>
        </w:rPr>
        <w:t>所有裁判员评分的中位数分</w:t>
      </w:r>
      <w:r>
        <w:rPr>
          <w:color w:val="auto"/>
        </w:rPr>
        <w:t>计算得分</w:t>
      </w:r>
      <w:r>
        <w:rPr>
          <w:rFonts w:hint="eastAsia"/>
          <w:color w:val="auto"/>
        </w:rPr>
        <w:t>。以三个模块得分之和由高到低排列最终名次。</w:t>
      </w:r>
      <w:r>
        <w:rPr>
          <w:rFonts w:ascii="仿宋" w:hAnsi="仿宋" w:eastAsia="仿宋" w:cs="仿宋"/>
          <w:color w:val="auto"/>
          <w:szCs w:val="32"/>
        </w:rPr>
        <w:t xml:space="preserve"> </w:t>
      </w:r>
    </w:p>
    <w:p w14:paraId="04F19F28">
      <w:pPr>
        <w:numPr>
          <w:ilvl w:val="1"/>
          <w:numId w:val="0"/>
        </w:num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（3）裁判员应严格执行大赛规则，按照大赛评分标准和细则进行评分，做到公平、公正、真实、准确。</w:t>
      </w:r>
    </w:p>
    <w:p w14:paraId="649E7E57">
      <w:pPr>
        <w:numPr>
          <w:ilvl w:val="1"/>
          <w:numId w:val="0"/>
        </w:num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4）代表队可申请仲裁的事项包括不符合大赛规则规定的设备、检测、评判以及工作人员的违规行为等。申请仲裁方式均须通过所在代表队领队，按照规定的时限以书面形式向仲裁委员会提出，由仲裁委员会进行裁决。</w:t>
      </w:r>
    </w:p>
    <w:p w14:paraId="77FE1BC1">
      <w:pPr>
        <w:numPr>
          <w:ilvl w:val="1"/>
          <w:numId w:val="0"/>
        </w:numPr>
        <w:spacing w:line="560" w:lineRule="exact"/>
        <w:ind w:firstLine="632" w:firstLineChars="200"/>
        <w:jc w:val="left"/>
        <w:rPr>
          <w:rFonts w:hint="eastAsia" w:ascii="仿宋" w:hAnsi="仿宋" w:eastAsia="仿宋" w:cs="仿宋"/>
          <w:color w:val="auto"/>
          <w:szCs w:val="32"/>
        </w:rPr>
      </w:pPr>
      <w:r>
        <w:rPr>
          <w:rFonts w:hint="eastAsia" w:ascii="仿宋" w:hAnsi="仿宋" w:eastAsia="仿宋" w:cs="仿宋"/>
          <w:color w:val="auto"/>
          <w:szCs w:val="32"/>
        </w:rPr>
        <w:t>（5）仲裁委员会的裁决为最终裁决，参赛选手不得因申诉或对处理意见不服而停止竞赛，否则按弃权处理。</w:t>
      </w:r>
    </w:p>
    <w:p w14:paraId="3CEDA9C6">
      <w:pPr>
        <w:pStyle w:val="2"/>
        <w:ind w:firstLine="948" w:firstLineChars="300"/>
        <w:rPr>
          <w:color w:val="auto"/>
        </w:rPr>
      </w:pPr>
      <w:bookmarkStart w:id="13" w:name="_Toc12810"/>
      <w:bookmarkStart w:id="14" w:name="_Toc25863"/>
      <w:r>
        <w:rPr>
          <w:color w:val="auto"/>
        </w:rPr>
        <w:t>三、竞赛细则</w:t>
      </w:r>
      <w:bookmarkEnd w:id="13"/>
      <w:bookmarkEnd w:id="14"/>
    </w:p>
    <w:p w14:paraId="5BB64799">
      <w:pPr>
        <w:pStyle w:val="3"/>
        <w:ind w:firstLine="634"/>
        <w:rPr>
          <w:b w:val="0"/>
          <w:bCs/>
          <w:color w:val="auto"/>
        </w:rPr>
      </w:pPr>
      <w:bookmarkStart w:id="15" w:name="_Toc9433"/>
      <w:bookmarkStart w:id="16" w:name="_Toc23703"/>
      <w:r>
        <w:rPr>
          <w:rFonts w:hint="eastAsia"/>
          <w:b w:val="0"/>
          <w:bCs/>
          <w:color w:val="auto"/>
        </w:rPr>
        <w:t>（一）比赛流程及时间</w:t>
      </w:r>
      <w:bookmarkEnd w:id="15"/>
      <w:r>
        <w:rPr>
          <w:rFonts w:hint="eastAsia"/>
          <w:b w:val="0"/>
          <w:bCs/>
          <w:color w:val="auto"/>
        </w:rPr>
        <w:t>安排</w:t>
      </w:r>
      <w:bookmarkEnd w:id="16"/>
    </w:p>
    <w:p w14:paraId="337615CF">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各项目比赛按照竞赛时间表进行。</w:t>
      </w:r>
    </w:p>
    <w:p w14:paraId="0DC2078A">
      <w:pPr>
        <w:spacing w:line="560" w:lineRule="exact"/>
        <w:ind w:firstLine="632" w:firstLineChars="200"/>
        <w:rPr>
          <w:rFonts w:hint="eastAsia" w:ascii="仿宋" w:hAnsi="仿宋" w:eastAsia="仿宋" w:cs="仿宋"/>
          <w:color w:val="auto"/>
          <w:szCs w:val="20"/>
        </w:rPr>
      </w:pPr>
      <w:r>
        <w:rPr>
          <w:rFonts w:hint="eastAsia" w:ascii="仿宋" w:hAnsi="仿宋" w:eastAsia="仿宋" w:cs="仿宋"/>
          <w:color w:val="auto"/>
          <w:szCs w:val="20"/>
        </w:rPr>
        <w:t>模块A体能赛：计时赛共设计4条赛道，由四名选手同组竞赛，比赛关门时间为</w:t>
      </w:r>
      <w:r>
        <w:rPr>
          <w:rFonts w:hint="eastAsia" w:ascii="仿宋" w:hAnsi="仿宋" w:eastAsia="仿宋" w:cs="仿宋"/>
          <w:color w:val="auto"/>
          <w:szCs w:val="20"/>
          <w:lang w:val="en-US" w:eastAsia="zh-CN"/>
        </w:rPr>
        <w:t>8</w:t>
      </w:r>
      <w:r>
        <w:rPr>
          <w:rFonts w:hint="eastAsia" w:ascii="仿宋" w:hAnsi="仿宋" w:eastAsia="仿宋" w:cs="仿宋"/>
          <w:color w:val="auto"/>
          <w:szCs w:val="20"/>
        </w:rPr>
        <w:t>分钟</w:t>
      </w:r>
      <w:r>
        <w:rPr>
          <w:rFonts w:hint="eastAsia" w:ascii="仿宋" w:hAnsi="仿宋" w:eastAsia="仿宋" w:cs="仿宋"/>
          <w:color w:val="auto"/>
          <w:szCs w:val="20"/>
          <w:lang w:eastAsia="zh-CN"/>
        </w:rPr>
        <w:t>。</w:t>
      </w:r>
      <w:r>
        <w:rPr>
          <w:rFonts w:hint="eastAsia" w:ascii="仿宋" w:hAnsi="仿宋" w:eastAsia="仿宋" w:cs="仿宋"/>
          <w:color w:val="auto"/>
          <w:szCs w:val="20"/>
        </w:rPr>
        <w:t>现场设置倒计时，选手超过关门时间即视为未完成该比赛，该模块成绩为零分。</w:t>
      </w:r>
    </w:p>
    <w:p w14:paraId="0DA4A05D">
      <w:pPr>
        <w:spacing w:line="560" w:lineRule="exact"/>
        <w:ind w:firstLine="632" w:firstLineChars="200"/>
        <w:rPr>
          <w:rFonts w:hint="eastAsia" w:ascii="仿宋" w:hAnsi="仿宋" w:eastAsia="仿宋" w:cs="仿宋"/>
          <w:color w:val="auto"/>
          <w:szCs w:val="20"/>
          <w:lang w:eastAsia="zh-CN"/>
        </w:rPr>
      </w:pPr>
      <w:r>
        <w:rPr>
          <w:rFonts w:hint="eastAsia" w:ascii="仿宋" w:hAnsi="仿宋" w:eastAsia="仿宋" w:cs="仿宋"/>
          <w:color w:val="auto"/>
          <w:szCs w:val="20"/>
        </w:rPr>
        <w:t>模块B教学方案设计：要求选手在</w:t>
      </w:r>
      <w:r>
        <w:rPr>
          <w:rFonts w:hint="eastAsia" w:ascii="仿宋" w:hAnsi="仿宋" w:eastAsia="仿宋" w:cs="仿宋"/>
          <w:color w:val="auto"/>
          <w:szCs w:val="20"/>
          <w:lang w:val="en-US" w:eastAsia="zh-CN"/>
        </w:rPr>
        <w:t>60</w:t>
      </w:r>
      <w:r>
        <w:rPr>
          <w:rFonts w:hint="eastAsia" w:ascii="仿宋" w:hAnsi="仿宋" w:eastAsia="仿宋" w:cs="仿宋"/>
          <w:color w:val="auto"/>
          <w:szCs w:val="20"/>
        </w:rPr>
        <w:t>分钟内完成教学方案设计，超过时间该项成绩为零分</w:t>
      </w:r>
      <w:r>
        <w:rPr>
          <w:rFonts w:hint="eastAsia" w:ascii="仿宋" w:hAnsi="仿宋" w:eastAsia="仿宋" w:cs="仿宋"/>
          <w:color w:val="auto"/>
          <w:szCs w:val="20"/>
          <w:lang w:eastAsia="zh-CN"/>
        </w:rPr>
        <w:t>。</w:t>
      </w:r>
    </w:p>
    <w:p w14:paraId="6EC98DAF">
      <w:pPr>
        <w:spacing w:line="560" w:lineRule="exact"/>
        <w:ind w:firstLine="632" w:firstLineChars="200"/>
        <w:rPr>
          <w:rFonts w:hint="default" w:ascii="仿宋" w:hAnsi="仿宋" w:eastAsia="仿宋" w:cs="仿宋"/>
          <w:color w:val="auto"/>
          <w:szCs w:val="20"/>
          <w:lang w:val="en-US" w:eastAsia="zh-CN"/>
        </w:rPr>
      </w:pPr>
      <w:r>
        <w:rPr>
          <w:rFonts w:hint="eastAsia" w:ascii="仿宋" w:hAnsi="仿宋" w:eastAsia="仿宋" w:cs="仿宋"/>
          <w:color w:val="auto"/>
          <w:szCs w:val="20"/>
        </w:rPr>
        <w:t>模块C训练计划路演：要求选手在6分钟内讲解训练方案设计的主要思路及重点，超过6分钟则停止路演</w:t>
      </w:r>
      <w:r>
        <w:rPr>
          <w:rFonts w:hint="eastAsia" w:ascii="仿宋" w:hAnsi="仿宋" w:eastAsia="仿宋" w:cs="仿宋"/>
          <w:color w:val="auto"/>
          <w:szCs w:val="20"/>
          <w:lang w:eastAsia="zh-CN"/>
        </w:rPr>
        <w:t>。</w:t>
      </w:r>
      <w:r>
        <w:rPr>
          <w:rFonts w:hint="eastAsia" w:ascii="仿宋" w:hAnsi="仿宋" w:eastAsia="仿宋" w:cs="仿宋"/>
          <w:color w:val="auto"/>
          <w:szCs w:val="20"/>
        </w:rPr>
        <w:t>之后由专家提出</w:t>
      </w:r>
      <w:r>
        <w:rPr>
          <w:rFonts w:hint="eastAsia" w:ascii="仿宋" w:hAnsi="仿宋" w:eastAsia="仿宋" w:cs="仿宋"/>
          <w:color w:val="auto"/>
          <w:szCs w:val="20"/>
          <w:lang w:val="en-US" w:eastAsia="zh-CN"/>
        </w:rPr>
        <w:t>与选手路演内容相关的专业级技术问题要求选手答辩，问题不超过3个，答辩时间不超过5分钟</w:t>
      </w:r>
      <w:r>
        <w:rPr>
          <w:rFonts w:hint="eastAsia" w:ascii="仿宋" w:hAnsi="仿宋" w:eastAsia="仿宋" w:cs="仿宋"/>
          <w:color w:val="auto"/>
          <w:szCs w:val="20"/>
        </w:rPr>
        <w:t>。裁判组根据选手讲述及问题回答的准确性</w:t>
      </w:r>
      <w:r>
        <w:rPr>
          <w:rFonts w:hint="eastAsia" w:ascii="仿宋" w:hAnsi="仿宋" w:eastAsia="仿宋" w:cs="仿宋"/>
          <w:color w:val="auto"/>
          <w:szCs w:val="20"/>
          <w:lang w:val="en-US" w:eastAsia="zh-CN"/>
        </w:rPr>
        <w:t>与适用性</w:t>
      </w:r>
      <w:r>
        <w:rPr>
          <w:rFonts w:hint="eastAsia" w:ascii="仿宋" w:hAnsi="仿宋" w:eastAsia="仿宋" w:cs="仿宋"/>
          <w:color w:val="auto"/>
          <w:szCs w:val="20"/>
        </w:rPr>
        <w:t>给予评分。</w:t>
      </w:r>
    </w:p>
    <w:p w14:paraId="55C852E3">
      <w:pPr>
        <w:pStyle w:val="3"/>
        <w:ind w:firstLine="634"/>
        <w:rPr>
          <w:rFonts w:hint="eastAsia" w:eastAsia="楷体"/>
          <w:b w:val="0"/>
          <w:bCs/>
          <w:color w:val="auto"/>
          <w:lang w:eastAsia="zh-CN"/>
        </w:rPr>
      </w:pPr>
      <w:bookmarkStart w:id="17" w:name="_Toc16958"/>
      <w:bookmarkStart w:id="18" w:name="_Toc13832"/>
      <w:r>
        <w:rPr>
          <w:rFonts w:hint="eastAsia"/>
          <w:b w:val="0"/>
          <w:bCs/>
          <w:color w:val="auto"/>
        </w:rPr>
        <w:t>（二）比赛流程及</w:t>
      </w:r>
      <w:bookmarkEnd w:id="17"/>
      <w:r>
        <w:rPr>
          <w:rFonts w:hint="eastAsia"/>
          <w:b w:val="0"/>
          <w:bCs/>
          <w:color w:val="auto"/>
          <w:lang w:eastAsia="zh-CN"/>
        </w:rPr>
        <w:t>要求</w:t>
      </w:r>
    </w:p>
    <w:p w14:paraId="0AE70BD7">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1.裁判员、参赛选手、场地经理及助理等，应按时到达赛场完成检录。竞赛开始和结束时间，以裁判长正式宣布为准。若参赛选手未按时到达赛场完成检录，视为放弃该竞赛模块（该模块为零）。</w:t>
      </w:r>
    </w:p>
    <w:p w14:paraId="0D2A89DC">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2.选手或裁判在比赛任何环节未经允许不得使用任何可存储设备或通讯设备。</w:t>
      </w:r>
    </w:p>
    <w:p w14:paraId="6D23704C">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3.比赛过程及评分过程中，裁判员不得对选手进行恶意评分，不得利用职权为选手作弊提供条件。</w:t>
      </w:r>
    </w:p>
    <w:p w14:paraId="07428020">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4.裁判员在比赛过程中未经允许不得使用手机或拍照。</w:t>
      </w:r>
    </w:p>
    <w:p w14:paraId="6EA536D9">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5.裁判员在比赛过程中不得干扰选手比赛进程。</w:t>
      </w:r>
    </w:p>
    <w:p w14:paraId="45F838FA">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6.竞赛期间选手禁止携带任何存储、通信及电子设备，如带到赛场，需要交给场外人员保管或由赛场工作人员集中保管。</w:t>
      </w:r>
    </w:p>
    <w:p w14:paraId="725C278F">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7.在竞赛过程中，选手相互之间严禁交头接耳或作出任何影响、干扰行为，严禁任何作弊行为。</w:t>
      </w:r>
    </w:p>
    <w:p w14:paraId="33A0D5CB">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8.沈阳市第</w:t>
      </w:r>
      <w:r>
        <w:rPr>
          <w:rFonts w:hint="eastAsia" w:ascii="仿宋" w:hAnsi="仿宋" w:eastAsia="仿宋" w:cs="仿宋"/>
          <w:color w:val="auto"/>
          <w:lang w:eastAsia="zh-CN"/>
        </w:rPr>
        <w:t>四</w:t>
      </w:r>
      <w:r>
        <w:rPr>
          <w:rFonts w:hint="eastAsia" w:ascii="仿宋" w:hAnsi="仿宋" w:eastAsia="仿宋" w:cs="仿宋"/>
          <w:color w:val="auto"/>
        </w:rPr>
        <w:t>届职业技能大赛期间，与竞赛有关的问题或争议，各方应通过正当渠道并按程序反映和</w:t>
      </w:r>
      <w:r>
        <w:rPr>
          <w:rFonts w:hint="eastAsia" w:ascii="仿宋" w:hAnsi="仿宋" w:eastAsia="仿宋" w:cs="仿宋"/>
          <w:color w:val="auto"/>
          <w:lang w:val="en-US" w:eastAsia="zh-CN"/>
        </w:rPr>
        <w:t>申诉</w:t>
      </w:r>
      <w:bookmarkStart w:id="46" w:name="_GoBack"/>
      <w:bookmarkEnd w:id="46"/>
      <w:r>
        <w:rPr>
          <w:rFonts w:hint="eastAsia" w:ascii="仿宋" w:hAnsi="仿宋" w:eastAsia="仿宋" w:cs="仿宋"/>
          <w:color w:val="auto"/>
        </w:rPr>
        <w:t>，不得擅自传播、扩散未经核查证实的言论、信息，对竞赛期间出现的问题或争议按以下程序解决：</w:t>
      </w:r>
    </w:p>
    <w:p w14:paraId="470E1C82">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（1）竞赛项目内解决。参赛选手、裁判员发现竞赛过程中存在问题或争议，应向裁判长反映。裁判长依据规定处理或组织比赛现场裁判员解决</w:t>
      </w:r>
      <w:r>
        <w:rPr>
          <w:rFonts w:hint="eastAsia" w:ascii="仿宋" w:hAnsi="仿宋" w:eastAsia="仿宋" w:cs="仿宋"/>
          <w:color w:val="auto"/>
          <w:lang w:eastAsia="zh-CN"/>
        </w:rPr>
        <w:t>，</w:t>
      </w:r>
      <w:r>
        <w:rPr>
          <w:rFonts w:hint="eastAsia" w:ascii="仿宋" w:hAnsi="仿宋" w:eastAsia="仿宋" w:cs="仿宋"/>
          <w:color w:val="auto"/>
        </w:rPr>
        <w:t>须获比赛现场全体裁判员半数以上通过。最终处理意见应及时告知意见反映人。</w:t>
      </w:r>
    </w:p>
    <w:p w14:paraId="78E0B1CD">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2）仲裁委解决。对项目内处理结果有异议的，在参赛选手成绩最终确认前，各参赛队领队可向仲裁委员会出具书面反映材料并举证。仲裁委开展调查工作，经调查确认后所反映情况属技术性问题或争议的，仍交由各竞赛项目内解决。属非技术性问题或争议，由仲裁委最终裁决。</w:t>
      </w:r>
    </w:p>
    <w:p w14:paraId="2E08E166">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9.各参赛单位场外人员在竞赛过程中严禁与任何选手交谈或作出任何提示、影响、干扰行为。</w:t>
      </w:r>
    </w:p>
    <w:p w14:paraId="40E26E75">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10.严禁在竞赛过程中向赛场内传递任何物品，如有需要必须经过现场裁判确认后由裁判转交。</w:t>
      </w:r>
    </w:p>
    <w:p w14:paraId="2B3091C4">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11.所有参观人员不得进入竞赛区。</w:t>
      </w:r>
    </w:p>
    <w:p w14:paraId="583BABFE">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12.现场参观允许拍照，严禁使用闪光灯，赛场内部禁止拍照（拍照由裁判长指定人员进行）。</w:t>
      </w:r>
    </w:p>
    <w:p w14:paraId="7ACE17FF">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t>13.竞赛过程中除记者外，禁止定点长期摄像及逗留。</w:t>
      </w:r>
    </w:p>
    <w:p w14:paraId="7C645841">
      <w:pPr>
        <w:spacing w:line="560" w:lineRule="exact"/>
        <w:ind w:firstLine="632" w:firstLineChars="200"/>
        <w:rPr>
          <w:rFonts w:hint="eastAsia" w:ascii="仿宋" w:hAnsi="仿宋" w:eastAsia="仿宋" w:cs="仿宋"/>
          <w:color w:val="auto"/>
        </w:rPr>
      </w:pPr>
      <w:r>
        <w:rPr>
          <w:rFonts w:hint="eastAsia" w:ascii="仿宋" w:hAnsi="仿宋" w:eastAsia="仿宋" w:cs="仿宋"/>
          <w:color w:val="auto"/>
        </w:rPr>
        <w:br w:type="page"/>
      </w:r>
    </w:p>
    <w:p w14:paraId="6256EC33">
      <w:pPr>
        <w:pStyle w:val="2"/>
        <w:ind w:firstLine="632" w:firstLineChars="200"/>
        <w:rPr>
          <w:color w:val="auto"/>
        </w:rPr>
      </w:pPr>
      <w:bookmarkStart w:id="19" w:name="_Toc9840"/>
      <w:r>
        <w:rPr>
          <w:color w:val="auto"/>
        </w:rPr>
        <w:t>四、竞赛场地、设施设备等安排</w:t>
      </w:r>
      <w:bookmarkEnd w:id="18"/>
      <w:bookmarkEnd w:id="19"/>
    </w:p>
    <w:p w14:paraId="6E802CA7">
      <w:pPr>
        <w:pStyle w:val="3"/>
        <w:ind w:firstLine="634"/>
        <w:rPr>
          <w:rFonts w:hAnsi="Times New Roman" w:eastAsia="楷体_GB2312" w:cs="方正楷体_GBK"/>
          <w:b w:val="0"/>
          <w:bCs/>
          <w:color w:val="auto"/>
          <w:szCs w:val="20"/>
        </w:rPr>
      </w:pPr>
      <w:bookmarkStart w:id="20" w:name="_Toc27128"/>
      <w:bookmarkStart w:id="21" w:name="_Toc3033"/>
      <w:r>
        <w:rPr>
          <w:rFonts w:hint="eastAsia"/>
          <w:b w:val="0"/>
          <w:bCs/>
          <w:color w:val="auto"/>
        </w:rPr>
        <w:t>（一）赛场规格要求</w:t>
      </w:r>
      <w:bookmarkEnd w:id="20"/>
      <w:bookmarkEnd w:id="21"/>
    </w:p>
    <w:p w14:paraId="2697D386">
      <w:pPr>
        <w:spacing w:line="560" w:lineRule="exact"/>
        <w:ind w:firstLine="632" w:firstLineChars="200"/>
        <w:rPr>
          <w:rFonts w:hint="eastAsia" w:ascii="仿宋" w:hAnsi="仿宋" w:eastAsia="仿宋" w:cs="仿宋"/>
          <w:color w:val="auto"/>
          <w:szCs w:val="20"/>
        </w:rPr>
      </w:pPr>
      <w:r>
        <w:rPr>
          <w:rFonts w:hint="eastAsia" w:hAnsi="Times New Roman" w:eastAsia="方正楷体_GBK" w:cs="方正楷体_GBK"/>
          <w:color w:val="auto"/>
          <w:szCs w:val="20"/>
        </w:rPr>
        <w:drawing>
          <wp:anchor distT="0" distB="0" distL="114300" distR="114300" simplePos="0" relativeHeight="251659264" behindDoc="0" locked="0" layoutInCell="1" allowOverlap="1">
            <wp:simplePos x="0" y="0"/>
            <wp:positionH relativeFrom="column">
              <wp:posOffset>158115</wp:posOffset>
            </wp:positionH>
            <wp:positionV relativeFrom="paragraph">
              <wp:posOffset>857885</wp:posOffset>
            </wp:positionV>
            <wp:extent cx="5664200" cy="4604385"/>
            <wp:effectExtent l="0" t="0" r="12700" b="5715"/>
            <wp:wrapTopAndBottom/>
            <wp:docPr id="4" name="图片 4" descr="场地平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场地平面图"/>
                    <pic:cNvPicPr>
                      <a:picLocks noChangeAspect="1"/>
                    </pic:cNvPicPr>
                  </pic:nvPicPr>
                  <pic:blipFill>
                    <a:blip r:embed="rId8"/>
                    <a:srcRect l="3179" t="10840" r="1654" b="4753"/>
                    <a:stretch>
                      <a:fillRect/>
                    </a:stretch>
                  </pic:blipFill>
                  <pic:spPr>
                    <a:xfrm>
                      <a:off x="0" y="0"/>
                      <a:ext cx="5664200" cy="4604385"/>
                    </a:xfrm>
                    <a:prstGeom prst="rect">
                      <a:avLst/>
                    </a:prstGeom>
                  </pic:spPr>
                </pic:pic>
              </a:graphicData>
            </a:graphic>
          </wp:anchor>
        </w:drawing>
      </w:r>
      <w:r>
        <w:rPr>
          <w:rFonts w:hint="eastAsia" w:ascii="仿宋" w:hAnsi="仿宋" w:eastAsia="仿宋" w:cs="仿宋"/>
          <w:color w:val="auto"/>
          <w:szCs w:val="20"/>
        </w:rPr>
        <w:t>本项目场地总体面积（32米×32米）</w:t>
      </w:r>
    </w:p>
    <w:p w14:paraId="6F1853DB">
      <w:pPr>
        <w:pStyle w:val="3"/>
        <w:ind w:firstLine="634"/>
        <w:rPr>
          <w:rFonts w:hAnsi="Times New Roman" w:eastAsia="楷体_GB2312" w:cs="方正楷体_GBK"/>
          <w:b w:val="0"/>
          <w:bCs/>
          <w:color w:val="auto"/>
          <w:szCs w:val="20"/>
        </w:rPr>
      </w:pPr>
      <w:bookmarkStart w:id="22" w:name="_Toc29010"/>
      <w:bookmarkStart w:id="23" w:name="_Toc27859"/>
      <w:r>
        <w:rPr>
          <w:rFonts w:hint="eastAsia"/>
          <w:b w:val="0"/>
          <w:bCs/>
          <w:color w:val="auto"/>
        </w:rPr>
        <w:t>（二）场地布局图</w:t>
      </w:r>
      <w:bookmarkEnd w:id="22"/>
      <w:bookmarkEnd w:id="23"/>
    </w:p>
    <w:p w14:paraId="2B23A395">
      <w:pPr>
        <w:pStyle w:val="3"/>
        <w:ind w:firstLine="634"/>
        <w:rPr>
          <w:b w:val="0"/>
          <w:bCs/>
          <w:color w:val="auto"/>
        </w:rPr>
      </w:pPr>
      <w:bookmarkStart w:id="24" w:name="_Toc13041"/>
      <w:bookmarkStart w:id="25" w:name="_Toc23743"/>
      <w:r>
        <w:rPr>
          <w:rFonts w:hint="eastAsia"/>
          <w:b w:val="0"/>
          <w:bCs/>
          <w:color w:val="auto"/>
        </w:rPr>
        <w:t>（三）基础设施清单</w:t>
      </w:r>
      <w:bookmarkEnd w:id="24"/>
      <w:bookmarkEnd w:id="25"/>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5"/>
        <w:gridCol w:w="6571"/>
      </w:tblGrid>
      <w:tr w14:paraId="5485A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133004CF">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动作名称</w:t>
            </w:r>
          </w:p>
        </w:tc>
        <w:tc>
          <w:tcPr>
            <w:tcW w:w="6571" w:type="dxa"/>
          </w:tcPr>
          <w:p w14:paraId="23AE7A69">
            <w:pPr>
              <w:spacing w:line="560" w:lineRule="exact"/>
              <w:rPr>
                <w:rFonts w:hint="eastAsia" w:ascii="仿宋" w:hAnsi="仿宋" w:eastAsia="仿宋" w:cs="仿宋"/>
                <w:color w:val="auto"/>
                <w:szCs w:val="32"/>
              </w:rPr>
            </w:pPr>
            <w:r>
              <w:rPr>
                <w:rFonts w:hint="eastAsia" w:ascii="仿宋" w:hAnsi="仿宋" w:eastAsia="仿宋" w:cs="仿宋"/>
                <w:color w:val="auto"/>
                <w:szCs w:val="32"/>
              </w:rPr>
              <w:t>物料</w:t>
            </w:r>
          </w:p>
        </w:tc>
      </w:tr>
      <w:tr w14:paraId="1B63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108B3153">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折返跑</w:t>
            </w:r>
          </w:p>
        </w:tc>
        <w:tc>
          <w:tcPr>
            <w:tcW w:w="6571" w:type="dxa"/>
          </w:tcPr>
          <w:p w14:paraId="3768A9E9">
            <w:pPr>
              <w:spacing w:line="560" w:lineRule="exact"/>
              <w:rPr>
                <w:rFonts w:hint="eastAsia" w:ascii="仿宋" w:hAnsi="仿宋" w:eastAsia="仿宋" w:cs="仿宋"/>
                <w:color w:val="auto"/>
                <w:szCs w:val="32"/>
              </w:rPr>
            </w:pPr>
            <w:r>
              <w:rPr>
                <w:rFonts w:hint="eastAsia" w:ascii="仿宋" w:hAnsi="仿宋" w:eastAsia="仿宋" w:cs="仿宋"/>
                <w:color w:val="auto"/>
                <w:szCs w:val="32"/>
              </w:rPr>
              <w:t>折返标线、赛道标线</w:t>
            </w:r>
          </w:p>
        </w:tc>
      </w:tr>
      <w:tr w14:paraId="5519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476663E0">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壶铃肩推</w:t>
            </w:r>
          </w:p>
        </w:tc>
        <w:tc>
          <w:tcPr>
            <w:tcW w:w="6571" w:type="dxa"/>
          </w:tcPr>
          <w:p w14:paraId="41BB86FF">
            <w:pPr>
              <w:spacing w:line="560" w:lineRule="exact"/>
              <w:rPr>
                <w:rFonts w:hint="eastAsia" w:ascii="仿宋" w:hAnsi="仿宋" w:eastAsia="仿宋" w:cs="仿宋"/>
                <w:color w:val="auto"/>
                <w:szCs w:val="32"/>
              </w:rPr>
            </w:pPr>
            <w:r>
              <w:rPr>
                <w:rFonts w:hint="eastAsia" w:ascii="仿宋" w:hAnsi="仿宋" w:eastAsia="仿宋" w:cs="仿宋"/>
                <w:color w:val="auto"/>
                <w:szCs w:val="32"/>
              </w:rPr>
              <w:t>壶铃20公斤8只，12公斤4只；</w:t>
            </w:r>
          </w:p>
        </w:tc>
      </w:tr>
      <w:tr w14:paraId="678D5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2081F524">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硬拉</w:t>
            </w:r>
          </w:p>
        </w:tc>
        <w:tc>
          <w:tcPr>
            <w:tcW w:w="6571" w:type="dxa"/>
          </w:tcPr>
          <w:p w14:paraId="6B0A3F46">
            <w:pPr>
              <w:spacing w:line="560" w:lineRule="exact"/>
              <w:rPr>
                <w:rFonts w:hint="eastAsia" w:ascii="仿宋" w:hAnsi="仿宋" w:eastAsia="仿宋" w:cs="仿宋"/>
                <w:color w:val="auto"/>
                <w:szCs w:val="32"/>
              </w:rPr>
            </w:pPr>
            <w:r>
              <w:rPr>
                <w:rFonts w:hint="eastAsia" w:ascii="仿宋" w:hAnsi="仿宋" w:eastAsia="仿宋" w:cs="仿宋"/>
                <w:color w:val="auto"/>
                <w:szCs w:val="32"/>
              </w:rPr>
              <w:t>杠铃杆4条，15kg杠铃片16片；1米×1米防撞地胶24块，50cm示宽板4个</w:t>
            </w:r>
          </w:p>
        </w:tc>
      </w:tr>
      <w:tr w14:paraId="3731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11011252">
            <w:pPr>
              <w:spacing w:line="560" w:lineRule="exact"/>
              <w:rPr>
                <w:rFonts w:hint="eastAsia" w:ascii="仿宋" w:hAnsi="仿宋" w:eastAsia="仿宋" w:cs="仿宋"/>
                <w:color w:val="auto"/>
                <w:szCs w:val="32"/>
              </w:rPr>
            </w:pPr>
            <w:r>
              <w:rPr>
                <w:rFonts w:hint="eastAsia" w:ascii="仿宋" w:hAnsi="仿宋" w:eastAsia="仿宋" w:cs="仿宋"/>
                <w:color w:val="auto"/>
                <w:szCs w:val="32"/>
              </w:rPr>
              <w:t>跳跨栏加立卧撑</w:t>
            </w:r>
          </w:p>
        </w:tc>
        <w:tc>
          <w:tcPr>
            <w:tcW w:w="6571" w:type="dxa"/>
          </w:tcPr>
          <w:p w14:paraId="39B2B994">
            <w:pPr>
              <w:spacing w:line="560" w:lineRule="exact"/>
              <w:rPr>
                <w:rFonts w:hint="eastAsia" w:ascii="仿宋" w:hAnsi="仿宋" w:eastAsia="仿宋" w:cs="仿宋"/>
                <w:color w:val="auto"/>
                <w:szCs w:val="32"/>
              </w:rPr>
            </w:pPr>
            <w:r>
              <w:rPr>
                <w:rFonts w:hint="eastAsia" w:ascii="仿宋" w:hAnsi="仿宋" w:eastAsia="仿宋" w:cs="仿宋"/>
                <w:color w:val="auto"/>
                <w:szCs w:val="32"/>
              </w:rPr>
              <w:t>50cm跨栏4个；30cm跨栏2个，跨栏位标线</w:t>
            </w:r>
          </w:p>
        </w:tc>
      </w:tr>
      <w:tr w14:paraId="1FE1A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48B82FF3">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划船机</w:t>
            </w:r>
          </w:p>
        </w:tc>
        <w:tc>
          <w:tcPr>
            <w:tcW w:w="6571" w:type="dxa"/>
          </w:tcPr>
          <w:p w14:paraId="4B196C66">
            <w:pPr>
              <w:spacing w:line="560" w:lineRule="exact"/>
              <w:rPr>
                <w:rFonts w:hint="eastAsia" w:ascii="仿宋" w:hAnsi="仿宋" w:eastAsia="仿宋" w:cs="仿宋"/>
                <w:color w:val="auto"/>
                <w:szCs w:val="32"/>
              </w:rPr>
            </w:pPr>
            <w:r>
              <w:rPr>
                <w:rFonts w:hint="eastAsia" w:ascii="仿宋" w:hAnsi="仿宋" w:eastAsia="仿宋" w:cs="仿宋"/>
                <w:color w:val="auto"/>
                <w:szCs w:val="32"/>
              </w:rPr>
              <w:t>concept2风阻划船器4台</w:t>
            </w:r>
          </w:p>
        </w:tc>
      </w:tr>
      <w:tr w14:paraId="39D47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4799A7AA">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翻轮胎</w:t>
            </w:r>
          </w:p>
        </w:tc>
        <w:tc>
          <w:tcPr>
            <w:tcW w:w="6571" w:type="dxa"/>
          </w:tcPr>
          <w:p w14:paraId="7280D5D5">
            <w:pPr>
              <w:spacing w:line="560" w:lineRule="exact"/>
              <w:rPr>
                <w:rFonts w:hint="eastAsia" w:ascii="仿宋" w:hAnsi="仿宋" w:eastAsia="仿宋" w:cs="仿宋"/>
                <w:color w:val="auto"/>
                <w:szCs w:val="32"/>
              </w:rPr>
            </w:pPr>
            <w:r>
              <w:rPr>
                <w:rFonts w:hint="eastAsia" w:ascii="仿宋" w:hAnsi="仿宋" w:eastAsia="仿宋" w:cs="仿宋"/>
                <w:color w:val="auto"/>
                <w:szCs w:val="32"/>
              </w:rPr>
              <w:t>大号轮胎4条</w:t>
            </w:r>
          </w:p>
        </w:tc>
      </w:tr>
      <w:tr w14:paraId="7FCD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115A51A8">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综合物料</w:t>
            </w:r>
          </w:p>
        </w:tc>
        <w:tc>
          <w:tcPr>
            <w:tcW w:w="6571" w:type="dxa"/>
          </w:tcPr>
          <w:p w14:paraId="6168D963">
            <w:pPr>
              <w:spacing w:line="560" w:lineRule="exact"/>
              <w:rPr>
                <w:rFonts w:hint="eastAsia" w:ascii="仿宋" w:hAnsi="仿宋" w:eastAsia="仿宋" w:cs="仿宋"/>
                <w:color w:val="auto"/>
                <w:szCs w:val="32"/>
              </w:rPr>
            </w:pPr>
            <w:r>
              <w:rPr>
                <w:rFonts w:hint="eastAsia" w:ascii="仿宋" w:hAnsi="仿宋" w:eastAsia="仿宋" w:cs="仿宋"/>
                <w:color w:val="auto"/>
                <w:szCs w:val="32"/>
              </w:rPr>
              <w:t>计分表、签字笔、秒表、违例电子哨、计数器、各区域指示标志</w:t>
            </w:r>
          </w:p>
        </w:tc>
      </w:tr>
      <w:tr w14:paraId="57336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tcPr>
          <w:p w14:paraId="11CE5FFF">
            <w:pPr>
              <w:spacing w:line="560" w:lineRule="exact"/>
              <w:ind w:firstLine="632" w:firstLineChars="200"/>
              <w:rPr>
                <w:rFonts w:hint="eastAsia" w:ascii="仿宋" w:hAnsi="仿宋" w:eastAsia="仿宋" w:cs="仿宋"/>
                <w:color w:val="auto"/>
                <w:szCs w:val="32"/>
              </w:rPr>
            </w:pPr>
            <w:r>
              <w:rPr>
                <w:rFonts w:hint="eastAsia" w:ascii="仿宋" w:hAnsi="仿宋" w:eastAsia="仿宋" w:cs="仿宋"/>
                <w:color w:val="auto"/>
                <w:szCs w:val="32"/>
              </w:rPr>
              <w:t>比赛场地</w:t>
            </w:r>
          </w:p>
        </w:tc>
        <w:tc>
          <w:tcPr>
            <w:tcW w:w="6571" w:type="dxa"/>
          </w:tcPr>
          <w:p w14:paraId="659EB528">
            <w:pPr>
              <w:spacing w:line="560" w:lineRule="exact"/>
              <w:rPr>
                <w:rFonts w:hint="eastAsia" w:ascii="仿宋" w:hAnsi="仿宋" w:eastAsia="仿宋" w:cs="仿宋"/>
                <w:color w:val="auto"/>
                <w:szCs w:val="32"/>
              </w:rPr>
            </w:pPr>
            <w:r>
              <w:rPr>
                <w:rFonts w:hint="eastAsia" w:ascii="仿宋" w:hAnsi="仿宋" w:eastAsia="仿宋" w:cs="仿宋"/>
                <w:color w:val="auto"/>
                <w:szCs w:val="32"/>
              </w:rPr>
              <w:t>长30米，宽20米（每条赛道宽4米，赛道间距1米）</w:t>
            </w:r>
          </w:p>
        </w:tc>
      </w:tr>
    </w:tbl>
    <w:p w14:paraId="1187E7E1">
      <w:pPr>
        <w:spacing w:line="560" w:lineRule="exact"/>
        <w:rPr>
          <w:rFonts w:hAnsi="Times New Roman" w:cs="方正仿宋_GBK"/>
          <w:color w:val="auto"/>
          <w:szCs w:val="32"/>
        </w:rPr>
      </w:pPr>
      <w:r>
        <w:rPr>
          <w:rFonts w:hint="eastAsia" w:ascii="仿宋" w:hAnsi="仿宋" w:eastAsia="仿宋" w:cs="仿宋"/>
          <w:color w:val="auto"/>
          <w:szCs w:val="32"/>
        </w:rPr>
        <w:t>*选手可自带防滑粉、手套、护膝、护腕、护腰等护具。禁止携带助力带等辅助设备。</w:t>
      </w:r>
    </w:p>
    <w:p w14:paraId="1DB3613F">
      <w:pPr>
        <w:pStyle w:val="2"/>
        <w:ind w:firstLine="948" w:firstLineChars="300"/>
        <w:rPr>
          <w:color w:val="auto"/>
        </w:rPr>
      </w:pPr>
      <w:bookmarkStart w:id="26" w:name="_Toc13433"/>
      <w:bookmarkStart w:id="27" w:name="_Toc28702"/>
      <w:r>
        <w:rPr>
          <w:color w:val="auto"/>
        </w:rPr>
        <w:t>五、其他</w:t>
      </w:r>
      <w:bookmarkEnd w:id="26"/>
      <w:bookmarkEnd w:id="27"/>
    </w:p>
    <w:p w14:paraId="5B2E5072">
      <w:pPr>
        <w:pStyle w:val="3"/>
        <w:ind w:firstLine="634"/>
        <w:rPr>
          <w:b w:val="0"/>
          <w:bCs/>
          <w:color w:val="auto"/>
        </w:rPr>
      </w:pPr>
      <w:bookmarkStart w:id="28" w:name="_Toc13418"/>
      <w:bookmarkStart w:id="29" w:name="_Toc31102"/>
      <w:r>
        <w:rPr>
          <w:rFonts w:hint="eastAsia"/>
          <w:b w:val="0"/>
          <w:bCs/>
          <w:color w:val="auto"/>
        </w:rPr>
        <w:t>（一）比赛器材与装备</w:t>
      </w:r>
      <w:bookmarkEnd w:id="28"/>
      <w:bookmarkEnd w:id="29"/>
    </w:p>
    <w:p w14:paraId="4662EAD7">
      <w:pPr>
        <w:bidi w:val="0"/>
        <w:ind w:firstLine="632" w:firstLineChars="200"/>
        <w:rPr>
          <w:color w:val="auto"/>
        </w:rPr>
      </w:pPr>
      <w:r>
        <w:rPr>
          <w:rFonts w:hint="eastAsia"/>
          <w:color w:val="auto"/>
        </w:rPr>
        <w:t>决赛阶段比赛所需器材及装备由大赛组委会提供。如因器材或装备故障导致比赛中断，由总裁判长视情况处理。</w:t>
      </w:r>
    </w:p>
    <w:p w14:paraId="652191CC">
      <w:pPr>
        <w:pStyle w:val="3"/>
        <w:ind w:firstLine="634"/>
        <w:rPr>
          <w:b w:val="0"/>
          <w:bCs/>
          <w:color w:val="auto"/>
        </w:rPr>
      </w:pPr>
      <w:bookmarkStart w:id="30" w:name="_Toc26219"/>
      <w:bookmarkStart w:id="31" w:name="_Toc1431"/>
      <w:r>
        <w:rPr>
          <w:rFonts w:hint="eastAsia"/>
          <w:b w:val="0"/>
          <w:bCs/>
          <w:color w:val="auto"/>
        </w:rPr>
        <w:t>（二）保险</w:t>
      </w:r>
      <w:bookmarkEnd w:id="30"/>
      <w:bookmarkEnd w:id="31"/>
    </w:p>
    <w:p w14:paraId="3FB9E416">
      <w:pPr>
        <w:spacing w:line="560" w:lineRule="exact"/>
        <w:ind w:firstLine="632" w:firstLineChars="200"/>
        <w:rPr>
          <w:rFonts w:hint="eastAsia" w:ascii="仿宋" w:hAnsi="仿宋" w:eastAsia="仿宋" w:cs="仿宋"/>
          <w:b w:val="0"/>
          <w:bCs/>
          <w:color w:val="auto"/>
          <w:szCs w:val="32"/>
        </w:rPr>
      </w:pPr>
      <w:r>
        <w:rPr>
          <w:rFonts w:hint="eastAsia" w:ascii="仿宋" w:hAnsi="仿宋" w:eastAsia="仿宋" w:cs="仿宋"/>
          <w:b w:val="0"/>
          <w:bCs/>
          <w:color w:val="auto"/>
          <w:szCs w:val="32"/>
        </w:rPr>
        <w:t>大赛组委会为本次赛事投保公众责任保险。</w:t>
      </w:r>
    </w:p>
    <w:p w14:paraId="4460A96F">
      <w:pPr>
        <w:pStyle w:val="3"/>
        <w:ind w:firstLine="634"/>
        <w:rPr>
          <w:b w:val="0"/>
          <w:bCs/>
          <w:color w:val="auto"/>
        </w:rPr>
      </w:pPr>
      <w:bookmarkStart w:id="32" w:name="_Toc20623"/>
      <w:bookmarkStart w:id="33" w:name="_Toc15514"/>
      <w:r>
        <w:rPr>
          <w:rFonts w:hint="eastAsia"/>
          <w:b w:val="0"/>
          <w:bCs/>
          <w:color w:val="auto"/>
        </w:rPr>
        <w:t>（三）前期准备</w:t>
      </w:r>
      <w:bookmarkEnd w:id="32"/>
      <w:bookmarkEnd w:id="33"/>
    </w:p>
    <w:p w14:paraId="6E675F3E">
      <w:pPr>
        <w:spacing w:line="560" w:lineRule="exact"/>
        <w:ind w:firstLine="632" w:firstLineChars="200"/>
        <w:rPr>
          <w:rFonts w:hint="eastAsia" w:ascii="仿宋" w:hAnsi="仿宋" w:eastAsia="仿宋" w:cs="仿宋"/>
          <w:b w:val="0"/>
          <w:bCs/>
          <w:color w:val="auto"/>
          <w:szCs w:val="32"/>
        </w:rPr>
      </w:pPr>
      <w:r>
        <w:rPr>
          <w:rFonts w:hint="eastAsia" w:ascii="仿宋" w:hAnsi="仿宋" w:eastAsia="仿宋" w:cs="仿宋"/>
          <w:b w:val="0"/>
          <w:bCs/>
          <w:color w:val="auto"/>
          <w:szCs w:val="32"/>
        </w:rPr>
        <w:t>各报名的选手接到大赛组委会通知后需前往</w:t>
      </w:r>
      <w:r>
        <w:rPr>
          <w:rFonts w:hint="eastAsia" w:ascii="仿宋" w:hAnsi="仿宋" w:eastAsia="仿宋" w:cs="仿宋"/>
          <w:b w:val="0"/>
          <w:bCs/>
          <w:color w:val="auto"/>
          <w:szCs w:val="32"/>
          <w:lang w:eastAsia="zh-CN"/>
        </w:rPr>
        <w:t>沈阳市</w:t>
      </w:r>
      <w:r>
        <w:rPr>
          <w:rFonts w:hint="eastAsia" w:ascii="仿宋" w:hAnsi="仿宋" w:eastAsia="仿宋" w:cs="仿宋"/>
          <w:b w:val="0"/>
          <w:bCs/>
          <w:color w:val="auto"/>
          <w:szCs w:val="32"/>
        </w:rPr>
        <w:t>全民</w:t>
      </w:r>
      <w:r>
        <w:rPr>
          <w:rFonts w:hint="eastAsia" w:ascii="仿宋" w:hAnsi="仿宋" w:eastAsia="仿宋" w:cs="仿宋"/>
          <w:b w:val="0"/>
          <w:bCs/>
          <w:color w:val="auto"/>
          <w:szCs w:val="32"/>
          <w:lang w:eastAsia="zh-CN"/>
        </w:rPr>
        <w:t>健身中心</w:t>
      </w:r>
      <w:r>
        <w:rPr>
          <w:rFonts w:hint="eastAsia" w:ascii="仿宋" w:hAnsi="仿宋" w:eastAsia="仿宋" w:cs="仿宋"/>
          <w:b w:val="0"/>
          <w:bCs/>
          <w:color w:val="auto"/>
          <w:szCs w:val="32"/>
        </w:rPr>
        <w:t>报到。</w:t>
      </w:r>
    </w:p>
    <w:p w14:paraId="2E79C581">
      <w:pPr>
        <w:spacing w:line="560" w:lineRule="exact"/>
        <w:ind w:firstLine="632" w:firstLineChars="200"/>
        <w:rPr>
          <w:rFonts w:hint="eastAsia" w:ascii="仿宋" w:hAnsi="仿宋" w:eastAsia="仿宋" w:cs="仿宋"/>
          <w:b w:val="0"/>
          <w:bCs/>
          <w:color w:val="auto"/>
          <w:szCs w:val="32"/>
        </w:rPr>
      </w:pPr>
      <w:r>
        <w:rPr>
          <w:rFonts w:hint="eastAsia" w:ascii="仿宋" w:hAnsi="仿宋" w:eastAsia="仿宋" w:cs="仿宋"/>
          <w:b w:val="0"/>
          <w:bCs/>
          <w:color w:val="auto"/>
          <w:szCs w:val="32"/>
        </w:rPr>
        <w:t>各参赛选手交通、住宿费用自理。</w:t>
      </w:r>
    </w:p>
    <w:p w14:paraId="0EE04861">
      <w:pPr>
        <w:pStyle w:val="3"/>
        <w:ind w:firstLine="634"/>
        <w:rPr>
          <w:b w:val="0"/>
          <w:bCs/>
          <w:color w:val="auto"/>
        </w:rPr>
      </w:pPr>
      <w:bookmarkStart w:id="34" w:name="_Toc10763"/>
      <w:r>
        <w:rPr>
          <w:rFonts w:hint="eastAsia"/>
          <w:b w:val="0"/>
          <w:bCs/>
          <w:color w:val="auto"/>
        </w:rPr>
        <w:t>（四）竞赛解释权</w:t>
      </w:r>
      <w:bookmarkEnd w:id="34"/>
    </w:p>
    <w:p w14:paraId="53AD38E1">
      <w:pPr>
        <w:spacing w:line="560" w:lineRule="exact"/>
        <w:ind w:firstLine="712" w:firstLineChars="200"/>
        <w:jc w:val="left"/>
        <w:rPr>
          <w:rFonts w:hint="eastAsia" w:ascii="仿宋" w:hAnsi="仿宋" w:eastAsia="仿宋" w:cs="仿宋"/>
          <w:b w:val="0"/>
          <w:bCs/>
          <w:color w:val="auto"/>
          <w:sz w:val="36"/>
          <w:szCs w:val="36"/>
        </w:rPr>
      </w:pPr>
      <w:r>
        <w:rPr>
          <w:rFonts w:hint="eastAsia" w:ascii="仿宋" w:hAnsi="仿宋" w:eastAsia="仿宋" w:cs="仿宋"/>
          <w:b w:val="0"/>
          <w:bCs/>
          <w:color w:val="auto"/>
          <w:sz w:val="36"/>
          <w:szCs w:val="36"/>
        </w:rPr>
        <w:t>竞赛规程解释权归大赛组委会。后续大赛相关事宜由大赛组委会办公室另行发布。</w:t>
      </w:r>
    </w:p>
    <w:p w14:paraId="526B2911">
      <w:pPr>
        <w:pStyle w:val="2"/>
        <w:ind w:firstLine="632" w:firstLineChars="200"/>
        <w:rPr>
          <w:color w:val="auto"/>
        </w:rPr>
      </w:pPr>
      <w:bookmarkStart w:id="35" w:name="_Toc5597"/>
      <w:bookmarkStart w:id="36" w:name="_Toc12391"/>
      <w:r>
        <w:rPr>
          <w:color w:val="auto"/>
        </w:rPr>
        <w:t>六、安全、健康要求</w:t>
      </w:r>
      <w:bookmarkEnd w:id="35"/>
      <w:bookmarkEnd w:id="36"/>
    </w:p>
    <w:p w14:paraId="63CD390F">
      <w:pPr>
        <w:pStyle w:val="3"/>
        <w:ind w:firstLine="634"/>
        <w:rPr>
          <w:b w:val="0"/>
          <w:bCs/>
          <w:color w:val="auto"/>
        </w:rPr>
      </w:pPr>
      <w:bookmarkStart w:id="37" w:name="_Toc13123"/>
      <w:bookmarkStart w:id="38" w:name="_Toc289"/>
      <w:r>
        <w:rPr>
          <w:rFonts w:hint="eastAsia"/>
          <w:b w:val="0"/>
          <w:bCs/>
          <w:color w:val="auto"/>
        </w:rPr>
        <w:t>（一）选手安全防护要求</w:t>
      </w:r>
      <w:bookmarkEnd w:id="37"/>
      <w:bookmarkEnd w:id="38"/>
    </w:p>
    <w:p w14:paraId="792BA664">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1.参赛选手应严格遵守设备安全操作规程。</w:t>
      </w:r>
    </w:p>
    <w:p w14:paraId="24A294D5">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2.参赛选手竞赛过程中必须穿着运动服、运动鞋，可根据自身情况合理使用运动护具，不得佩戴任何首饰及配件。</w:t>
      </w:r>
    </w:p>
    <w:p w14:paraId="6D743EDE">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3.选手在进行体能比拼模块前需充分热身，竞赛结束后进行适当放松，让身体的活动量慢慢地减少,逐步过渡到停止活动，禁止在剧烈运动后突然坐下或躺下休息。</w:t>
      </w:r>
    </w:p>
    <w:p w14:paraId="2ABFF606">
      <w:pPr>
        <w:pStyle w:val="3"/>
        <w:ind w:firstLine="634"/>
        <w:rPr>
          <w:b w:val="0"/>
          <w:bCs/>
          <w:color w:val="auto"/>
        </w:rPr>
      </w:pPr>
      <w:bookmarkStart w:id="39" w:name="_Toc7023"/>
      <w:bookmarkStart w:id="40" w:name="_Toc7423"/>
      <w:r>
        <w:rPr>
          <w:rFonts w:hint="eastAsia"/>
          <w:b w:val="0"/>
          <w:bCs/>
          <w:color w:val="auto"/>
        </w:rPr>
        <w:t>（二）赛事安全要求</w:t>
      </w:r>
      <w:bookmarkEnd w:id="39"/>
      <w:bookmarkEnd w:id="40"/>
    </w:p>
    <w:p w14:paraId="7660258E">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1.如工作人员发现参赛选手携带任何影响竞赛公平公正或有安全隐患的物品，一律禁止参赛，相关责任由参赛选手自行承担。</w:t>
      </w:r>
    </w:p>
    <w:p w14:paraId="440293D1">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2.选手进入比赛场馆配合工作人员进行</w:t>
      </w:r>
      <w:r>
        <w:rPr>
          <w:rFonts w:hint="eastAsia" w:ascii="仿宋" w:hAnsi="仿宋" w:eastAsia="仿宋" w:cs="仿宋"/>
          <w:b w:val="0"/>
          <w:bCs/>
          <w:color w:val="auto"/>
          <w:szCs w:val="20"/>
          <w:lang w:eastAsia="zh-CN"/>
        </w:rPr>
        <w:t>检查</w:t>
      </w:r>
      <w:r>
        <w:rPr>
          <w:rFonts w:hint="eastAsia" w:ascii="仿宋" w:hAnsi="仿宋" w:eastAsia="仿宋" w:cs="仿宋"/>
          <w:b w:val="0"/>
          <w:bCs/>
          <w:color w:val="auto"/>
          <w:szCs w:val="20"/>
        </w:rPr>
        <w:t>。</w:t>
      </w:r>
    </w:p>
    <w:p w14:paraId="55E14535">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lang w:val="en-US" w:eastAsia="zh-CN"/>
        </w:rPr>
        <w:t>3</w:t>
      </w:r>
      <w:r>
        <w:rPr>
          <w:rFonts w:hint="eastAsia" w:ascii="仿宋" w:hAnsi="仿宋" w:eastAsia="仿宋" w:cs="仿宋"/>
          <w:b w:val="0"/>
          <w:bCs/>
          <w:color w:val="auto"/>
          <w:szCs w:val="20"/>
        </w:rPr>
        <w:t>.</w:t>
      </w:r>
      <w:r>
        <w:rPr>
          <w:rFonts w:hint="eastAsia" w:ascii="仿宋" w:hAnsi="仿宋" w:eastAsia="仿宋" w:cs="仿宋"/>
          <w:b w:val="0"/>
          <w:bCs/>
          <w:color w:val="auto"/>
          <w:szCs w:val="20"/>
          <w:lang w:eastAsia="zh-CN"/>
        </w:rPr>
        <w:t>选手</w:t>
      </w:r>
      <w:r>
        <w:rPr>
          <w:rFonts w:hint="eastAsia" w:ascii="仿宋" w:hAnsi="仿宋" w:eastAsia="仿宋" w:cs="仿宋"/>
          <w:b w:val="0"/>
          <w:bCs/>
          <w:color w:val="auto"/>
          <w:szCs w:val="20"/>
        </w:rPr>
        <w:t>如有</w:t>
      </w:r>
      <w:r>
        <w:rPr>
          <w:rFonts w:hint="eastAsia" w:ascii="仿宋" w:hAnsi="仿宋" w:eastAsia="仿宋" w:cs="仿宋"/>
          <w:b w:val="0"/>
          <w:bCs/>
          <w:color w:val="auto"/>
          <w:szCs w:val="20"/>
          <w:lang w:eastAsia="zh-CN"/>
        </w:rPr>
        <w:t>身体不适</w:t>
      </w:r>
      <w:r>
        <w:rPr>
          <w:rFonts w:hint="eastAsia" w:ascii="仿宋" w:hAnsi="仿宋" w:eastAsia="仿宋" w:cs="仿宋"/>
          <w:b w:val="0"/>
          <w:bCs/>
          <w:color w:val="auto"/>
          <w:szCs w:val="20"/>
        </w:rPr>
        <w:t>应立即报告</w:t>
      </w:r>
      <w:r>
        <w:rPr>
          <w:rFonts w:hint="eastAsia" w:ascii="仿宋" w:hAnsi="仿宋" w:eastAsia="仿宋" w:cs="仿宋"/>
          <w:b w:val="0"/>
          <w:bCs/>
          <w:color w:val="auto"/>
          <w:szCs w:val="20"/>
          <w:lang w:eastAsia="zh-CN"/>
        </w:rPr>
        <w:t>工作人员</w:t>
      </w:r>
      <w:r>
        <w:rPr>
          <w:rFonts w:hint="eastAsia" w:ascii="仿宋" w:hAnsi="仿宋" w:eastAsia="仿宋" w:cs="仿宋"/>
          <w:b w:val="0"/>
          <w:bCs/>
          <w:color w:val="auto"/>
          <w:szCs w:val="20"/>
        </w:rPr>
        <w:t>。</w:t>
      </w:r>
    </w:p>
    <w:p w14:paraId="0C6E5B26">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lang w:val="en-US" w:eastAsia="zh-CN"/>
        </w:rPr>
        <w:t>4</w:t>
      </w:r>
      <w:r>
        <w:rPr>
          <w:rFonts w:hint="eastAsia" w:ascii="仿宋" w:hAnsi="仿宋" w:eastAsia="仿宋" w:cs="仿宋"/>
          <w:b w:val="0"/>
          <w:bCs/>
          <w:color w:val="auto"/>
          <w:szCs w:val="20"/>
        </w:rPr>
        <w:t>.工作人员应及时对比赛器材、桌椅、休息室等高频次使用的物品及场所进行</w:t>
      </w:r>
      <w:r>
        <w:rPr>
          <w:rFonts w:hint="eastAsia" w:ascii="仿宋" w:hAnsi="仿宋" w:eastAsia="仿宋" w:cs="仿宋"/>
          <w:b w:val="0"/>
          <w:bCs/>
          <w:color w:val="auto"/>
          <w:szCs w:val="20"/>
          <w:lang w:eastAsia="zh-CN"/>
        </w:rPr>
        <w:t>检查</w:t>
      </w:r>
      <w:r>
        <w:rPr>
          <w:rFonts w:hint="eastAsia" w:ascii="仿宋" w:hAnsi="仿宋" w:eastAsia="仿宋" w:cs="仿宋"/>
          <w:b w:val="0"/>
          <w:bCs/>
          <w:color w:val="auto"/>
          <w:szCs w:val="20"/>
        </w:rPr>
        <w:t>。</w:t>
      </w:r>
    </w:p>
    <w:p w14:paraId="4789EAF0">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lang w:val="en-US" w:eastAsia="zh-CN"/>
        </w:rPr>
        <w:t>5</w:t>
      </w:r>
      <w:r>
        <w:rPr>
          <w:rFonts w:hint="eastAsia" w:ascii="仿宋" w:hAnsi="仿宋" w:eastAsia="仿宋" w:cs="仿宋"/>
          <w:b w:val="0"/>
          <w:bCs/>
          <w:color w:val="auto"/>
          <w:szCs w:val="20"/>
        </w:rPr>
        <w:t>.如遇火灾、地震等突发情况，应听从现场安保人员指挥，按照疏散路线，有序迅速的向场外撤离。</w:t>
      </w:r>
    </w:p>
    <w:p w14:paraId="6BF824BD">
      <w:pPr>
        <w:pStyle w:val="3"/>
        <w:ind w:firstLine="634"/>
        <w:rPr>
          <w:b w:val="0"/>
          <w:bCs/>
          <w:color w:val="auto"/>
        </w:rPr>
      </w:pPr>
      <w:bookmarkStart w:id="41" w:name="_Toc10228"/>
      <w:bookmarkStart w:id="42" w:name="_Toc14599"/>
      <w:r>
        <w:rPr>
          <w:rFonts w:hint="eastAsia"/>
          <w:b w:val="0"/>
          <w:bCs/>
          <w:color w:val="auto"/>
        </w:rPr>
        <w:t>（三）赛场要求</w:t>
      </w:r>
      <w:bookmarkEnd w:id="41"/>
      <w:bookmarkEnd w:id="42"/>
    </w:p>
    <w:p w14:paraId="1A6C9335">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1.赛场内除指定的裁判、技术支持、选手、工作人员外，其他人员不得进入赛场内。</w:t>
      </w:r>
    </w:p>
    <w:p w14:paraId="4E71F328">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2.大赛组委会允许进入赛场的人员，只可在安全区内观摩竞赛。</w:t>
      </w:r>
    </w:p>
    <w:p w14:paraId="57FAD990">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3.大赛组委会允许进入赛场的人员，应遵守赛场规则，不得与选手交谈，不得妨碍、干扰选手竞赛。</w:t>
      </w:r>
    </w:p>
    <w:p w14:paraId="4993F191">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4.大赛组委会允许进入赛场的人员，不得在场内吸烟、喧哗。</w:t>
      </w:r>
    </w:p>
    <w:p w14:paraId="29CB79F3">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5.赛场所有场馆周围保证没有人员妨碍、干扰选手竞赛，不得有任何影响竞赛公平、公正的行为。</w:t>
      </w:r>
    </w:p>
    <w:p w14:paraId="553FE079">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6.赛场设有保安、公安、消防、医疗、设备维修和电力抢险人员待命，以防突发事件；赛场还应设有生活补给站等公共服务设施，为选手和赛场人员提供服务。</w:t>
      </w:r>
    </w:p>
    <w:p w14:paraId="0F12A792">
      <w:pPr>
        <w:spacing w:line="560" w:lineRule="exact"/>
        <w:ind w:firstLine="632" w:firstLineChars="200"/>
        <w:rPr>
          <w:rFonts w:hint="eastAsia" w:ascii="仿宋" w:hAnsi="仿宋" w:eastAsia="仿宋" w:cs="仿宋"/>
          <w:b w:val="0"/>
          <w:bCs/>
          <w:color w:val="auto"/>
          <w:szCs w:val="20"/>
        </w:rPr>
      </w:pPr>
      <w:r>
        <w:rPr>
          <w:rFonts w:hint="eastAsia" w:ascii="仿宋" w:hAnsi="仿宋" w:eastAsia="仿宋" w:cs="仿宋"/>
          <w:b w:val="0"/>
          <w:bCs/>
          <w:color w:val="auto"/>
          <w:szCs w:val="20"/>
        </w:rPr>
        <w:t>7.赛场设置安全通道和警戒线，确保进入赛场的大赛参观、采访、视察的人员限定在安全区域内活动，以保证大赛安全有序进行。</w:t>
      </w:r>
    </w:p>
    <w:p w14:paraId="0506E8A4">
      <w:pPr>
        <w:pStyle w:val="3"/>
        <w:ind w:firstLine="634"/>
        <w:rPr>
          <w:b w:val="0"/>
          <w:bCs/>
          <w:color w:val="auto"/>
        </w:rPr>
      </w:pPr>
      <w:bookmarkStart w:id="43" w:name="_Toc22618"/>
      <w:bookmarkStart w:id="44" w:name="_Toc4435"/>
      <w:r>
        <w:rPr>
          <w:rFonts w:hint="eastAsia"/>
          <w:b w:val="0"/>
          <w:bCs/>
          <w:color w:val="auto"/>
        </w:rPr>
        <w:t>（四）绿色环保要求</w:t>
      </w:r>
      <w:bookmarkEnd w:id="43"/>
      <w:bookmarkEnd w:id="44"/>
    </w:p>
    <w:p w14:paraId="4BF65FD1">
      <w:pPr>
        <w:spacing w:line="560" w:lineRule="exact"/>
        <w:ind w:firstLine="632" w:firstLineChars="200"/>
        <w:jc w:val="left"/>
        <w:rPr>
          <w:rFonts w:hint="eastAsia" w:ascii="仿宋" w:hAnsi="仿宋" w:eastAsia="仿宋" w:cs="仿宋"/>
          <w:color w:val="auto"/>
          <w:szCs w:val="20"/>
        </w:rPr>
      </w:pPr>
      <w:r>
        <w:rPr>
          <w:rFonts w:hint="eastAsia" w:ascii="仿宋" w:hAnsi="仿宋" w:eastAsia="仿宋" w:cs="仿宋"/>
          <w:color w:val="auto"/>
          <w:szCs w:val="20"/>
        </w:rPr>
        <w:t>1.竞赛相关人员，要注意保持环境整洁卫生。</w:t>
      </w:r>
    </w:p>
    <w:p w14:paraId="73D19E06">
      <w:pPr>
        <w:spacing w:line="560" w:lineRule="exact"/>
        <w:ind w:firstLine="632" w:firstLineChars="200"/>
        <w:jc w:val="both"/>
        <w:rPr>
          <w:rFonts w:hint="eastAsia" w:ascii="仿宋" w:hAnsi="仿宋" w:eastAsia="仿宋" w:cs="仿宋"/>
          <w:color w:val="auto"/>
          <w:szCs w:val="20"/>
        </w:rPr>
      </w:pPr>
      <w:r>
        <w:rPr>
          <w:rFonts w:hint="eastAsia" w:ascii="仿宋" w:hAnsi="仿宋" w:eastAsia="仿宋" w:cs="仿宋"/>
          <w:color w:val="auto"/>
          <w:szCs w:val="20"/>
        </w:rPr>
        <w:t>2.每场竞赛结束后，选手要将随身垃圾带出场地，赛场保洁人员要保障赛场整体的环境卫生，体现安全、整洁、有序。</w:t>
      </w:r>
    </w:p>
    <w:p w14:paraId="28733FE7">
      <w:pPr>
        <w:spacing w:line="560" w:lineRule="exact"/>
        <w:jc w:val="both"/>
        <w:rPr>
          <w:rFonts w:hint="eastAsia" w:ascii="仿宋" w:hAnsi="仿宋" w:eastAsia="仿宋" w:cs="仿宋"/>
          <w:color w:val="auto"/>
          <w:szCs w:val="20"/>
        </w:rPr>
      </w:pPr>
    </w:p>
    <w:p w14:paraId="55599412">
      <w:pPr>
        <w:spacing w:line="560" w:lineRule="exact"/>
        <w:jc w:val="both"/>
        <w:rPr>
          <w:rFonts w:hint="eastAsia" w:ascii="Times New Roman" w:hAnsi="Times New Roman" w:eastAsia="黑体" w:cs="黑体"/>
          <w:color w:val="auto"/>
          <w:sz w:val="32"/>
          <w:szCs w:val="32"/>
          <w:lang w:eastAsia="zh-CN"/>
        </w:rPr>
      </w:pPr>
    </w:p>
    <w:p w14:paraId="0F915FC9">
      <w:pPr>
        <w:spacing w:line="560" w:lineRule="exact"/>
        <w:jc w:val="both"/>
        <w:rPr>
          <w:rFonts w:hint="eastAsia" w:ascii="Times New Roman" w:hAnsi="Times New Roman" w:eastAsia="黑体" w:cs="黑体"/>
          <w:color w:val="auto"/>
          <w:sz w:val="32"/>
          <w:szCs w:val="32"/>
          <w:lang w:eastAsia="zh-CN"/>
        </w:rPr>
      </w:pPr>
    </w:p>
    <w:p w14:paraId="302B7437">
      <w:pPr>
        <w:spacing w:line="560" w:lineRule="exact"/>
        <w:jc w:val="both"/>
        <w:rPr>
          <w:rFonts w:hint="eastAsia" w:ascii="Times New Roman" w:hAnsi="Times New Roman" w:eastAsia="黑体" w:cs="黑体"/>
          <w:color w:val="auto"/>
          <w:sz w:val="32"/>
          <w:szCs w:val="32"/>
          <w:lang w:eastAsia="zh-CN"/>
        </w:rPr>
      </w:pPr>
    </w:p>
    <w:p w14:paraId="4250FCE1">
      <w:pPr>
        <w:spacing w:line="560" w:lineRule="exact"/>
        <w:jc w:val="both"/>
        <w:rPr>
          <w:rFonts w:hint="eastAsia" w:ascii="Times New Roman" w:hAnsi="Times New Roman" w:eastAsia="黑体" w:cs="黑体"/>
          <w:color w:val="auto"/>
          <w:sz w:val="32"/>
          <w:szCs w:val="32"/>
          <w:lang w:eastAsia="zh-CN"/>
        </w:rPr>
      </w:pPr>
    </w:p>
    <w:p w14:paraId="7C6EFADF">
      <w:pPr>
        <w:spacing w:line="560" w:lineRule="exact"/>
        <w:jc w:val="both"/>
        <w:rPr>
          <w:rFonts w:hint="eastAsia" w:ascii="Times New Roman" w:hAnsi="Times New Roman" w:eastAsia="黑体" w:cs="黑体"/>
          <w:color w:val="auto"/>
          <w:sz w:val="32"/>
          <w:szCs w:val="32"/>
          <w:lang w:val="en-US" w:eastAsia="zh-CN"/>
        </w:rPr>
      </w:pPr>
      <w:r>
        <w:rPr>
          <w:rFonts w:hint="eastAsia" w:ascii="Times New Roman" w:hAnsi="Times New Roman" w:eastAsia="黑体" w:cs="黑体"/>
          <w:color w:val="auto"/>
          <w:sz w:val="32"/>
          <w:szCs w:val="32"/>
          <w:lang w:eastAsia="zh-CN"/>
        </w:rPr>
        <w:t>附件</w:t>
      </w:r>
      <w:r>
        <w:rPr>
          <w:rFonts w:hint="eastAsia" w:ascii="Times New Roman" w:hAnsi="Times New Roman" w:eastAsia="黑体" w:cs="黑体"/>
          <w:color w:val="auto"/>
          <w:sz w:val="32"/>
          <w:szCs w:val="32"/>
          <w:lang w:val="en-US" w:eastAsia="zh-CN"/>
        </w:rPr>
        <w:t>2</w:t>
      </w:r>
    </w:p>
    <w:p w14:paraId="74967426">
      <w:pPr>
        <w:spacing w:line="560" w:lineRule="exact"/>
        <w:jc w:val="center"/>
        <w:rPr>
          <w:rFonts w:hint="eastAsia" w:ascii="Times New Roman" w:hAnsi="Times New Roman" w:eastAsia="华文中宋"/>
          <w:color w:val="auto"/>
          <w:sz w:val="42"/>
          <w:szCs w:val="42"/>
        </w:rPr>
      </w:pPr>
    </w:p>
    <w:p w14:paraId="1DE47849">
      <w:pPr>
        <w:spacing w:line="560" w:lineRule="exact"/>
        <w:jc w:val="center"/>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沈阳市</w:t>
      </w:r>
      <w:r>
        <w:rPr>
          <w:rFonts w:hint="eastAsia" w:ascii="Times New Roman" w:hAnsi="Times New Roman" w:eastAsia="方正小标宋简体" w:cs="方正小标宋简体"/>
          <w:color w:val="auto"/>
          <w:sz w:val="44"/>
          <w:szCs w:val="44"/>
          <w:lang w:eastAsia="zh-CN"/>
        </w:rPr>
        <w:t>第</w:t>
      </w:r>
      <w:r>
        <w:rPr>
          <w:rFonts w:hint="eastAsia" w:hAnsi="Times New Roman" w:eastAsia="方正小标宋简体" w:cs="方正小标宋简体"/>
          <w:color w:val="auto"/>
          <w:sz w:val="44"/>
          <w:szCs w:val="44"/>
          <w:lang w:eastAsia="zh-CN"/>
        </w:rPr>
        <w:t>四</w:t>
      </w:r>
      <w:r>
        <w:rPr>
          <w:rFonts w:hint="eastAsia" w:ascii="Times New Roman" w:hAnsi="Times New Roman" w:eastAsia="方正小标宋简体" w:cs="方正小标宋简体"/>
          <w:color w:val="auto"/>
          <w:sz w:val="44"/>
          <w:szCs w:val="44"/>
          <w:lang w:eastAsia="zh-CN"/>
        </w:rPr>
        <w:t>届“舒心传技”</w:t>
      </w:r>
      <w:r>
        <w:rPr>
          <w:rFonts w:hint="eastAsia" w:ascii="Times New Roman" w:hAnsi="Times New Roman" w:eastAsia="方正小标宋简体" w:cs="方正小标宋简体"/>
          <w:color w:val="auto"/>
          <w:sz w:val="44"/>
          <w:szCs w:val="44"/>
        </w:rPr>
        <w:t>职业技能大赛</w:t>
      </w:r>
    </w:p>
    <w:p w14:paraId="2094C083">
      <w:pPr>
        <w:spacing w:line="560" w:lineRule="exact"/>
        <w:jc w:val="center"/>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裁判人员工作责任书</w:t>
      </w:r>
    </w:p>
    <w:p w14:paraId="7EA148D0">
      <w:pPr>
        <w:spacing w:line="560" w:lineRule="exact"/>
        <w:jc w:val="center"/>
        <w:rPr>
          <w:rFonts w:hint="eastAsia" w:ascii="Times New Roman" w:hAnsi="Times New Roman" w:eastAsia="楷体_GB2312"/>
          <w:color w:val="auto"/>
          <w:sz w:val="32"/>
          <w:szCs w:val="32"/>
        </w:rPr>
      </w:pPr>
    </w:p>
    <w:p w14:paraId="3F12B207">
      <w:pPr>
        <w:spacing w:line="560" w:lineRule="exact"/>
        <w:ind w:firstLine="632"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为使沈阳市</w:t>
      </w:r>
      <w:r>
        <w:rPr>
          <w:rFonts w:hint="eastAsia" w:ascii="Times New Roman" w:hAnsi="Times New Roman"/>
          <w:color w:val="auto"/>
          <w:sz w:val="32"/>
          <w:szCs w:val="32"/>
          <w:lang w:eastAsia="zh-CN"/>
        </w:rPr>
        <w:t>第</w:t>
      </w:r>
      <w:r>
        <w:rPr>
          <w:rFonts w:hint="eastAsia" w:hAnsi="Times New Roman"/>
          <w:color w:val="auto"/>
          <w:sz w:val="32"/>
          <w:szCs w:val="32"/>
          <w:lang w:eastAsia="zh-CN"/>
        </w:rPr>
        <w:t>四</w:t>
      </w:r>
      <w:r>
        <w:rPr>
          <w:rFonts w:hint="eastAsia" w:ascii="Times New Roman" w:hAnsi="Times New Roman"/>
          <w:color w:val="auto"/>
          <w:sz w:val="32"/>
          <w:szCs w:val="32"/>
          <w:lang w:eastAsia="zh-CN"/>
        </w:rPr>
        <w:t>届“舒心传技”</w:t>
      </w:r>
      <w:r>
        <w:rPr>
          <w:rFonts w:hint="eastAsia" w:ascii="Times New Roman" w:hAnsi="Times New Roman" w:eastAsia="仿宋_GB2312"/>
          <w:color w:val="auto"/>
          <w:sz w:val="32"/>
          <w:szCs w:val="32"/>
        </w:rPr>
        <w:t>职业技能大赛顺利进行，充分体现竞赛的公平、公正性，拟定裁判人员工作责任书，全体裁判人员签署并执行。</w:t>
      </w:r>
    </w:p>
    <w:p w14:paraId="0A5CFFE7">
      <w:pPr>
        <w:spacing w:line="560" w:lineRule="exact"/>
        <w:ind w:firstLine="620" w:firstLineChars="196"/>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一、</w:t>
      </w:r>
      <w:r>
        <w:rPr>
          <w:rFonts w:hint="eastAsia" w:ascii="Times New Roman" w:hAnsi="Times New Roman" w:eastAsia="仿宋_GB2312"/>
          <w:color w:val="auto"/>
          <w:sz w:val="32"/>
          <w:szCs w:val="32"/>
          <w:lang w:eastAsia="zh-CN"/>
        </w:rPr>
        <w:t>裁判长和裁判须服从大赛组委会工作安排，佩戴裁判证、仪表整洁。裁判长应</w:t>
      </w:r>
      <w:r>
        <w:rPr>
          <w:rFonts w:hint="eastAsia" w:ascii="Times New Roman" w:hAnsi="Times New Roman" w:eastAsia="仿宋_GB2312"/>
          <w:color w:val="auto"/>
          <w:sz w:val="32"/>
          <w:szCs w:val="32"/>
        </w:rPr>
        <w:t>按照《竞赛技术规则》</w:t>
      </w:r>
      <w:r>
        <w:rPr>
          <w:rFonts w:hint="eastAsia" w:ascii="Times New Roman" w:hAnsi="Times New Roman" w:eastAsia="仿宋_GB2312"/>
          <w:color w:val="auto"/>
          <w:sz w:val="32"/>
          <w:szCs w:val="32"/>
          <w:lang w:eastAsia="zh-CN"/>
        </w:rPr>
        <w:t>加强</w:t>
      </w:r>
      <w:r>
        <w:rPr>
          <w:rFonts w:hint="eastAsia" w:ascii="Times New Roman" w:hAnsi="Times New Roman" w:eastAsia="仿宋_GB2312"/>
          <w:color w:val="auto"/>
          <w:sz w:val="32"/>
          <w:szCs w:val="32"/>
        </w:rPr>
        <w:t>对全体裁判人员</w:t>
      </w:r>
      <w:r>
        <w:rPr>
          <w:rFonts w:hint="eastAsia" w:ascii="Times New Roman" w:hAnsi="Times New Roman" w:eastAsia="仿宋_GB2312"/>
          <w:color w:val="auto"/>
          <w:sz w:val="32"/>
          <w:szCs w:val="32"/>
          <w:lang w:eastAsia="zh-CN"/>
        </w:rPr>
        <w:t>的管理，</w:t>
      </w:r>
      <w:r>
        <w:rPr>
          <w:rFonts w:hint="eastAsia" w:ascii="Times New Roman" w:hAnsi="Times New Roman" w:eastAsia="仿宋_GB2312"/>
          <w:color w:val="auto"/>
          <w:sz w:val="32"/>
          <w:szCs w:val="32"/>
        </w:rPr>
        <w:t>提出工作要求，</w:t>
      </w:r>
      <w:r>
        <w:rPr>
          <w:rFonts w:hint="eastAsia" w:ascii="Times New Roman" w:hAnsi="Times New Roman" w:eastAsia="仿宋_GB2312"/>
          <w:color w:val="auto"/>
          <w:sz w:val="32"/>
          <w:szCs w:val="32"/>
          <w:lang w:eastAsia="zh-CN"/>
        </w:rPr>
        <w:t>做好工作分工，全体裁判人员应</w:t>
      </w:r>
      <w:r>
        <w:rPr>
          <w:rFonts w:hint="eastAsia" w:ascii="Times New Roman" w:hAnsi="Times New Roman" w:eastAsia="仿宋_GB2312"/>
          <w:color w:val="auto"/>
          <w:sz w:val="32"/>
          <w:szCs w:val="32"/>
        </w:rPr>
        <w:t>认真履行职责，按时、保质、保量完成各项技术工作。</w:t>
      </w:r>
    </w:p>
    <w:p w14:paraId="2AAC62C9">
      <w:pPr>
        <w:spacing w:line="560" w:lineRule="exact"/>
        <w:ind w:firstLine="620" w:firstLineChars="196"/>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二、按照考核各项规则要求，独立行使裁判权力，严格执裁，不因任何机构和个人而影响公平、公正执裁。</w:t>
      </w:r>
    </w:p>
    <w:p w14:paraId="5634B29B">
      <w:pPr>
        <w:spacing w:line="560" w:lineRule="exact"/>
        <w:ind w:firstLine="620" w:firstLineChars="196"/>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三、廉洁自律，不徇私舞弊，不做任何损害大赛声誉和形象的事情。</w:t>
      </w:r>
    </w:p>
    <w:p w14:paraId="0C790322">
      <w:pPr>
        <w:spacing w:line="560" w:lineRule="exact"/>
        <w:ind w:firstLine="620" w:firstLineChars="196"/>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四、发扬团队精神，服从工作分工，做好本职工作。</w:t>
      </w:r>
    </w:p>
    <w:p w14:paraId="40B3BE2E">
      <w:pPr>
        <w:spacing w:line="560" w:lineRule="exact"/>
        <w:ind w:firstLine="620" w:firstLineChars="196"/>
        <w:rPr>
          <w:rFonts w:ascii="Times New Roman" w:hAnsi="Times New Roman" w:eastAsia="仿宋_GB2312"/>
          <w:color w:val="auto"/>
          <w:sz w:val="32"/>
          <w:szCs w:val="32"/>
        </w:rPr>
      </w:pPr>
      <w:r>
        <w:rPr>
          <w:rFonts w:hint="eastAsia" w:ascii="Times New Roman" w:hAnsi="Times New Roman" w:eastAsia="仿宋_GB2312"/>
          <w:color w:val="auto"/>
          <w:sz w:val="32"/>
          <w:szCs w:val="32"/>
        </w:rPr>
        <w:t>五、遵守工作纪律，严守各项机密，不擅自为任何机构或个人提供赛项竞赛环节的技术资料和有关信息。</w:t>
      </w:r>
    </w:p>
    <w:p w14:paraId="2D46CE73">
      <w:pPr>
        <w:spacing w:line="560" w:lineRule="exact"/>
        <w:rPr>
          <w:rFonts w:hint="eastAsia" w:ascii="Times New Roman" w:hAnsi="Times New Roman" w:eastAsia="仿宋_GB2312"/>
          <w:color w:val="auto"/>
          <w:sz w:val="32"/>
          <w:szCs w:val="32"/>
        </w:rPr>
      </w:pPr>
    </w:p>
    <w:p w14:paraId="4171D2F5">
      <w:pPr>
        <w:spacing w:line="560" w:lineRule="exact"/>
        <w:ind w:firstLine="3002" w:firstLineChars="95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 xml:space="preserve">       </w:t>
      </w:r>
      <w:r>
        <w:rPr>
          <w:rFonts w:ascii="Times New Roman" w:hAnsi="Times New Roman" w:eastAsia="仿宋_GB2312"/>
          <w:color w:val="auto"/>
          <w:sz w:val="32"/>
          <w:szCs w:val="32"/>
        </w:rPr>
        <w:t xml:space="preserve">  </w:t>
      </w:r>
      <w:r>
        <w:rPr>
          <w:rFonts w:hint="eastAsia" w:ascii="Times New Roman" w:hAnsi="Times New Roman" w:eastAsia="仿宋_GB2312"/>
          <w:color w:val="auto"/>
          <w:sz w:val="32"/>
          <w:szCs w:val="32"/>
        </w:rPr>
        <w:t xml:space="preserve">  签署人：</w:t>
      </w:r>
    </w:p>
    <w:p w14:paraId="31FA34D6">
      <w:pPr>
        <w:spacing w:line="560" w:lineRule="exact"/>
        <w:ind w:firstLine="790" w:firstLineChars="250"/>
        <w:rPr>
          <w:rFonts w:hint="eastAsia" w:ascii="Times New Roman" w:hAnsi="Times New Roman" w:eastAsia="仿宋_GB2312"/>
          <w:color w:val="auto"/>
          <w:sz w:val="32"/>
          <w:szCs w:val="32"/>
        </w:rPr>
      </w:pPr>
    </w:p>
    <w:p w14:paraId="3312A66D">
      <w:pPr>
        <w:spacing w:line="560" w:lineRule="exact"/>
        <w:ind w:firstLine="5530" w:firstLineChars="175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hAnsi="Times New Roman"/>
          <w:color w:val="auto"/>
          <w:sz w:val="32"/>
          <w:szCs w:val="32"/>
          <w:lang w:val="en-US" w:eastAsia="zh-CN"/>
        </w:rPr>
        <w:t>5</w:t>
      </w:r>
      <w:r>
        <w:rPr>
          <w:rFonts w:hint="eastAsia" w:ascii="Times New Roman" w:hAnsi="Times New Roman" w:eastAsia="仿宋_GB2312"/>
          <w:color w:val="auto"/>
          <w:sz w:val="32"/>
          <w:szCs w:val="32"/>
        </w:rPr>
        <w:t>年</w:t>
      </w:r>
      <w:r>
        <w:rPr>
          <w:rFonts w:hint="eastAsia" w:ascii="Times New Roman" w:hAnsi="Times New Roman"/>
          <w:color w:val="auto"/>
          <w:sz w:val="32"/>
          <w:szCs w:val="32"/>
          <w:lang w:val="en-US" w:eastAsia="zh-CN"/>
        </w:rPr>
        <w:t xml:space="preserve">  </w:t>
      </w:r>
      <w:r>
        <w:rPr>
          <w:rFonts w:hint="eastAsia" w:ascii="Times New Roman" w:hAnsi="Times New Roman" w:eastAsia="仿宋_GB2312"/>
          <w:color w:val="auto"/>
          <w:sz w:val="32"/>
          <w:szCs w:val="32"/>
        </w:rPr>
        <w:t xml:space="preserve">月  日 </w:t>
      </w:r>
    </w:p>
    <w:p w14:paraId="15B8F33C">
      <w:pPr>
        <w:spacing w:line="600" w:lineRule="exact"/>
        <w:rPr>
          <w:rFonts w:hint="eastAsia" w:ascii="Times New Roman" w:hAnsi="Times New Roman" w:eastAsia="黑体" w:cs="仿宋_GB2312"/>
          <w:color w:val="auto"/>
          <w:szCs w:val="32"/>
          <w:lang w:val="en-US" w:eastAsia="zh-CN"/>
        </w:rPr>
      </w:pPr>
      <w:r>
        <w:rPr>
          <w:rFonts w:hint="eastAsia" w:ascii="Times New Roman" w:hAnsi="Times New Roman" w:eastAsia="黑体" w:cs="仿宋_GB2312"/>
          <w:color w:val="auto"/>
          <w:szCs w:val="32"/>
        </w:rPr>
        <w:t>附件</w:t>
      </w:r>
      <w:r>
        <w:rPr>
          <w:rFonts w:hint="eastAsia" w:ascii="Times New Roman" w:hAnsi="Times New Roman" w:eastAsia="黑体" w:cs="仿宋_GB2312"/>
          <w:color w:val="auto"/>
          <w:szCs w:val="32"/>
          <w:lang w:val="en-US" w:eastAsia="zh-CN"/>
        </w:rPr>
        <w:t>3</w:t>
      </w:r>
    </w:p>
    <w:p w14:paraId="2D761DE3">
      <w:pPr>
        <w:spacing w:line="600" w:lineRule="exact"/>
        <w:rPr>
          <w:rFonts w:ascii="Times New Roman" w:hAnsi="Times New Roman" w:cs="仿宋_GB2312"/>
          <w:color w:val="auto"/>
          <w:szCs w:val="32"/>
        </w:rPr>
      </w:pPr>
    </w:p>
    <w:p w14:paraId="72363927">
      <w:pPr>
        <w:spacing w:line="600" w:lineRule="exact"/>
        <w:jc w:val="center"/>
        <w:rPr>
          <w:rFonts w:hint="eastAsia" w:ascii="Times New Roman" w:hAnsi="Times New Roman" w:eastAsia="方正小标宋简体" w:cs="方正小标宋_GBK"/>
          <w:color w:val="auto"/>
          <w:sz w:val="44"/>
          <w:szCs w:val="44"/>
        </w:rPr>
      </w:pPr>
      <w:r>
        <w:rPr>
          <w:rFonts w:hint="eastAsia" w:ascii="Times New Roman" w:hAnsi="Times New Roman" w:eastAsia="方正小标宋简体"/>
          <w:snapToGrid w:val="0"/>
          <w:color w:val="auto"/>
          <w:spacing w:val="-6"/>
          <w:kern w:val="0"/>
          <w:sz w:val="44"/>
          <w:szCs w:val="44"/>
        </w:rPr>
        <w:t>沈阳</w:t>
      </w:r>
      <w:r>
        <w:rPr>
          <w:rFonts w:hint="eastAsia" w:ascii="Times New Roman" w:hAnsi="Times New Roman" w:eastAsia="方正小标宋简体" w:cs="方正小标宋_GBK"/>
          <w:color w:val="auto"/>
          <w:sz w:val="44"/>
          <w:szCs w:val="44"/>
        </w:rPr>
        <w:t>市</w:t>
      </w:r>
      <w:r>
        <w:rPr>
          <w:rFonts w:hint="eastAsia" w:ascii="Times New Roman" w:hAnsi="Times New Roman" w:eastAsia="方正小标宋简体" w:cs="方正小标宋_GBK"/>
          <w:color w:val="auto"/>
          <w:sz w:val="44"/>
          <w:szCs w:val="44"/>
          <w:lang w:eastAsia="zh-CN"/>
        </w:rPr>
        <w:t>第</w:t>
      </w:r>
      <w:r>
        <w:rPr>
          <w:rFonts w:hint="eastAsia" w:hAnsi="Times New Roman" w:eastAsia="方正小标宋简体" w:cs="方正小标宋_GBK"/>
          <w:color w:val="auto"/>
          <w:sz w:val="44"/>
          <w:szCs w:val="44"/>
          <w:lang w:eastAsia="zh-CN"/>
        </w:rPr>
        <w:t>四</w:t>
      </w:r>
      <w:r>
        <w:rPr>
          <w:rFonts w:hint="eastAsia" w:ascii="Times New Roman" w:hAnsi="Times New Roman" w:eastAsia="方正小标宋简体" w:cs="方正小标宋_GBK"/>
          <w:color w:val="auto"/>
          <w:sz w:val="44"/>
          <w:szCs w:val="44"/>
          <w:lang w:eastAsia="zh-CN"/>
        </w:rPr>
        <w:t>届</w:t>
      </w:r>
      <w:r>
        <w:rPr>
          <w:rFonts w:hint="eastAsia" w:ascii="Times New Roman" w:hAnsi="Times New Roman" w:eastAsia="方正小标宋简体" w:cs="方正小标宋_GBK"/>
          <w:color w:val="auto"/>
          <w:sz w:val="44"/>
          <w:szCs w:val="44"/>
        </w:rPr>
        <w:t>“舒心传</w:t>
      </w:r>
      <w:r>
        <w:rPr>
          <w:rFonts w:hint="eastAsia" w:ascii="Times New Roman" w:hAnsi="Times New Roman" w:eastAsia="方正小标宋简体" w:cs="方正小标宋_GBK"/>
          <w:color w:val="auto"/>
          <w:sz w:val="44"/>
          <w:szCs w:val="44"/>
          <w:lang w:eastAsia="zh-CN"/>
        </w:rPr>
        <w:t>技</w:t>
      </w:r>
      <w:r>
        <w:rPr>
          <w:rFonts w:hint="eastAsia" w:ascii="Times New Roman" w:hAnsi="Times New Roman" w:eastAsia="方正小标宋简体" w:cs="方正小标宋_GBK"/>
          <w:color w:val="auto"/>
          <w:sz w:val="44"/>
          <w:szCs w:val="44"/>
        </w:rPr>
        <w:t>”职业技能大赛</w:t>
      </w:r>
    </w:p>
    <w:p w14:paraId="46965513">
      <w:pPr>
        <w:spacing w:line="600" w:lineRule="exact"/>
        <w:jc w:val="center"/>
        <w:rPr>
          <w:rFonts w:ascii="Times New Roman" w:hAnsi="Times New Roman" w:eastAsia="方正小标宋简体" w:cs="方正小标宋_GBK"/>
          <w:color w:val="auto"/>
          <w:sz w:val="44"/>
          <w:szCs w:val="44"/>
        </w:rPr>
      </w:pPr>
      <w:r>
        <w:rPr>
          <w:rFonts w:hint="eastAsia" w:ascii="Times New Roman" w:hAnsi="Times New Roman" w:eastAsia="方正小标宋简体" w:cs="方正小标宋_GBK"/>
          <w:color w:val="auto"/>
          <w:sz w:val="44"/>
          <w:szCs w:val="44"/>
        </w:rPr>
        <w:t>竞赛行为规范承诺书</w:t>
      </w:r>
    </w:p>
    <w:p w14:paraId="5B69D176">
      <w:pPr>
        <w:spacing w:line="600" w:lineRule="exact"/>
        <w:ind w:firstLine="632" w:firstLineChars="200"/>
        <w:rPr>
          <w:rFonts w:ascii="Times New Roman" w:hAnsi="Times New Roman" w:eastAsia="方正仿宋_GBK" w:cs="方正仿宋_GBK"/>
          <w:color w:val="auto"/>
          <w:szCs w:val="20"/>
        </w:rPr>
      </w:pPr>
    </w:p>
    <w:p w14:paraId="00B9770D">
      <w:pPr>
        <w:spacing w:line="600" w:lineRule="exact"/>
        <w:ind w:firstLine="632" w:firstLineChars="200"/>
        <w:rPr>
          <w:rFonts w:ascii="Times New Roman" w:hAnsi="Times New Roman" w:cs="方正仿宋_GBK"/>
          <w:color w:val="auto"/>
          <w:szCs w:val="20"/>
        </w:rPr>
      </w:pPr>
      <w:r>
        <w:rPr>
          <w:rFonts w:hint="eastAsia" w:ascii="Times New Roman" w:hAnsi="Times New Roman" w:cs="仿宋_GB2312"/>
          <w:color w:val="auto"/>
          <w:szCs w:val="20"/>
        </w:rPr>
        <w:t>遵章守纪、诚实守信、公平公正、公开透明，是全体参与</w:t>
      </w:r>
      <w:r>
        <w:rPr>
          <w:rFonts w:hint="eastAsia" w:ascii="Times New Roman" w:hAnsi="Times New Roman" w:cs="仿宋_GB2312"/>
          <w:snapToGrid w:val="0"/>
          <w:color w:val="auto"/>
          <w:spacing w:val="-6"/>
          <w:kern w:val="0"/>
          <w:szCs w:val="32"/>
        </w:rPr>
        <w:t>沈阳市</w:t>
      </w:r>
      <w:r>
        <w:rPr>
          <w:rFonts w:hint="eastAsia" w:ascii="Times New Roman" w:hAnsi="Times New Roman" w:cs="仿宋_GB2312"/>
          <w:snapToGrid w:val="0"/>
          <w:color w:val="auto"/>
          <w:spacing w:val="-6"/>
          <w:kern w:val="0"/>
          <w:szCs w:val="32"/>
          <w:lang w:eastAsia="zh-CN"/>
        </w:rPr>
        <w:t>第</w:t>
      </w:r>
      <w:r>
        <w:rPr>
          <w:rFonts w:hint="eastAsia" w:hAnsi="Times New Roman" w:cs="仿宋_GB2312"/>
          <w:snapToGrid w:val="0"/>
          <w:color w:val="auto"/>
          <w:spacing w:val="-6"/>
          <w:kern w:val="0"/>
          <w:szCs w:val="32"/>
          <w:lang w:eastAsia="zh-CN"/>
        </w:rPr>
        <w:t>四</w:t>
      </w:r>
      <w:r>
        <w:rPr>
          <w:rFonts w:hint="eastAsia" w:ascii="Times New Roman" w:hAnsi="Times New Roman" w:cs="仿宋_GB2312"/>
          <w:snapToGrid w:val="0"/>
          <w:color w:val="auto"/>
          <w:spacing w:val="-6"/>
          <w:kern w:val="0"/>
          <w:szCs w:val="32"/>
          <w:lang w:eastAsia="zh-CN"/>
        </w:rPr>
        <w:t>届</w:t>
      </w:r>
      <w:r>
        <w:rPr>
          <w:rFonts w:hint="eastAsia" w:ascii="Times New Roman" w:hAnsi="Times New Roman" w:cs="仿宋_GB2312"/>
          <w:color w:val="auto"/>
          <w:kern w:val="0"/>
          <w:szCs w:val="32"/>
          <w:shd w:val="clear" w:color="auto" w:fill="FFFFFF"/>
          <w:lang w:bidi="ar"/>
        </w:rPr>
        <w:t>“舒心传</w:t>
      </w:r>
      <w:r>
        <w:rPr>
          <w:rFonts w:hint="eastAsia" w:ascii="Times New Roman" w:hAnsi="Times New Roman" w:cs="仿宋_GB2312"/>
          <w:color w:val="auto"/>
          <w:kern w:val="0"/>
          <w:szCs w:val="32"/>
          <w:shd w:val="clear" w:color="auto" w:fill="FFFFFF"/>
          <w:lang w:val="en-US" w:eastAsia="zh-CN" w:bidi="ar"/>
        </w:rPr>
        <w:t>技</w:t>
      </w:r>
      <w:r>
        <w:rPr>
          <w:rFonts w:hint="eastAsia" w:ascii="Times New Roman" w:hAnsi="Times New Roman" w:cs="仿宋_GB2312"/>
          <w:color w:val="auto"/>
          <w:kern w:val="0"/>
          <w:szCs w:val="32"/>
          <w:shd w:val="clear" w:color="auto" w:fill="FFFFFF"/>
          <w:lang w:bidi="ar"/>
        </w:rPr>
        <w:t>”</w:t>
      </w:r>
      <w:r>
        <w:rPr>
          <w:rFonts w:hint="eastAsia" w:ascii="Times New Roman" w:hAnsi="Times New Roman" w:cs="仿宋_GB2312"/>
          <w:color w:val="auto"/>
          <w:szCs w:val="20"/>
        </w:rPr>
        <w:t>职业技能大赛相关人员必须遵守的行为规范。</w:t>
      </w:r>
    </w:p>
    <w:p w14:paraId="28DA4212">
      <w:pPr>
        <w:spacing w:line="600" w:lineRule="exact"/>
        <w:ind w:firstLine="632" w:firstLineChars="200"/>
        <w:rPr>
          <w:rFonts w:ascii="Times New Roman" w:hAnsi="Times New Roman" w:eastAsia="黑体" w:cs="方正黑体_GBK"/>
          <w:color w:val="auto"/>
          <w:szCs w:val="20"/>
        </w:rPr>
      </w:pPr>
      <w:r>
        <w:rPr>
          <w:rFonts w:hint="eastAsia" w:ascii="Times New Roman" w:hAnsi="Times New Roman" w:eastAsia="黑体" w:cs="方正黑体_GBK"/>
          <w:color w:val="auto"/>
          <w:szCs w:val="20"/>
        </w:rPr>
        <w:t>一、遵章守纪</w:t>
      </w:r>
    </w:p>
    <w:p w14:paraId="541CAC6C">
      <w:pPr>
        <w:spacing w:line="600" w:lineRule="exact"/>
        <w:ind w:firstLine="632" w:firstLineChars="200"/>
        <w:rPr>
          <w:rFonts w:ascii="Times New Roman" w:hAnsi="Times New Roman" w:cs="仿宋_GB2312"/>
          <w:color w:val="auto"/>
          <w:szCs w:val="20"/>
        </w:rPr>
      </w:pPr>
      <w:r>
        <w:rPr>
          <w:rFonts w:hint="eastAsia" w:ascii="Times New Roman" w:hAnsi="Times New Roman" w:cs="仿宋_GB2312"/>
          <w:color w:val="auto"/>
          <w:szCs w:val="20"/>
        </w:rPr>
        <w:t>严格执行</w:t>
      </w:r>
      <w:r>
        <w:rPr>
          <w:rFonts w:hint="eastAsia" w:ascii="Times New Roman" w:hAnsi="Times New Roman" w:cs="仿宋_GB2312"/>
          <w:snapToGrid w:val="0"/>
          <w:color w:val="auto"/>
          <w:spacing w:val="-6"/>
          <w:kern w:val="0"/>
          <w:szCs w:val="32"/>
        </w:rPr>
        <w:t>沈阳市</w:t>
      </w:r>
      <w:r>
        <w:rPr>
          <w:rFonts w:hint="eastAsia" w:ascii="Times New Roman" w:hAnsi="Times New Roman" w:cs="仿宋_GB2312"/>
          <w:color w:val="auto"/>
          <w:szCs w:val="32"/>
          <w:lang w:eastAsia="zh-CN"/>
        </w:rPr>
        <w:t>第</w:t>
      </w:r>
      <w:r>
        <w:rPr>
          <w:rFonts w:hint="eastAsia" w:hAnsi="Times New Roman" w:cs="仿宋_GB2312"/>
          <w:color w:val="auto"/>
          <w:szCs w:val="32"/>
          <w:lang w:eastAsia="zh-CN"/>
        </w:rPr>
        <w:t>四</w:t>
      </w:r>
      <w:r>
        <w:rPr>
          <w:rFonts w:hint="eastAsia" w:ascii="Times New Roman" w:hAnsi="Times New Roman" w:cs="仿宋_GB2312"/>
          <w:color w:val="auto"/>
          <w:szCs w:val="32"/>
          <w:lang w:eastAsia="zh-CN"/>
        </w:rPr>
        <w:t>届</w:t>
      </w:r>
      <w:r>
        <w:rPr>
          <w:rFonts w:hint="eastAsia" w:ascii="Times New Roman" w:hAnsi="Times New Roman" w:cs="仿宋_GB2312"/>
          <w:color w:val="auto"/>
          <w:szCs w:val="20"/>
        </w:rPr>
        <w:t>“舒心传</w:t>
      </w:r>
      <w:r>
        <w:rPr>
          <w:rFonts w:hint="eastAsia" w:ascii="Times New Roman" w:hAnsi="Times New Roman" w:cs="仿宋_GB2312"/>
          <w:color w:val="auto"/>
          <w:szCs w:val="20"/>
          <w:lang w:eastAsia="zh-CN"/>
        </w:rPr>
        <w:t>技</w:t>
      </w:r>
      <w:r>
        <w:rPr>
          <w:rFonts w:hint="eastAsia" w:ascii="Times New Roman" w:hAnsi="Times New Roman" w:cs="仿宋_GB2312"/>
          <w:color w:val="auto"/>
          <w:szCs w:val="20"/>
        </w:rPr>
        <w:t>”职业技能大赛</w:t>
      </w:r>
      <w:r>
        <w:rPr>
          <w:rFonts w:hint="eastAsia" w:ascii="Times New Roman" w:hAnsi="Times New Roman" w:cs="仿宋_GB2312"/>
          <w:color w:val="auto"/>
          <w:szCs w:val="20"/>
          <w:lang w:eastAsia="zh-CN"/>
        </w:rPr>
        <w:t>组委会有关规定</w:t>
      </w:r>
      <w:r>
        <w:rPr>
          <w:rFonts w:hint="eastAsia" w:ascii="Times New Roman" w:hAnsi="Times New Roman" w:cs="仿宋_GB2312"/>
          <w:color w:val="auto"/>
          <w:szCs w:val="20"/>
        </w:rPr>
        <w:t>，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1E58784E">
      <w:pPr>
        <w:spacing w:line="600" w:lineRule="exact"/>
        <w:ind w:firstLine="632" w:firstLineChars="200"/>
        <w:rPr>
          <w:rFonts w:ascii="Times New Roman" w:hAnsi="Times New Roman" w:eastAsia="黑体" w:cs="方正黑体_GBK"/>
          <w:color w:val="auto"/>
          <w:szCs w:val="20"/>
        </w:rPr>
      </w:pPr>
      <w:r>
        <w:rPr>
          <w:rFonts w:hint="eastAsia" w:ascii="Times New Roman" w:hAnsi="Times New Roman" w:eastAsia="黑体" w:cs="方正黑体_GBK"/>
          <w:color w:val="auto"/>
          <w:szCs w:val="20"/>
        </w:rPr>
        <w:t>二、诚实守信</w:t>
      </w:r>
    </w:p>
    <w:p w14:paraId="477D41B7">
      <w:pPr>
        <w:spacing w:line="600" w:lineRule="exact"/>
        <w:ind w:firstLine="632" w:firstLineChars="200"/>
        <w:rPr>
          <w:rFonts w:ascii="Times New Roman" w:hAnsi="Times New Roman" w:cs="仿宋_GB2312"/>
          <w:color w:val="auto"/>
          <w:szCs w:val="20"/>
        </w:rPr>
      </w:pPr>
      <w:r>
        <w:rPr>
          <w:rFonts w:hint="eastAsia" w:ascii="Times New Roman" w:hAnsi="Times New Roman" w:cs="仿宋_GB2312"/>
          <w:color w:val="auto"/>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25A0FE23">
      <w:pPr>
        <w:spacing w:line="600" w:lineRule="exact"/>
        <w:ind w:firstLine="632" w:firstLineChars="200"/>
        <w:rPr>
          <w:rFonts w:ascii="Times New Roman" w:hAnsi="Times New Roman" w:eastAsia="黑体" w:cs="方正黑体_GBK"/>
          <w:color w:val="auto"/>
          <w:szCs w:val="20"/>
        </w:rPr>
      </w:pPr>
      <w:r>
        <w:rPr>
          <w:rFonts w:hint="eastAsia" w:ascii="Times New Roman" w:hAnsi="Times New Roman" w:eastAsia="黑体" w:cs="方正黑体_GBK"/>
          <w:color w:val="auto"/>
          <w:szCs w:val="20"/>
        </w:rPr>
        <w:t>三、公平公正</w:t>
      </w:r>
    </w:p>
    <w:p w14:paraId="62F49937">
      <w:pPr>
        <w:spacing w:line="600" w:lineRule="exact"/>
        <w:ind w:firstLine="632" w:firstLineChars="200"/>
        <w:rPr>
          <w:rFonts w:ascii="Times New Roman" w:hAnsi="Times New Roman" w:cs="仿宋_GB2312"/>
          <w:color w:val="auto"/>
          <w:szCs w:val="20"/>
        </w:rPr>
      </w:pPr>
      <w:r>
        <w:rPr>
          <w:rFonts w:hint="eastAsia" w:ascii="Times New Roman" w:hAnsi="Times New Roman" w:cs="仿宋_GB2312"/>
          <w:color w:val="auto"/>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0DAD3032">
      <w:pPr>
        <w:spacing w:line="600" w:lineRule="exact"/>
        <w:ind w:firstLine="632" w:firstLineChars="200"/>
        <w:rPr>
          <w:rFonts w:ascii="Times New Roman" w:hAnsi="Times New Roman" w:eastAsia="黑体" w:cs="方正黑体_GBK"/>
          <w:color w:val="auto"/>
          <w:szCs w:val="20"/>
        </w:rPr>
      </w:pPr>
      <w:r>
        <w:rPr>
          <w:rFonts w:hint="eastAsia" w:ascii="Times New Roman" w:hAnsi="Times New Roman" w:eastAsia="黑体" w:cs="方正黑体_GBK"/>
          <w:color w:val="auto"/>
          <w:szCs w:val="20"/>
        </w:rPr>
        <w:t>四、公开透明</w:t>
      </w:r>
    </w:p>
    <w:p w14:paraId="3895D817">
      <w:pPr>
        <w:spacing w:line="600" w:lineRule="exact"/>
        <w:ind w:firstLine="632" w:firstLineChars="200"/>
        <w:rPr>
          <w:rFonts w:ascii="Times New Roman" w:hAnsi="Times New Roman" w:cs="仿宋_GB2312"/>
          <w:color w:val="auto"/>
          <w:szCs w:val="20"/>
        </w:rPr>
      </w:pPr>
      <w:r>
        <w:rPr>
          <w:rFonts w:hint="eastAsia" w:ascii="Times New Roman" w:hAnsi="Times New Roman" w:cs="仿宋_GB2312"/>
          <w:color w:val="auto"/>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42D9647D">
      <w:pPr>
        <w:spacing w:line="600" w:lineRule="exact"/>
        <w:ind w:firstLine="632" w:firstLineChars="200"/>
        <w:rPr>
          <w:rFonts w:ascii="Times New Roman" w:hAnsi="Times New Roman" w:cs="仿宋_GB2312"/>
          <w:color w:val="auto"/>
          <w:szCs w:val="20"/>
        </w:rPr>
      </w:pPr>
      <w:r>
        <w:rPr>
          <w:rFonts w:hint="eastAsia" w:ascii="Times New Roman" w:hAnsi="Times New Roman" w:cs="仿宋_GB2312"/>
          <w:color w:val="auto"/>
          <w:szCs w:val="20"/>
        </w:rPr>
        <w:t>我们承诺遵守以上竞赛行为规范。</w:t>
      </w:r>
    </w:p>
    <w:p w14:paraId="63A69484">
      <w:pPr>
        <w:spacing w:line="600" w:lineRule="exact"/>
        <w:ind w:firstLine="632" w:firstLineChars="200"/>
        <w:rPr>
          <w:rFonts w:ascii="Times New Roman" w:hAnsi="Times New Roman" w:cs="仿宋_GB2312"/>
          <w:color w:val="auto"/>
          <w:szCs w:val="20"/>
        </w:rPr>
      </w:pPr>
    </w:p>
    <w:p w14:paraId="0D1D0A16">
      <w:pPr>
        <w:spacing w:line="600" w:lineRule="exact"/>
        <w:ind w:firstLine="632" w:firstLineChars="200"/>
        <w:rPr>
          <w:rFonts w:ascii="Times New Roman" w:hAnsi="Times New Roman" w:cs="仿宋_GB2312"/>
          <w:color w:val="auto"/>
          <w:szCs w:val="20"/>
        </w:rPr>
      </w:pPr>
    </w:p>
    <w:p w14:paraId="1E7B45DC">
      <w:pPr>
        <w:spacing w:line="600" w:lineRule="exact"/>
        <w:ind w:firstLine="4108" w:firstLineChars="1300"/>
        <w:rPr>
          <w:rFonts w:hint="eastAsia" w:ascii="Times New Roman" w:hAnsi="Times New Roman" w:cs="仿宋_GB2312"/>
          <w:color w:val="auto"/>
          <w:szCs w:val="20"/>
        </w:rPr>
      </w:pPr>
      <w:r>
        <w:rPr>
          <w:rFonts w:hint="eastAsia" w:ascii="Times New Roman" w:hAnsi="Times New Roman" w:cs="仿宋_GB2312"/>
          <w:color w:val="auto"/>
          <w:szCs w:val="20"/>
        </w:rPr>
        <w:t>签署人：</w:t>
      </w:r>
    </w:p>
    <w:p w14:paraId="31F934DE">
      <w:pPr>
        <w:spacing w:line="600" w:lineRule="exact"/>
        <w:ind w:firstLine="632" w:firstLineChars="200"/>
        <w:rPr>
          <w:rFonts w:hint="eastAsia" w:ascii="Times New Roman" w:hAnsi="Times New Roman" w:cs="仿宋_GB2312"/>
          <w:color w:val="auto"/>
          <w:szCs w:val="20"/>
        </w:rPr>
      </w:pPr>
    </w:p>
    <w:p w14:paraId="03235E88">
      <w:pPr>
        <w:spacing w:line="600" w:lineRule="exact"/>
        <w:ind w:firstLine="5056" w:firstLineChars="1600"/>
        <w:rPr>
          <w:rFonts w:hint="default" w:ascii="Times New Roman" w:hAnsi="Times New Roman" w:eastAsia="仿宋_GB2312" w:cs="仿宋_GB2312"/>
          <w:color w:val="auto"/>
          <w:szCs w:val="20"/>
          <w:lang w:val="en-US" w:eastAsia="zh-CN"/>
        </w:rPr>
      </w:pPr>
      <w:r>
        <w:rPr>
          <w:rFonts w:hint="eastAsia" w:ascii="Times New Roman" w:hAnsi="Times New Roman" w:cs="仿宋_GB2312"/>
          <w:color w:val="auto"/>
          <w:szCs w:val="20"/>
          <w:lang w:val="en-US" w:eastAsia="zh-CN"/>
        </w:rPr>
        <w:t>202</w:t>
      </w:r>
      <w:r>
        <w:rPr>
          <w:rFonts w:hint="eastAsia" w:hAnsi="Times New Roman" w:cs="仿宋_GB2312"/>
          <w:color w:val="auto"/>
          <w:szCs w:val="20"/>
          <w:lang w:val="en-US" w:eastAsia="zh-CN"/>
        </w:rPr>
        <w:t>5</w:t>
      </w:r>
      <w:r>
        <w:rPr>
          <w:rFonts w:hint="eastAsia" w:ascii="Times New Roman" w:hAnsi="Times New Roman" w:cs="仿宋_GB2312"/>
          <w:color w:val="auto"/>
          <w:szCs w:val="20"/>
          <w:lang w:val="en-US" w:eastAsia="zh-CN"/>
        </w:rPr>
        <w:t>年  月  日</w:t>
      </w:r>
    </w:p>
    <w:p w14:paraId="6ADA29F3">
      <w:pPr>
        <w:pStyle w:val="22"/>
        <w:spacing w:line="540" w:lineRule="exact"/>
        <w:ind w:firstLine="0" w:firstLineChars="0"/>
        <w:rPr>
          <w:rFonts w:ascii="Times New Roman" w:hAnsi="Times New Roman" w:eastAsia="黑体"/>
          <w:color w:val="auto"/>
          <w:szCs w:val="32"/>
        </w:rPr>
      </w:pPr>
      <w:r>
        <w:rPr>
          <w:rFonts w:ascii="Times New Roman" w:hAnsi="Times New Roman"/>
          <w:color w:val="auto"/>
          <w:szCs w:val="20"/>
        </w:rPr>
        <w:br w:type="page"/>
      </w:r>
    </w:p>
    <w:p w14:paraId="2FB21BA0">
      <w:pPr>
        <w:pStyle w:val="22"/>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rFonts w:hint="eastAsia" w:ascii="Times New Roman" w:hAnsi="Times New Roman" w:eastAsia="黑体" w:cs="仿宋_GB2312"/>
          <w:color w:val="auto"/>
          <w:szCs w:val="32"/>
          <w:lang w:val="en-US" w:eastAsia="zh-CN"/>
        </w:rPr>
      </w:pPr>
      <w:r>
        <w:rPr>
          <w:rFonts w:hint="eastAsia" w:ascii="Times New Roman" w:hAnsi="Times New Roman" w:eastAsia="黑体" w:cs="仿宋_GB2312"/>
          <w:color w:val="auto"/>
          <w:szCs w:val="32"/>
        </w:rPr>
        <w:t>附件</w:t>
      </w:r>
      <w:r>
        <w:rPr>
          <w:rFonts w:hint="eastAsia" w:ascii="Times New Roman" w:hAnsi="Times New Roman" w:eastAsia="黑体" w:cs="仿宋_GB2312"/>
          <w:color w:val="auto"/>
          <w:szCs w:val="32"/>
          <w:lang w:val="en-US" w:eastAsia="zh-CN"/>
        </w:rPr>
        <w:t>4</w:t>
      </w:r>
    </w:p>
    <w:p w14:paraId="76522C5D">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auto"/>
          <w:szCs w:val="20"/>
        </w:rPr>
      </w:pPr>
    </w:p>
    <w:p w14:paraId="2C37FD0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方正小标宋简体"/>
          <w:color w:val="auto"/>
          <w:sz w:val="44"/>
          <w:szCs w:val="44"/>
        </w:rPr>
      </w:pPr>
      <w:bookmarkStart w:id="45" w:name="_Hlk107342551"/>
      <w:r>
        <w:rPr>
          <w:rFonts w:hint="eastAsia" w:ascii="Times New Roman" w:hAnsi="Times New Roman" w:eastAsia="方正小标宋简体"/>
          <w:color w:val="auto"/>
          <w:sz w:val="44"/>
          <w:szCs w:val="44"/>
        </w:rPr>
        <w:t>沈阳市</w:t>
      </w:r>
      <w:r>
        <w:rPr>
          <w:rFonts w:hint="eastAsia" w:ascii="Times New Roman" w:hAnsi="Times New Roman" w:eastAsia="方正小标宋简体"/>
          <w:color w:val="auto"/>
          <w:sz w:val="44"/>
          <w:szCs w:val="44"/>
          <w:lang w:eastAsia="zh-CN"/>
        </w:rPr>
        <w:t>第</w:t>
      </w:r>
      <w:r>
        <w:rPr>
          <w:rFonts w:hint="eastAsia" w:hAnsi="Times New Roman" w:eastAsia="方正小标宋简体"/>
          <w:color w:val="auto"/>
          <w:sz w:val="44"/>
          <w:szCs w:val="44"/>
          <w:lang w:eastAsia="zh-CN"/>
        </w:rPr>
        <w:t>四</w:t>
      </w:r>
      <w:r>
        <w:rPr>
          <w:rFonts w:hint="eastAsia" w:ascii="Times New Roman" w:hAnsi="Times New Roman" w:eastAsia="方正小标宋简体"/>
          <w:color w:val="auto"/>
          <w:sz w:val="44"/>
          <w:szCs w:val="44"/>
          <w:lang w:eastAsia="zh-CN"/>
        </w:rPr>
        <w:t>届</w:t>
      </w:r>
      <w:r>
        <w:rPr>
          <w:rFonts w:hint="eastAsia" w:ascii="Times New Roman" w:hAnsi="Times New Roman" w:eastAsia="方正小标宋简体"/>
          <w:color w:val="auto"/>
          <w:sz w:val="44"/>
          <w:szCs w:val="44"/>
        </w:rPr>
        <w:t>“舒心传</w:t>
      </w:r>
      <w:r>
        <w:rPr>
          <w:rFonts w:hint="eastAsia" w:ascii="Times New Roman" w:hAnsi="Times New Roman" w:eastAsia="方正小标宋简体"/>
          <w:color w:val="auto"/>
          <w:sz w:val="44"/>
          <w:szCs w:val="44"/>
          <w:lang w:eastAsia="zh-CN"/>
        </w:rPr>
        <w:t>技</w:t>
      </w:r>
      <w:r>
        <w:rPr>
          <w:rFonts w:hint="eastAsia" w:ascii="Times New Roman" w:hAnsi="Times New Roman" w:eastAsia="方正小标宋简体"/>
          <w:color w:val="auto"/>
          <w:sz w:val="44"/>
          <w:szCs w:val="44"/>
        </w:rPr>
        <w:t>”职业技能大赛</w:t>
      </w:r>
    </w:p>
    <w:p w14:paraId="1B4F4E0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方正小标宋简体"/>
          <w:color w:val="auto"/>
          <w:sz w:val="44"/>
          <w:szCs w:val="44"/>
        </w:rPr>
      </w:pPr>
      <w:r>
        <w:rPr>
          <w:rFonts w:hint="eastAsia" w:ascii="Times New Roman" w:hAnsi="Times New Roman" w:eastAsia="方正小标宋简体"/>
          <w:color w:val="auto"/>
          <w:sz w:val="44"/>
          <w:szCs w:val="44"/>
        </w:rPr>
        <w:t>参赛选手安全承诺书</w:t>
      </w:r>
    </w:p>
    <w:bookmarkEnd w:id="45"/>
    <w:p w14:paraId="4DF2DC5F">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olor w:val="auto"/>
          <w:szCs w:val="24"/>
        </w:rPr>
      </w:pPr>
    </w:p>
    <w:p w14:paraId="7A98ECD2">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eastAsia" w:ascii="Times New Roman" w:hAnsi="Times New Roman" w:cs="仿宋_GB2312"/>
          <w:color w:val="auto"/>
          <w:szCs w:val="20"/>
        </w:rPr>
        <w:t>为增强沈阳市</w:t>
      </w:r>
      <w:r>
        <w:rPr>
          <w:rFonts w:hint="eastAsia" w:ascii="Times New Roman" w:hAnsi="Times New Roman" w:cs="仿宋_GB2312"/>
          <w:color w:val="auto"/>
          <w:szCs w:val="32"/>
          <w:lang w:eastAsia="zh-CN"/>
        </w:rPr>
        <w:t>第</w:t>
      </w:r>
      <w:r>
        <w:rPr>
          <w:rFonts w:hint="eastAsia" w:hAnsi="Times New Roman" w:cs="仿宋_GB2312"/>
          <w:color w:val="auto"/>
          <w:szCs w:val="32"/>
          <w:lang w:eastAsia="zh-CN"/>
        </w:rPr>
        <w:t>四</w:t>
      </w:r>
      <w:r>
        <w:rPr>
          <w:rFonts w:hint="eastAsia" w:ascii="Times New Roman" w:hAnsi="Times New Roman" w:cs="仿宋_GB2312"/>
          <w:color w:val="auto"/>
          <w:szCs w:val="32"/>
          <w:lang w:eastAsia="zh-CN"/>
        </w:rPr>
        <w:t>届</w:t>
      </w:r>
      <w:r>
        <w:rPr>
          <w:rFonts w:hint="eastAsia" w:ascii="Times New Roman" w:hAnsi="Times New Roman" w:cs="仿宋_GB2312"/>
          <w:color w:val="auto"/>
          <w:szCs w:val="20"/>
        </w:rPr>
        <w:t>“舒心传</w:t>
      </w:r>
      <w:r>
        <w:rPr>
          <w:rFonts w:hint="eastAsia" w:ascii="Times New Roman" w:hAnsi="Times New Roman" w:cs="仿宋_GB2312"/>
          <w:color w:val="auto"/>
          <w:szCs w:val="20"/>
          <w:lang w:eastAsia="zh-CN"/>
        </w:rPr>
        <w:t>技</w:t>
      </w:r>
      <w:r>
        <w:rPr>
          <w:rFonts w:hint="eastAsia" w:ascii="Times New Roman" w:hAnsi="Times New Roman" w:cs="仿宋_GB2312"/>
          <w:color w:val="auto"/>
          <w:szCs w:val="20"/>
        </w:rPr>
        <w:t>”职业技能大赛参赛选手安全操作意识，积极预防比赛中的伤害事故，营造安全、规范的比赛环境，参赛选手就安全、规范参赛，做出如下承诺：</w:t>
      </w:r>
    </w:p>
    <w:p w14:paraId="5741C321">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eastAsia" w:ascii="Times New Roman" w:hAnsi="Times New Roman" w:cs="仿宋_GB2312"/>
          <w:color w:val="auto"/>
          <w:szCs w:val="20"/>
        </w:rPr>
        <w:t xml:space="preserve">一、服从裁判人员管理，遵守比赛纪律、秩序，文明参赛。 </w:t>
      </w:r>
    </w:p>
    <w:p w14:paraId="372C7BD5">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default" w:ascii="Times New Roman" w:hAnsi="Times New Roman" w:cs="仿宋_GB2312"/>
          <w:color w:val="auto"/>
          <w:szCs w:val="20"/>
        </w:rPr>
        <w:t>二</w:t>
      </w:r>
      <w:r>
        <w:rPr>
          <w:rFonts w:hint="eastAsia" w:ascii="Times New Roman" w:hAnsi="Times New Roman" w:cs="仿宋_GB2312"/>
          <w:color w:val="auto"/>
          <w:szCs w:val="20"/>
        </w:rPr>
        <w:t>、遵守竞赛规则、操作规程，规范操作赛场设施、设备，规范使用比赛工具材料。</w:t>
      </w:r>
    </w:p>
    <w:p w14:paraId="26BAC532">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default" w:ascii="Times New Roman" w:hAnsi="Times New Roman" w:cs="仿宋_GB2312"/>
          <w:color w:val="auto"/>
          <w:szCs w:val="20"/>
        </w:rPr>
        <w:t>三</w:t>
      </w:r>
      <w:r>
        <w:rPr>
          <w:rFonts w:hint="eastAsia" w:ascii="Times New Roman" w:hAnsi="Times New Roman" w:cs="仿宋_GB2312"/>
          <w:color w:val="auto"/>
          <w:szCs w:val="20"/>
        </w:rPr>
        <w:t xml:space="preserve">、按照行业相关安全规定和本项目竞赛安全规范要求穿戴防护用具及防护用品，安全参赛，杜绝一切危险操作行为。 </w:t>
      </w:r>
    </w:p>
    <w:p w14:paraId="7819DC74">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default" w:ascii="Times New Roman" w:hAnsi="Times New Roman" w:cs="仿宋_GB2312"/>
          <w:color w:val="auto"/>
          <w:szCs w:val="20"/>
        </w:rPr>
        <w:t>四</w:t>
      </w:r>
      <w:r>
        <w:rPr>
          <w:rFonts w:hint="eastAsia" w:ascii="Times New Roman" w:hAnsi="Times New Roman" w:cs="仿宋_GB2312"/>
          <w:color w:val="auto"/>
          <w:szCs w:val="20"/>
        </w:rPr>
        <w:t>、爱护参赛设施、设备及工具材料，规范存放、妥善保管，防止损坏。</w:t>
      </w:r>
    </w:p>
    <w:p w14:paraId="0732887B">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default" w:ascii="Times New Roman" w:hAnsi="Times New Roman" w:cs="仿宋_GB2312"/>
          <w:color w:val="auto"/>
          <w:szCs w:val="20"/>
        </w:rPr>
        <w:t>五</w:t>
      </w:r>
      <w:r>
        <w:rPr>
          <w:rFonts w:hint="eastAsia" w:ascii="Times New Roman" w:hAnsi="Times New Roman" w:cs="仿宋_GB2312"/>
          <w:color w:val="auto"/>
          <w:szCs w:val="20"/>
        </w:rPr>
        <w:t>、养成文明生活习惯，注意饮食卫生，在确保人身健康、安全的前提下参加竞赛。</w:t>
      </w:r>
    </w:p>
    <w:p w14:paraId="323B2A63">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default" w:ascii="Times New Roman" w:hAnsi="Times New Roman" w:cs="仿宋_GB2312"/>
          <w:color w:val="auto"/>
          <w:szCs w:val="20"/>
        </w:rPr>
        <w:t>六</w:t>
      </w:r>
      <w:r>
        <w:rPr>
          <w:rFonts w:hint="eastAsia" w:ascii="Times New Roman" w:hAnsi="Times New Roman" w:cs="仿宋_GB2312"/>
          <w:color w:val="auto"/>
          <w:szCs w:val="20"/>
        </w:rPr>
        <w:t xml:space="preserve">、发现有关问题和故障，按规范报告、处理。 </w:t>
      </w:r>
    </w:p>
    <w:p w14:paraId="0C8DAA59">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ascii="Times New Roman" w:hAnsi="Times New Roman" w:cs="仿宋_GB2312"/>
          <w:color w:val="auto"/>
          <w:szCs w:val="20"/>
        </w:rPr>
      </w:pPr>
      <w:r>
        <w:rPr>
          <w:rFonts w:hint="eastAsia" w:ascii="Times New Roman" w:hAnsi="Times New Roman" w:cs="仿宋_GB2312"/>
          <w:color w:val="auto"/>
          <w:szCs w:val="20"/>
        </w:rPr>
        <w:t>我们保证严格遵守沈阳市</w:t>
      </w:r>
      <w:r>
        <w:rPr>
          <w:rFonts w:hint="eastAsia" w:ascii="Times New Roman" w:hAnsi="Times New Roman" w:cs="仿宋_GB2312"/>
          <w:color w:val="auto"/>
          <w:szCs w:val="32"/>
          <w:lang w:eastAsia="zh-CN"/>
        </w:rPr>
        <w:t>第</w:t>
      </w:r>
      <w:r>
        <w:rPr>
          <w:rFonts w:hint="eastAsia" w:hAnsi="Times New Roman" w:cs="仿宋_GB2312"/>
          <w:color w:val="auto"/>
          <w:szCs w:val="32"/>
          <w:lang w:eastAsia="zh-CN"/>
        </w:rPr>
        <w:t>四</w:t>
      </w:r>
      <w:r>
        <w:rPr>
          <w:rFonts w:hint="eastAsia" w:ascii="Times New Roman" w:hAnsi="Times New Roman" w:cs="仿宋_GB2312"/>
          <w:color w:val="auto"/>
          <w:szCs w:val="32"/>
          <w:lang w:eastAsia="zh-CN"/>
        </w:rPr>
        <w:t>届“</w:t>
      </w:r>
      <w:r>
        <w:rPr>
          <w:rFonts w:hint="eastAsia" w:ascii="Times New Roman" w:hAnsi="Times New Roman" w:cs="仿宋_GB2312"/>
          <w:color w:val="auto"/>
          <w:szCs w:val="20"/>
        </w:rPr>
        <w:t>舒心传</w:t>
      </w:r>
      <w:r>
        <w:rPr>
          <w:rFonts w:hint="eastAsia" w:ascii="Times New Roman" w:hAnsi="Times New Roman" w:cs="仿宋_GB2312"/>
          <w:color w:val="auto"/>
          <w:szCs w:val="20"/>
          <w:lang w:eastAsia="zh-CN"/>
        </w:rPr>
        <w:t>技</w:t>
      </w:r>
      <w:r>
        <w:rPr>
          <w:rFonts w:hint="eastAsia" w:ascii="Times New Roman" w:hAnsi="Times New Roman" w:cs="仿宋_GB2312"/>
          <w:color w:val="auto"/>
          <w:szCs w:val="32"/>
          <w:lang w:eastAsia="zh-CN"/>
        </w:rPr>
        <w:t>”</w:t>
      </w:r>
      <w:r>
        <w:rPr>
          <w:rFonts w:hint="eastAsia" w:ascii="Times New Roman" w:hAnsi="Times New Roman" w:cs="仿宋_GB2312"/>
          <w:color w:val="auto"/>
          <w:szCs w:val="20"/>
        </w:rPr>
        <w:t>职业技能大赛</w:t>
      </w:r>
      <w:r>
        <w:rPr>
          <w:rFonts w:hint="eastAsia" w:ascii="Times New Roman" w:hAnsi="Times New Roman" w:cs="仿宋_GB2312"/>
          <w:color w:val="auto"/>
          <w:szCs w:val="20"/>
          <w:lang w:eastAsia="zh-CN"/>
        </w:rPr>
        <w:t>组委会有关规定</w:t>
      </w:r>
      <w:r>
        <w:rPr>
          <w:rFonts w:hint="eastAsia" w:ascii="Times New Roman" w:hAnsi="Times New Roman" w:cs="仿宋_GB2312"/>
          <w:color w:val="auto"/>
          <w:szCs w:val="20"/>
        </w:rPr>
        <w:t>、本项目《竞赛细则》等各项相关安全规定，杜绝一切不安全、不文明、不规范、不健康的行为，做文明参赛的选手。</w:t>
      </w:r>
    </w:p>
    <w:p w14:paraId="7EC9C96F">
      <w:pPr>
        <w:keepNext w:val="0"/>
        <w:keepLines w:val="0"/>
        <w:pageBreakBefore w:val="0"/>
        <w:widowControl w:val="0"/>
        <w:kinsoku/>
        <w:wordWrap/>
        <w:overflowPunct/>
        <w:topLinePunct w:val="0"/>
        <w:autoSpaceDE/>
        <w:autoSpaceDN/>
        <w:bidi w:val="0"/>
        <w:adjustRightInd/>
        <w:snapToGrid/>
        <w:spacing w:line="520" w:lineRule="exact"/>
        <w:ind w:firstLine="3160" w:firstLineChars="1000"/>
        <w:textAlignment w:val="auto"/>
        <w:rPr>
          <w:rFonts w:ascii="Times New Roman" w:hAnsi="Times New Roman" w:cs="仿宋_GB2312"/>
          <w:color w:val="auto"/>
          <w:szCs w:val="20"/>
        </w:rPr>
      </w:pPr>
      <w:r>
        <w:rPr>
          <w:rFonts w:hint="eastAsia" w:ascii="Times New Roman" w:hAnsi="Times New Roman" w:cs="仿宋_GB2312"/>
          <w:color w:val="auto"/>
          <w:szCs w:val="20"/>
        </w:rPr>
        <w:t>参赛选手</w:t>
      </w:r>
      <w:r>
        <w:rPr>
          <w:rFonts w:hint="eastAsia" w:ascii="Times New Roman" w:hAnsi="Times New Roman" w:cs="仿宋_GB2312"/>
          <w:color w:val="auto"/>
          <w:szCs w:val="20"/>
          <w:lang w:eastAsia="zh-CN"/>
        </w:rPr>
        <w:t>签名</w:t>
      </w:r>
      <w:r>
        <w:rPr>
          <w:rFonts w:hint="eastAsia" w:ascii="Times New Roman" w:hAnsi="Times New Roman" w:cs="仿宋_GB2312"/>
          <w:color w:val="auto"/>
          <w:szCs w:val="20"/>
        </w:rPr>
        <w:t>：</w:t>
      </w:r>
    </w:p>
    <w:p w14:paraId="2FBCED5A">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eastAsia="方正仿宋_GBK" w:cs="方正仿宋_GBK"/>
          <w:color w:val="auto"/>
          <w:szCs w:val="20"/>
        </w:rPr>
      </w:pPr>
    </w:p>
    <w:p w14:paraId="0734F0AA">
      <w:pPr>
        <w:keepNext w:val="0"/>
        <w:keepLines w:val="0"/>
        <w:pageBreakBefore w:val="0"/>
        <w:widowControl w:val="0"/>
        <w:kinsoku/>
        <w:wordWrap/>
        <w:overflowPunct/>
        <w:topLinePunct w:val="0"/>
        <w:autoSpaceDE/>
        <w:autoSpaceDN/>
        <w:bidi w:val="0"/>
        <w:adjustRightInd/>
        <w:snapToGrid/>
        <w:spacing w:line="520" w:lineRule="exact"/>
        <w:ind w:firstLine="632" w:firstLineChars="200"/>
        <w:textAlignment w:val="auto"/>
        <w:rPr>
          <w:rFonts w:hint="default" w:hAnsi="Times New Roman" w:cs="仿宋_GB2312"/>
          <w:color w:val="auto"/>
          <w:szCs w:val="20"/>
          <w:lang w:val="en-US" w:eastAsia="zh-CN"/>
        </w:rPr>
      </w:pPr>
      <w:r>
        <w:rPr>
          <w:rFonts w:hint="eastAsia" w:ascii="Times New Roman" w:hAnsi="Times New Roman" w:eastAsia="方正仿宋_GBK" w:cs="方正仿宋_GBK"/>
          <w:color w:val="auto"/>
          <w:szCs w:val="20"/>
        </w:rPr>
        <w:t xml:space="preserve">                            </w:t>
      </w:r>
      <w:r>
        <w:rPr>
          <w:rFonts w:hint="eastAsia" w:ascii="Times New Roman" w:hAnsi="Times New Roman" w:eastAsia="方正仿宋_GBK" w:cs="方正仿宋_GBK"/>
          <w:color w:val="auto"/>
          <w:szCs w:val="20"/>
          <w:lang w:val="en-US" w:eastAsia="zh-CN"/>
        </w:rPr>
        <w:t xml:space="preserve">   </w:t>
      </w:r>
      <w:r>
        <w:rPr>
          <w:rFonts w:hint="eastAsia" w:ascii="Times New Roman" w:hAnsi="Times New Roman" w:cs="仿宋_GB2312"/>
          <w:color w:val="auto"/>
          <w:szCs w:val="20"/>
          <w:lang w:val="en-US" w:eastAsia="zh-CN"/>
        </w:rPr>
        <w:t>202</w:t>
      </w:r>
      <w:r>
        <w:rPr>
          <w:rFonts w:hint="eastAsia" w:hAnsi="Times New Roman" w:cs="仿宋_GB2312"/>
          <w:color w:val="auto"/>
          <w:szCs w:val="20"/>
          <w:lang w:val="en-US" w:eastAsia="zh-CN"/>
        </w:rPr>
        <w:t>5</w:t>
      </w:r>
      <w:r>
        <w:rPr>
          <w:rFonts w:hint="eastAsia" w:ascii="Times New Roman" w:hAnsi="Times New Roman" w:cs="仿宋_GB2312"/>
          <w:color w:val="auto"/>
          <w:szCs w:val="20"/>
        </w:rPr>
        <w:t>年   月   日</w:t>
      </w:r>
    </w:p>
    <w:sectPr>
      <w:headerReference r:id="rId6" w:type="default"/>
      <w:pgSz w:w="11906" w:h="16838"/>
      <w:pgMar w:top="1928" w:right="1474" w:bottom="1814" w:left="1474" w:header="851" w:footer="1531" w:gutter="0"/>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小标宋">
    <w:altName w:val="宋体"/>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微软雅黑"/>
    <w:panose1 w:val="02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5A2A3">
    <w:pPr>
      <w:pStyle w:val="7"/>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D0017">
    <w:pPr>
      <w:pStyle w:val="7"/>
      <w:ind w:right="360" w:firstLine="360"/>
      <w:jc w:val="center"/>
      <w:rPr>
        <w:rFonts w:hint="eastAsia"/>
      </w:rPr>
    </w:pPr>
    <w:r>
      <w:rPr>
        <w:rFonts w:hint="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6D12DF">
                          <w:pPr>
                            <w:pStyle w:val="7"/>
                            <w:rPr>
                              <w:rFonts w:hint="eastAsia"/>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8</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66D12DF">
                    <w:pPr>
                      <w:pStyle w:val="7"/>
                      <w:rPr>
                        <w:rFonts w:hint="eastAsia"/>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8</w:t>
                    </w:r>
                    <w:r>
                      <w:rPr>
                        <w:sz w:val="28"/>
                        <w:szCs w:val="28"/>
                      </w:rPr>
                      <w:fldChar w:fldCharType="end"/>
                    </w:r>
                    <w:r>
                      <w:rPr>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35427">
    <w:pPr>
      <w:pStyle w:val="8"/>
      <w:pBdr>
        <w:bottom w:val="none" w:color="auto" w:sz="0" w:space="0"/>
      </w:pBdr>
      <w:rPr>
        <w:rFonts w:hint="eastAsia"/>
      </w:rPr>
    </w:pPr>
  </w:p>
  <w:p w14:paraId="5EB438B1">
    <w:pPr>
      <w:pStyle w:val="8"/>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F4342">
    <w:pPr>
      <w:pStyle w:val="8"/>
      <w:pBdr>
        <w:bottom w:val="none" w:color="auto" w:sz="0" w:space="0"/>
      </w:pBdr>
      <w:rPr>
        <w:rFonts w:hint="eastAsia"/>
      </w:rPr>
    </w:pPr>
  </w:p>
  <w:p w14:paraId="3A4165FA">
    <w:pPr>
      <w:pStyle w:val="8"/>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F2630"/>
    <w:multiLevelType w:val="singleLevel"/>
    <w:tmpl w:val="F86F263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mirrorMargins w:val="1"/>
  <w:bordersDoNotSurroundHeader w:val="0"/>
  <w:bordersDoNotSurroundFooter w:val="0"/>
  <w:documentProtection w:enforcement="0"/>
  <w:defaultTabStop w:val="420"/>
  <w:drawingGridHorizontalSpacing w:val="158"/>
  <w:drawingGridVerticalSpacing w:val="595"/>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NTdiMDJmMGZhZjYxZmMyMGM5MDQyODUyZGM3NzMifQ=="/>
  </w:docVars>
  <w:rsids>
    <w:rsidRoot w:val="003711FD"/>
    <w:rsid w:val="00014398"/>
    <w:rsid w:val="000169A0"/>
    <w:rsid w:val="00017865"/>
    <w:rsid w:val="00024431"/>
    <w:rsid w:val="000811F5"/>
    <w:rsid w:val="00095A31"/>
    <w:rsid w:val="00097620"/>
    <w:rsid w:val="000A7A67"/>
    <w:rsid w:val="000B4430"/>
    <w:rsid w:val="000B5BAD"/>
    <w:rsid w:val="000B5C40"/>
    <w:rsid w:val="000C48E9"/>
    <w:rsid w:val="000C4D3D"/>
    <w:rsid w:val="000D5188"/>
    <w:rsid w:val="000E5B6E"/>
    <w:rsid w:val="00102349"/>
    <w:rsid w:val="00103867"/>
    <w:rsid w:val="00114A7F"/>
    <w:rsid w:val="00130C5E"/>
    <w:rsid w:val="001379FE"/>
    <w:rsid w:val="00142BA2"/>
    <w:rsid w:val="00150286"/>
    <w:rsid w:val="00153577"/>
    <w:rsid w:val="001619E0"/>
    <w:rsid w:val="001772F3"/>
    <w:rsid w:val="001944F2"/>
    <w:rsid w:val="0019493D"/>
    <w:rsid w:val="001951E9"/>
    <w:rsid w:val="001B710A"/>
    <w:rsid w:val="001C08C6"/>
    <w:rsid w:val="001C0AF5"/>
    <w:rsid w:val="001D7893"/>
    <w:rsid w:val="001E313A"/>
    <w:rsid w:val="001F4FAD"/>
    <w:rsid w:val="00203CD1"/>
    <w:rsid w:val="0020568D"/>
    <w:rsid w:val="00213774"/>
    <w:rsid w:val="0022257C"/>
    <w:rsid w:val="002373A1"/>
    <w:rsid w:val="002532EB"/>
    <w:rsid w:val="002A7E1A"/>
    <w:rsid w:val="002C4A49"/>
    <w:rsid w:val="002E6DC7"/>
    <w:rsid w:val="00307089"/>
    <w:rsid w:val="00326CEF"/>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518B5"/>
    <w:rsid w:val="00456412"/>
    <w:rsid w:val="00476A55"/>
    <w:rsid w:val="00481B9B"/>
    <w:rsid w:val="004922BD"/>
    <w:rsid w:val="00494715"/>
    <w:rsid w:val="004A0018"/>
    <w:rsid w:val="004C2140"/>
    <w:rsid w:val="004C2436"/>
    <w:rsid w:val="004C6261"/>
    <w:rsid w:val="004D3A94"/>
    <w:rsid w:val="004E30A4"/>
    <w:rsid w:val="004E791B"/>
    <w:rsid w:val="004F5424"/>
    <w:rsid w:val="005051DF"/>
    <w:rsid w:val="0054409C"/>
    <w:rsid w:val="0055515E"/>
    <w:rsid w:val="00556B84"/>
    <w:rsid w:val="005615E4"/>
    <w:rsid w:val="005A7A1C"/>
    <w:rsid w:val="005B0EF3"/>
    <w:rsid w:val="005B4551"/>
    <w:rsid w:val="005C6EDC"/>
    <w:rsid w:val="005F0470"/>
    <w:rsid w:val="005F53B2"/>
    <w:rsid w:val="00601983"/>
    <w:rsid w:val="00605320"/>
    <w:rsid w:val="00613A26"/>
    <w:rsid w:val="00654110"/>
    <w:rsid w:val="0067018E"/>
    <w:rsid w:val="0068267E"/>
    <w:rsid w:val="006956FD"/>
    <w:rsid w:val="006A1FE8"/>
    <w:rsid w:val="006B1182"/>
    <w:rsid w:val="006B246D"/>
    <w:rsid w:val="006B42C9"/>
    <w:rsid w:val="006C24A8"/>
    <w:rsid w:val="006C5C9C"/>
    <w:rsid w:val="006C77E9"/>
    <w:rsid w:val="006E325F"/>
    <w:rsid w:val="00700192"/>
    <w:rsid w:val="0070252B"/>
    <w:rsid w:val="00720828"/>
    <w:rsid w:val="00724E11"/>
    <w:rsid w:val="007251D6"/>
    <w:rsid w:val="00741CBA"/>
    <w:rsid w:val="00744375"/>
    <w:rsid w:val="0075730D"/>
    <w:rsid w:val="007635BF"/>
    <w:rsid w:val="00767187"/>
    <w:rsid w:val="00777966"/>
    <w:rsid w:val="007A0FEC"/>
    <w:rsid w:val="007A54DE"/>
    <w:rsid w:val="007B3632"/>
    <w:rsid w:val="007C3507"/>
    <w:rsid w:val="007D5F8C"/>
    <w:rsid w:val="00802BE9"/>
    <w:rsid w:val="008166B5"/>
    <w:rsid w:val="008316AD"/>
    <w:rsid w:val="0083203F"/>
    <w:rsid w:val="008342DD"/>
    <w:rsid w:val="00850482"/>
    <w:rsid w:val="00865168"/>
    <w:rsid w:val="008676E9"/>
    <w:rsid w:val="008759AD"/>
    <w:rsid w:val="00882B85"/>
    <w:rsid w:val="00896EE4"/>
    <w:rsid w:val="008F0552"/>
    <w:rsid w:val="008F5124"/>
    <w:rsid w:val="009035BC"/>
    <w:rsid w:val="00927EA2"/>
    <w:rsid w:val="00933024"/>
    <w:rsid w:val="0094799A"/>
    <w:rsid w:val="0097542A"/>
    <w:rsid w:val="00980718"/>
    <w:rsid w:val="00984CEB"/>
    <w:rsid w:val="009B2A1D"/>
    <w:rsid w:val="009C0C55"/>
    <w:rsid w:val="009D1E09"/>
    <w:rsid w:val="009E07ED"/>
    <w:rsid w:val="00A04F0B"/>
    <w:rsid w:val="00A22092"/>
    <w:rsid w:val="00A3468F"/>
    <w:rsid w:val="00A431DC"/>
    <w:rsid w:val="00A53183"/>
    <w:rsid w:val="00A642B3"/>
    <w:rsid w:val="00A71C58"/>
    <w:rsid w:val="00A842BD"/>
    <w:rsid w:val="00AB3D14"/>
    <w:rsid w:val="00AF2390"/>
    <w:rsid w:val="00AF3E84"/>
    <w:rsid w:val="00AF4FF6"/>
    <w:rsid w:val="00B173FC"/>
    <w:rsid w:val="00B54AB1"/>
    <w:rsid w:val="00B5551E"/>
    <w:rsid w:val="00B61A7B"/>
    <w:rsid w:val="00B661A6"/>
    <w:rsid w:val="00B81943"/>
    <w:rsid w:val="00B861FD"/>
    <w:rsid w:val="00B86B89"/>
    <w:rsid w:val="00B947E5"/>
    <w:rsid w:val="00BC2FC6"/>
    <w:rsid w:val="00BE15AD"/>
    <w:rsid w:val="00BF5FC8"/>
    <w:rsid w:val="00BF6E42"/>
    <w:rsid w:val="00C12F1A"/>
    <w:rsid w:val="00C63C21"/>
    <w:rsid w:val="00C667BC"/>
    <w:rsid w:val="00C80F63"/>
    <w:rsid w:val="00CA026C"/>
    <w:rsid w:val="00CA6945"/>
    <w:rsid w:val="00CC4079"/>
    <w:rsid w:val="00CD1DEB"/>
    <w:rsid w:val="00CD68CD"/>
    <w:rsid w:val="00CE3132"/>
    <w:rsid w:val="00CF74ED"/>
    <w:rsid w:val="00D16CB7"/>
    <w:rsid w:val="00D23072"/>
    <w:rsid w:val="00D2367C"/>
    <w:rsid w:val="00D24E37"/>
    <w:rsid w:val="00D33985"/>
    <w:rsid w:val="00D5353A"/>
    <w:rsid w:val="00D64F6B"/>
    <w:rsid w:val="00D73151"/>
    <w:rsid w:val="00D7372A"/>
    <w:rsid w:val="00D823F0"/>
    <w:rsid w:val="00D86DBB"/>
    <w:rsid w:val="00DB26A4"/>
    <w:rsid w:val="00DC5E34"/>
    <w:rsid w:val="00DD5D48"/>
    <w:rsid w:val="00DE3E36"/>
    <w:rsid w:val="00DF6D11"/>
    <w:rsid w:val="00E24B91"/>
    <w:rsid w:val="00E4048D"/>
    <w:rsid w:val="00E41236"/>
    <w:rsid w:val="00E4313B"/>
    <w:rsid w:val="00E5250F"/>
    <w:rsid w:val="00E52EAD"/>
    <w:rsid w:val="00E569A4"/>
    <w:rsid w:val="00E647D9"/>
    <w:rsid w:val="00E84AC7"/>
    <w:rsid w:val="00EA114C"/>
    <w:rsid w:val="00EB0534"/>
    <w:rsid w:val="00EB20B2"/>
    <w:rsid w:val="00EB43B8"/>
    <w:rsid w:val="00EB670C"/>
    <w:rsid w:val="00ED69CB"/>
    <w:rsid w:val="00EE4650"/>
    <w:rsid w:val="00EF19C1"/>
    <w:rsid w:val="00F21DB6"/>
    <w:rsid w:val="00F30A15"/>
    <w:rsid w:val="00F4346F"/>
    <w:rsid w:val="00F45E0F"/>
    <w:rsid w:val="00F53E8E"/>
    <w:rsid w:val="00F66F37"/>
    <w:rsid w:val="00F724DC"/>
    <w:rsid w:val="00F81B5D"/>
    <w:rsid w:val="00FA2B0C"/>
    <w:rsid w:val="00FB0B32"/>
    <w:rsid w:val="00FD6E7E"/>
    <w:rsid w:val="00FE6B72"/>
    <w:rsid w:val="00FF5844"/>
    <w:rsid w:val="04F730A9"/>
    <w:rsid w:val="06AB6D3B"/>
    <w:rsid w:val="0BBB6595"/>
    <w:rsid w:val="0DA956CE"/>
    <w:rsid w:val="148A084A"/>
    <w:rsid w:val="17DE4003"/>
    <w:rsid w:val="18756393"/>
    <w:rsid w:val="193251DA"/>
    <w:rsid w:val="1AE6371B"/>
    <w:rsid w:val="1BB57243"/>
    <w:rsid w:val="1CB22385"/>
    <w:rsid w:val="1CC22ED6"/>
    <w:rsid w:val="203F75DD"/>
    <w:rsid w:val="212918FE"/>
    <w:rsid w:val="22FF181D"/>
    <w:rsid w:val="2A305A66"/>
    <w:rsid w:val="2AC22FBF"/>
    <w:rsid w:val="2BD24C80"/>
    <w:rsid w:val="2C821969"/>
    <w:rsid w:val="2C912A9B"/>
    <w:rsid w:val="2D2865A6"/>
    <w:rsid w:val="2DEF366E"/>
    <w:rsid w:val="386F53F4"/>
    <w:rsid w:val="395765D1"/>
    <w:rsid w:val="3E246851"/>
    <w:rsid w:val="4080432A"/>
    <w:rsid w:val="427D6F39"/>
    <w:rsid w:val="45D1274E"/>
    <w:rsid w:val="4AF018C8"/>
    <w:rsid w:val="4B0F4D9E"/>
    <w:rsid w:val="4DB14700"/>
    <w:rsid w:val="4DD37D10"/>
    <w:rsid w:val="4E4361B3"/>
    <w:rsid w:val="4E495EE8"/>
    <w:rsid w:val="50734D4E"/>
    <w:rsid w:val="52BA60FA"/>
    <w:rsid w:val="53D82839"/>
    <w:rsid w:val="5ED3191D"/>
    <w:rsid w:val="5FBC7B73"/>
    <w:rsid w:val="5FCD1D80"/>
    <w:rsid w:val="620F3DB5"/>
    <w:rsid w:val="625D7937"/>
    <w:rsid w:val="62731308"/>
    <w:rsid w:val="62CD2097"/>
    <w:rsid w:val="62EC6772"/>
    <w:rsid w:val="68344483"/>
    <w:rsid w:val="68482AE8"/>
    <w:rsid w:val="6AAD18EB"/>
    <w:rsid w:val="707943E0"/>
    <w:rsid w:val="70FE448F"/>
    <w:rsid w:val="752B68B9"/>
    <w:rsid w:val="75A829EC"/>
    <w:rsid w:val="7C474A9E"/>
    <w:rsid w:val="7EB72D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qFormat/>
    <w:uiPriority w:val="9"/>
    <w:pPr>
      <w:spacing w:before="66" w:beforeAutospacing="1" w:afterAutospacing="1" w:line="560" w:lineRule="exact"/>
      <w:jc w:val="left"/>
      <w:outlineLvl w:val="0"/>
    </w:pPr>
    <w:rPr>
      <w:rFonts w:hint="eastAsia" w:ascii="宋体" w:eastAsia="黑体"/>
      <w:bCs/>
      <w:kern w:val="44"/>
      <w:szCs w:val="48"/>
    </w:rPr>
  </w:style>
  <w:style w:type="paragraph" w:styleId="3">
    <w:name w:val="heading 2"/>
    <w:basedOn w:val="1"/>
    <w:next w:val="1"/>
    <w:unhideWhenUsed/>
    <w:qFormat/>
    <w:uiPriority w:val="9"/>
    <w:pPr>
      <w:keepNext/>
      <w:keepLines/>
      <w:spacing w:line="560" w:lineRule="exact"/>
      <w:ind w:firstLine="632" w:firstLineChars="200"/>
      <w:outlineLvl w:val="1"/>
    </w:pPr>
    <w:rPr>
      <w:rFonts w:ascii="Arial" w:hAnsi="Arial" w:eastAsia="楷体"/>
      <w:b/>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9"/>
    <w:qFormat/>
    <w:uiPriority w:val="0"/>
    <w:pPr>
      <w:spacing w:line="0" w:lineRule="atLeast"/>
    </w:pPr>
    <w:rPr>
      <w:rFonts w:eastAsia="小标宋"/>
      <w:sz w:val="44"/>
      <w:szCs w:val="32"/>
    </w:rPr>
  </w:style>
  <w:style w:type="paragraph" w:styleId="5">
    <w:name w:val="Date"/>
    <w:basedOn w:val="1"/>
    <w:next w:val="1"/>
    <w:link w:val="20"/>
    <w:semiHidden/>
    <w:unhideWhenUsed/>
    <w:qFormat/>
    <w:uiPriority w:val="99"/>
    <w:pPr>
      <w:ind w:left="100" w:leftChars="2500"/>
    </w:pPr>
  </w:style>
  <w:style w:type="paragraph" w:styleId="6">
    <w:name w:val="Balloon Text"/>
    <w:basedOn w:val="1"/>
    <w:link w:val="25"/>
    <w:semiHidden/>
    <w:unhideWhenUsed/>
    <w:qFormat/>
    <w:uiPriority w:val="99"/>
    <w:rPr>
      <w:sz w:val="18"/>
      <w:szCs w:val="18"/>
    </w:rPr>
  </w:style>
  <w:style w:type="paragraph" w:styleId="7">
    <w:name w:val="footer"/>
    <w:basedOn w:val="1"/>
    <w:link w:val="18"/>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39"/>
  </w:style>
  <w:style w:type="paragraph" w:styleId="10">
    <w:name w:val="toc 2"/>
    <w:basedOn w:val="1"/>
    <w:next w:val="1"/>
    <w:autoRedefine/>
    <w:semiHidden/>
    <w:unhideWhenUsed/>
    <w:qFormat/>
    <w:uiPriority w:val="39"/>
    <w:pPr>
      <w:ind w:left="420" w:leftChars="200"/>
    </w:pPr>
  </w:style>
  <w:style w:type="paragraph" w:styleId="11">
    <w:name w:val="Body Text First Indent"/>
    <w:basedOn w:val="4"/>
    <w:link w:val="21"/>
    <w:autoRedefine/>
    <w:semiHidden/>
    <w:unhideWhenUsed/>
    <w:qFormat/>
    <w:uiPriority w:val="99"/>
    <w:pPr>
      <w:spacing w:after="120" w:line="240" w:lineRule="auto"/>
      <w:ind w:firstLine="420" w:firstLineChars="100"/>
    </w:pPr>
    <w:rPr>
      <w:rFonts w:eastAsia="仿宋_GB2312"/>
      <w:sz w:val="32"/>
      <w:szCs w:val="22"/>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20"/>
    <w:rPr>
      <w:i/>
      <w:iCs/>
    </w:rPr>
  </w:style>
  <w:style w:type="character" w:customStyle="1" w:styleId="17">
    <w:name w:val="页眉 字符"/>
    <w:basedOn w:val="14"/>
    <w:link w:val="8"/>
    <w:semiHidden/>
    <w:qFormat/>
    <w:uiPriority w:val="99"/>
    <w:rPr>
      <w:rFonts w:ascii="宋体" w:hAnsi="宋体" w:eastAsia="方正仿宋简体"/>
      <w:sz w:val="18"/>
      <w:szCs w:val="18"/>
    </w:rPr>
  </w:style>
  <w:style w:type="character" w:customStyle="1" w:styleId="18">
    <w:name w:val="页脚 字符"/>
    <w:basedOn w:val="14"/>
    <w:link w:val="7"/>
    <w:qFormat/>
    <w:uiPriority w:val="99"/>
    <w:rPr>
      <w:rFonts w:ascii="宋体" w:hAnsi="宋体" w:eastAsia="方正仿宋简体"/>
      <w:sz w:val="18"/>
      <w:szCs w:val="18"/>
    </w:rPr>
  </w:style>
  <w:style w:type="character" w:customStyle="1" w:styleId="19">
    <w:name w:val="正文文本 字符"/>
    <w:basedOn w:val="14"/>
    <w:link w:val="4"/>
    <w:qFormat/>
    <w:uiPriority w:val="0"/>
    <w:rPr>
      <w:rFonts w:ascii="宋体" w:hAnsi="宋体" w:eastAsia="小标宋" w:cs="Times New Roman"/>
      <w:sz w:val="44"/>
      <w:szCs w:val="32"/>
    </w:rPr>
  </w:style>
  <w:style w:type="character" w:customStyle="1" w:styleId="20">
    <w:name w:val="日期 字符"/>
    <w:basedOn w:val="14"/>
    <w:link w:val="5"/>
    <w:autoRedefine/>
    <w:semiHidden/>
    <w:qFormat/>
    <w:uiPriority w:val="99"/>
    <w:rPr>
      <w:rFonts w:ascii="Times New Roman" w:hAnsi="宋体" w:eastAsia="仿宋_GB2312"/>
      <w:kern w:val="2"/>
      <w:sz w:val="32"/>
      <w:szCs w:val="22"/>
    </w:rPr>
  </w:style>
  <w:style w:type="character" w:customStyle="1" w:styleId="21">
    <w:name w:val="正文文本首行缩进 字符"/>
    <w:basedOn w:val="19"/>
    <w:link w:val="11"/>
    <w:semiHidden/>
    <w:qFormat/>
    <w:uiPriority w:val="99"/>
    <w:rPr>
      <w:rFonts w:ascii="Times New Roman" w:hAnsi="宋体" w:eastAsia="仿宋_GB2312" w:cs="Times New Roman"/>
      <w:kern w:val="2"/>
      <w:sz w:val="32"/>
      <w:szCs w:val="22"/>
    </w:rPr>
  </w:style>
  <w:style w:type="paragraph" w:customStyle="1" w:styleId="22">
    <w:name w:val="_Style 1"/>
    <w:basedOn w:val="1"/>
    <w:next w:val="1"/>
    <w:qFormat/>
    <w:uiPriority w:val="99"/>
    <w:pPr>
      <w:spacing w:line="580" w:lineRule="exact"/>
      <w:ind w:firstLine="420" w:firstLineChars="200"/>
    </w:pPr>
    <w:rPr>
      <w:rFonts w:ascii="Calibri" w:hAnsi="Calibri" w:eastAsia="宋体"/>
      <w:szCs w:val="24"/>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5">
    <w:name w:val="批注框文本 字符"/>
    <w:basedOn w:val="14"/>
    <w:link w:val="6"/>
    <w:semiHidden/>
    <w:qFormat/>
    <w:uiPriority w:val="99"/>
    <w:rPr>
      <w:rFonts w:hAnsi="宋体"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A30E9F-0438-4C68-9511-46401632227D}">
  <ds:schemaRefs/>
</ds:datastoreItem>
</file>

<file path=docProps/app.xml><?xml version="1.0" encoding="utf-8"?>
<Properties xmlns="http://schemas.openxmlformats.org/officeDocument/2006/extended-properties" xmlns:vt="http://schemas.openxmlformats.org/officeDocument/2006/docPropsVTypes">
  <Template>Normal</Template>
  <Pages>25</Pages>
  <Words>7408</Words>
  <Characters>7708</Characters>
  <Lines>54</Lines>
  <Paragraphs>15</Paragraphs>
  <TotalTime>68</TotalTime>
  <ScaleCrop>false</ScaleCrop>
  <LinksUpToDate>false</LinksUpToDate>
  <CharactersWithSpaces>7897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2022-06-29T00:06:00Z</dcterms:created>
  <dc:creator>女神</dc:creator>
  <cp:lastModifiedBy>。</cp:lastModifiedBy>
  <cp:lastPrinted>2023-11-16T07:57:00Z</cp:lastPrinted>
  <dcterms:modified xsi:type="dcterms:W3CDTF">2025-10-29T16:02:50Z</dcterms:modified>
  <dc:subject>[此处输入文件标题]</dc:subject>
  <dc:title>〔2022〕号</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8ED1111F8F6E4823BDD75C547ABBA4BD_13</vt:lpwstr>
  </property>
  <property fmtid="{D5CDD505-2E9C-101B-9397-08002B2CF9AE}" pid="4" name="KSOTemplateDocerSaveRecord">
    <vt:lpwstr>eyJoZGlkIjoiMGI3NWFiYTViNmRkZGYwYTQwMTQ5YWY5NDZiYjY5MGMiLCJ1c2VySWQiOiIyMzEyNTY5MzYifQ==</vt:lpwstr>
  </property>
</Properties>
</file>