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44396">
      <w:pPr>
        <w:spacing w:line="600" w:lineRule="exact"/>
        <w:ind w:firstLine="640" w:firstLineChars="200"/>
        <w:rPr>
          <w:rFonts w:hAnsi="Times New Roman" w:eastAsia="宋体"/>
          <w:color w:val="auto"/>
          <w:szCs w:val="24"/>
        </w:rPr>
      </w:pPr>
    </w:p>
    <w:p w14:paraId="68C97997">
      <w:pPr>
        <w:spacing w:line="600" w:lineRule="exact"/>
        <w:ind w:firstLine="640" w:firstLineChars="200"/>
        <w:rPr>
          <w:rFonts w:hAnsi="Times New Roman" w:eastAsia="宋体"/>
          <w:color w:val="auto"/>
          <w:szCs w:val="24"/>
        </w:rPr>
      </w:pPr>
    </w:p>
    <w:p w14:paraId="18338FE6">
      <w:pPr>
        <w:spacing w:line="600" w:lineRule="exact"/>
        <w:ind w:firstLine="640" w:firstLineChars="200"/>
        <w:rPr>
          <w:rFonts w:hAnsi="Times New Roman" w:eastAsia="宋体"/>
          <w:color w:val="auto"/>
          <w:szCs w:val="24"/>
        </w:rPr>
      </w:pPr>
    </w:p>
    <w:p w14:paraId="4388FD6A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</w:pPr>
      <w:bookmarkStart w:id="0" w:name="_Toc5731"/>
      <w:bookmarkStart w:id="1" w:name="_Toc31897"/>
      <w:bookmarkStart w:id="2" w:name="_Toc7185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沈阳市第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 w:eastAsia="zh-CN"/>
        </w:rPr>
        <w:t>四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届“舒心传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 w:eastAsia="zh-CN"/>
        </w:rPr>
        <w:t>技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 xml:space="preserve"> ”</w:t>
      </w:r>
      <w:bookmarkEnd w:id="0"/>
      <w:bookmarkEnd w:id="1"/>
      <w:bookmarkEnd w:id="2"/>
      <w:bookmarkStart w:id="3" w:name="_Toc16282"/>
      <w:bookmarkStart w:id="4" w:name="_Toc12733"/>
      <w:bookmarkStart w:id="5" w:name="_Toc17140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  <w:t>职业技能大赛</w:t>
      </w:r>
      <w:bookmarkEnd w:id="3"/>
      <w:bookmarkEnd w:id="4"/>
      <w:bookmarkEnd w:id="5"/>
    </w:p>
    <w:p w14:paraId="6ECD4551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US"/>
        </w:rPr>
      </w:pPr>
    </w:p>
    <w:p w14:paraId="01AA448D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AU"/>
        </w:rPr>
      </w:pPr>
    </w:p>
    <w:p w14:paraId="736BA71F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AU"/>
        </w:rPr>
      </w:pPr>
    </w:p>
    <w:p w14:paraId="10CE77F5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48"/>
          <w:szCs w:val="48"/>
          <w:lang w:val="en-AU"/>
        </w:rPr>
      </w:pPr>
    </w:p>
    <w:p w14:paraId="5C857CBC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AU"/>
        </w:rPr>
      </w:pPr>
      <w:bookmarkStart w:id="6" w:name="_Toc28945"/>
      <w:bookmarkStart w:id="7" w:name="_Toc19824"/>
      <w:bookmarkStart w:id="8" w:name="_Toc21823"/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US" w:eastAsia="zh-CN"/>
        </w:rPr>
        <w:t>烹饪（西餐）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US"/>
        </w:rPr>
        <w:t>项目</w:t>
      </w:r>
      <w:r>
        <w:rPr>
          <w:rFonts w:hint="eastAsia" w:ascii="Times New Roman" w:hAnsi="Times New Roman" w:eastAsia="方正小标宋简体" w:cs="方正小标宋_GBK"/>
          <w:snapToGrid w:val="0"/>
          <w:color w:val="auto"/>
          <w:kern w:val="0"/>
          <w:sz w:val="52"/>
          <w:szCs w:val="52"/>
          <w:lang w:val="en-AU"/>
        </w:rPr>
        <w:t>技术工作文件</w:t>
      </w:r>
      <w:bookmarkEnd w:id="6"/>
      <w:bookmarkEnd w:id="7"/>
      <w:bookmarkEnd w:id="8"/>
    </w:p>
    <w:p w14:paraId="2E481123">
      <w:pPr>
        <w:widowControl/>
        <w:spacing w:line="600" w:lineRule="exact"/>
        <w:contextualSpacing/>
        <w:rPr>
          <w:rFonts w:hAnsi="Times New Roman" w:eastAsia="微软雅黑"/>
          <w:color w:val="auto"/>
          <w:spacing w:val="-10"/>
          <w:kern w:val="28"/>
          <w:sz w:val="50"/>
          <w:szCs w:val="56"/>
          <w:lang w:val="en-AU"/>
        </w:rPr>
      </w:pPr>
    </w:p>
    <w:p w14:paraId="1AA2CAF1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720C195E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7B180958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55F24149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0277EE93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78881581">
      <w:pPr>
        <w:spacing w:line="600" w:lineRule="exact"/>
        <w:rPr>
          <w:rFonts w:hAnsi="Times New Roman"/>
          <w:color w:val="auto"/>
          <w:szCs w:val="20"/>
          <w:lang w:val="en-AU"/>
        </w:rPr>
      </w:pPr>
    </w:p>
    <w:p w14:paraId="0A1D41B6">
      <w:pPr>
        <w:spacing w:line="600" w:lineRule="exact"/>
        <w:rPr>
          <w:rFonts w:hAnsi="Times New Roman"/>
          <w:color w:val="auto"/>
          <w:szCs w:val="24"/>
          <w:lang w:val="en-AU"/>
        </w:rPr>
      </w:pPr>
    </w:p>
    <w:p w14:paraId="63A7988F">
      <w:pPr>
        <w:spacing w:line="600" w:lineRule="exact"/>
        <w:jc w:val="center"/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沈阳市</w:t>
      </w:r>
      <w:r>
        <w:rPr>
          <w:rFonts w:hint="eastAsia" w:ascii="仿宋" w:hAnsi="仿宋" w:eastAsia="仿宋" w:cs="仿宋"/>
          <w:color w:val="auto"/>
          <w:szCs w:val="32"/>
        </w:rPr>
        <w:t>第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Cs w:val="32"/>
        </w:rPr>
        <w:t>届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“舒心传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  <w:lang w:val="en-US" w:eastAsia="zh-CN"/>
        </w:rPr>
        <w:t>技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 xml:space="preserve"> ”职业技能大赛</w:t>
      </w:r>
    </w:p>
    <w:p w14:paraId="01ABF5A4">
      <w:pPr>
        <w:spacing w:line="600" w:lineRule="exact"/>
        <w:jc w:val="center"/>
        <w:rPr>
          <w:rFonts w:hint="eastAsia" w:ascii="仿宋" w:hAnsi="仿宋" w:eastAsia="仿宋" w:cs="仿宋"/>
          <w:color w:val="auto"/>
          <w:szCs w:val="32"/>
          <w:lang w:val="en-AU"/>
        </w:rPr>
      </w:pP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烹饪（西餐）</w:t>
      </w:r>
      <w:r>
        <w:rPr>
          <w:rFonts w:hint="eastAsia" w:ascii="仿宋" w:hAnsi="仿宋" w:eastAsia="仿宋" w:cs="仿宋"/>
          <w:color w:val="auto"/>
          <w:szCs w:val="32"/>
        </w:rPr>
        <w:t>项目</w:t>
      </w:r>
      <w:r>
        <w:rPr>
          <w:rFonts w:hint="eastAsia" w:ascii="仿宋" w:hAnsi="仿宋" w:eastAsia="仿宋" w:cs="仿宋"/>
          <w:snapToGrid w:val="0"/>
          <w:color w:val="auto"/>
          <w:kern w:val="0"/>
          <w:szCs w:val="32"/>
        </w:rPr>
        <w:t>执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委会技术工作组</w:t>
      </w:r>
    </w:p>
    <w:p w14:paraId="058D166B">
      <w:pPr>
        <w:spacing w:line="600" w:lineRule="exact"/>
        <w:jc w:val="center"/>
        <w:rPr>
          <w:rFonts w:hint="eastAsia" w:ascii="仿宋" w:hAnsi="仿宋" w:eastAsia="仿宋" w:cs="仿宋"/>
          <w:color w:val="auto"/>
          <w:szCs w:val="32"/>
          <w:lang w:val="en-AU"/>
        </w:rPr>
      </w:pPr>
      <w:r>
        <w:rPr>
          <w:rFonts w:hint="eastAsia" w:ascii="仿宋" w:hAnsi="仿宋" w:eastAsia="仿宋" w:cs="仿宋"/>
          <w:color w:val="auto"/>
          <w:szCs w:val="32"/>
          <w:lang w:val="en-AU"/>
        </w:rPr>
        <w:t>202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年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Cs w:val="32"/>
          <w:lang w:val="en-AU"/>
        </w:rPr>
        <w:t>月</w:t>
      </w:r>
    </w:p>
    <w:p w14:paraId="556333D5">
      <w:pPr>
        <w:spacing w:after="160" w:line="600" w:lineRule="exact"/>
        <w:jc w:val="center"/>
        <w:rPr>
          <w:rFonts w:hAnsi="Times New Roman" w:eastAsia="方正小标宋简体"/>
          <w:color w:val="auto"/>
          <w:sz w:val="40"/>
          <w:szCs w:val="40"/>
        </w:rPr>
      </w:pPr>
      <w:r>
        <w:rPr>
          <w:rFonts w:hAnsi="Times New Roman" w:eastAsia="方正小标宋简体"/>
          <w:color w:val="auto"/>
          <w:sz w:val="40"/>
          <w:szCs w:val="40"/>
        </w:rPr>
        <w:br w:type="page"/>
      </w:r>
    </w:p>
    <w:sdt>
      <w:sdtPr>
        <w:rPr>
          <w:rFonts w:ascii="宋体" w:hAnsi="宋体" w:eastAsia="宋体" w:cs="Times New Roman"/>
          <w:color w:val="auto"/>
          <w:kern w:val="2"/>
          <w:sz w:val="21"/>
          <w:szCs w:val="22"/>
          <w:lang w:val="en-US" w:eastAsia="zh-CN" w:bidi="ar-SA"/>
        </w:rPr>
        <w:id w:val="147473355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b/>
          <w:color w:val="auto"/>
          <w:kern w:val="2"/>
          <w:sz w:val="21"/>
          <w:szCs w:val="22"/>
          <w:lang w:val="en-US" w:eastAsia="zh-CN" w:bidi="ar-SA"/>
        </w:rPr>
      </w:sdtEndPr>
      <w:sdtContent>
        <w:p w14:paraId="6B2AF1E3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360" w:lineRule="auto"/>
            <w:ind w:left="0" w:leftChars="0" w:right="0" w:rightChars="0" w:firstLine="0" w:firstLineChars="0"/>
            <w:jc w:val="center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目</w:t>
          </w:r>
          <w:r>
            <w:rPr>
              <w:rFonts w:hint="eastAsia" w:asci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 xml:space="preserve">   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录</w:t>
          </w:r>
        </w:p>
        <w:p w14:paraId="2D607558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TOC \o "1-2" \h \u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_Toc5478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一、技术描述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29542D2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_Toc29406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（一）项目概要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76B39CB0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_Toc23839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 基本知识及能力要求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3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5E55AC6C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_Toc16654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二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试题及评判标准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6CCE6E31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_Toc27939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（一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试题（样题）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5580A757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_Toc24941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 xml:space="preserve">（二）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比赛时间及试题具体内容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7023BF7D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_Toc23139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 xml:space="preserve">（三） 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评判标准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2376B9AD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_Toc31331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四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赛项打分单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8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4B89194C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_Toc20169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竞赛细则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1C9B18C5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default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_Toc27939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（一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竞赛时间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72F475C4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_Toc24941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竞赛过程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69D84C28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_Toc20520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三）实施细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则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2</w:t>
          </w:r>
        </w:p>
        <w:p w14:paraId="3EE1BBA8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_Toc27195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四、竞赛场地、设施设备等安排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14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  <w:p w14:paraId="1EDBE33F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_Toc6798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（一）赛场规格要求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</w:p>
        <w:p w14:paraId="3B5FB416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_Toc3810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（二）场地布局图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</w:p>
        <w:p w14:paraId="2AE29E1F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default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_Toc3810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基础设施清单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4</w:t>
          </w:r>
        </w:p>
        <w:p w14:paraId="5C4AE243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_Toc24796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五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安全规定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</w:p>
        <w:p w14:paraId="073F5E8D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_Toc12378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（一）参赛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选手规定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5</w:t>
          </w:r>
        </w:p>
        <w:p w14:paraId="766D2C18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_Toc8276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（二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eastAsia="zh-CN"/>
            </w:rPr>
            <w:t>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工作人员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规定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</w:p>
        <w:p w14:paraId="6BDE5918">
          <w:pPr>
            <w:pStyle w:val="22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_Toc29370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六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、申诉与仲裁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</w:p>
        <w:p w14:paraId="61EF4ED0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_Toc7032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（一）申诉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6</w:t>
          </w:r>
        </w:p>
        <w:p w14:paraId="2D988864">
          <w:pPr>
            <w:pStyle w:val="23"/>
            <w:keepNext w:val="0"/>
            <w:keepLines w:val="0"/>
            <w:pageBreakBefore w:val="0"/>
            <w:tabs>
              <w:tab w:val="right" w:leader="dot" w:pos="8844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instrText xml:space="preserve"> HYPERLINK \l _Toc27803 </w:instrTex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>（二）仲裁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tab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1</w:t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  <w:lang w:val="en-US" w:eastAsia="zh-CN"/>
            </w:rPr>
            <w:t>7</w:t>
          </w:r>
        </w:p>
        <w:p w14:paraId="5A4B2420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sectPr>
              <w:footerReference r:id="rId3" w:type="default"/>
              <w:pgSz w:w="11850" w:h="16790"/>
              <w:pgMar w:top="1940" w:right="1133" w:bottom="1300" w:left="1417" w:header="0" w:footer="1101" w:gutter="0"/>
              <w:pgNumType w:fmt="decimal"/>
              <w:cols w:space="720" w:num="1"/>
            </w:sectPr>
          </w:pPr>
        </w:p>
        <w:p w14:paraId="7B3E5298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color w:val="auto"/>
            </w:rPr>
          </w:pPr>
          <w:r>
            <w:rPr>
              <w:rFonts w:hint="eastAsia" w:ascii="宋体" w:hAnsi="宋体" w:eastAsia="宋体" w:cs="宋体"/>
              <w:b/>
              <w:bCs/>
              <w:color w:val="auto"/>
              <w:sz w:val="30"/>
              <w:szCs w:val="30"/>
            </w:rPr>
            <w:fldChar w:fldCharType="end"/>
          </w:r>
        </w:p>
      </w:sdtContent>
    </w:sdt>
    <w:p w14:paraId="09FB7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  <w:bookmarkStart w:id="9" w:name="_Toc5478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一、技术描述</w:t>
      </w:r>
      <w:bookmarkEnd w:id="9"/>
    </w:p>
    <w:p w14:paraId="4354B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0" w:name="_Toc29406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（一）项目概要</w:t>
      </w:r>
      <w:bookmarkEnd w:id="10"/>
    </w:p>
    <w:p w14:paraId="6D79F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烹饪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西餐）项目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，是指运用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西餐代表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烹调技法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煎、铁扒、烤、焗、油浸、烟熏、低温真空烹饪等烹调方法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，对原材料进行加工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制作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使其形成一道道色香味形温俱佳的精美菜品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本次大赛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参赛对象为年满16周岁，且在法定退休年龄之内，并在我市工作、生活和学习连续满1年以上的就业人员、居民或在校学生。报名数量不限，设置理论初赛进行筛选，成绩及格，排名前50名进入决赛实操考试。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对选手的技能要求包括：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烹调基础以及烹调操作技术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如了解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"https://baike.baidu.com/item/%E7%83%B9%E9%A5%AA%E5%8E%9F%E6%96%99" \t "https://baike.baidu.com/item/%E4%B8%AD%E5%BC%8F%E7%83%B9%E8%B0%83%E5%B8%88/_blank"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15"/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烹饪原料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分档取料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及其加工方法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熟练使用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烹调工具及设备、火候的掌握、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烹调方法的运用、刀工、沙司制作、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油温的识别，以及厨房卫生与安全知识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 w14:paraId="71718DC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3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11" w:name="_Toc23839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基本知识及能力要求</w:t>
      </w:r>
      <w:bookmarkEnd w:id="11"/>
    </w:p>
    <w:tbl>
      <w:tblPr>
        <w:tblStyle w:val="11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302"/>
        <w:gridCol w:w="2069"/>
      </w:tblGrid>
      <w:tr w14:paraId="15C3F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17C4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相关要求</w:t>
            </w: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522B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权重比例（%）</w:t>
            </w:r>
          </w:p>
        </w:tc>
      </w:tr>
      <w:tr w14:paraId="0904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47BA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144E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职业道德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A5447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74522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940BC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要求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719B8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1）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忠于职守，爱岗敬业</w:t>
            </w:r>
          </w:p>
          <w:p w14:paraId="37820A5D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2）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讲究质量，注重信誉</w:t>
            </w:r>
          </w:p>
          <w:p w14:paraId="449F911B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3）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尊师爱徒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团结协作</w:t>
            </w:r>
          </w:p>
          <w:p w14:paraId="131E418F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4）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积极进取，开拓创新</w:t>
            </w:r>
          </w:p>
          <w:p w14:paraId="46D92979"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5）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遵纪守法，讲究公德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1C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27AED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72301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2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CAAD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基础知识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E0DB6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30</w:t>
            </w:r>
          </w:p>
        </w:tc>
      </w:tr>
      <w:tr w14:paraId="1A275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65975D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基本知识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651C0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</w:t>
            </w: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</w:t>
            </w: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知识</w:t>
            </w:r>
          </w:p>
          <w:p w14:paraId="45ED9A0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饮食营养知识</w:t>
            </w:r>
          </w:p>
          <w:p w14:paraId="75F4F73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饮食成本核算知识</w:t>
            </w:r>
          </w:p>
          <w:p w14:paraId="77D4ECB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Ansi="Times New Roman"/>
                <w:color w:val="auto"/>
                <w:sz w:val="32"/>
                <w:szCs w:val="32"/>
              </w:rPr>
            </w:pPr>
            <w:r>
              <w:rPr>
                <w:rStyle w:val="13"/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安全生产知识</w:t>
            </w:r>
          </w:p>
        </w:tc>
        <w:tc>
          <w:tcPr>
            <w:tcW w:w="20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3F1FD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  <w:lang w:val="en-GB" w:eastAsia="en-US"/>
              </w:rPr>
            </w:pPr>
          </w:p>
        </w:tc>
      </w:tr>
      <w:tr w14:paraId="425F8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1B84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工作能力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ACC17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原料分类；原料特性；原料选择</w:t>
            </w:r>
          </w:p>
          <w:p w14:paraId="6BD8662D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人体必需营养素；烹饪原料的营养；营养平衡和科学膳食；饮食的卫生与健康</w:t>
            </w:r>
          </w:p>
          <w:p w14:paraId="22224B5E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出成率的计算；其他相关项目计算</w:t>
            </w:r>
          </w:p>
          <w:p w14:paraId="3A47C561">
            <w:pPr>
              <w:numPr>
                <w:ilvl w:val="0"/>
                <w:numId w:val="3"/>
              </w:num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厨房安全操作；安全用电用火安全；手动与机械设备安全使用</w:t>
            </w:r>
          </w:p>
        </w:tc>
        <w:tc>
          <w:tcPr>
            <w:tcW w:w="20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5E460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  <w:lang w:val="en-GB" w:eastAsia="en-US"/>
              </w:rPr>
            </w:pPr>
          </w:p>
        </w:tc>
      </w:tr>
      <w:tr w14:paraId="686A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EB0B">
            <w:pPr>
              <w:spacing w:line="560" w:lineRule="exact"/>
              <w:jc w:val="center"/>
              <w:rPr>
                <w:rFonts w:hint="eastAsia" w:hAnsi="Times New Roman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hAnsi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0901">
            <w:pPr>
              <w:spacing w:line="560" w:lineRule="exact"/>
              <w:jc w:val="center"/>
              <w:rPr>
                <w:rFonts w:hAnsi="Times New Roman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操作要求</w:t>
            </w:r>
          </w:p>
        </w:tc>
        <w:tc>
          <w:tcPr>
            <w:tcW w:w="2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33ED2">
            <w:pPr>
              <w:spacing w:line="560" w:lineRule="exact"/>
              <w:jc w:val="center"/>
              <w:rPr>
                <w:rFonts w:hint="eastAsia" w:hAnsi="Times New Roman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50</w:t>
            </w:r>
          </w:p>
        </w:tc>
      </w:tr>
      <w:tr w14:paraId="78D82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098B6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基本知识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F564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原料初加工</w:t>
            </w:r>
          </w:p>
          <w:p w14:paraId="1C59723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原料分档与切配</w:t>
            </w:r>
          </w:p>
          <w:p w14:paraId="11AFFD3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原料预制加工</w:t>
            </w:r>
          </w:p>
          <w:p w14:paraId="495B189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菜肴制作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D031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27CAE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B78E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工作能力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3C7C2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掌握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鲜活原料的初步加工原则、方法及技术要求</w:t>
            </w:r>
          </w:p>
          <w:p w14:paraId="7303D68B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能够对一般畜禽原料进行分割取料</w:t>
            </w:r>
          </w:p>
          <w:p w14:paraId="48A0D326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掌握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原料基本形状的加工，姿势正确，运用刀法，整齐均匀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符合要领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统筹用料，物尽其用</w:t>
            </w:r>
          </w:p>
          <w:p w14:paraId="4E598203">
            <w:pPr>
              <w:numPr>
                <w:ilvl w:val="0"/>
                <w:numId w:val="5"/>
              </w:numPr>
              <w:spacing w:line="560" w:lineRule="exact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熟练掌握各类烹饪技巧，操作姿势自然，原料辅料制作均匀适度，调味科学美味</w:t>
            </w:r>
          </w:p>
        </w:tc>
        <w:tc>
          <w:tcPr>
            <w:tcW w:w="2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157D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GB"/>
              </w:rPr>
            </w:pPr>
          </w:p>
        </w:tc>
      </w:tr>
      <w:tr w14:paraId="692F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19060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合计</w:t>
            </w:r>
          </w:p>
        </w:tc>
        <w:tc>
          <w:tcPr>
            <w:tcW w:w="5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C53E7">
            <w:pPr>
              <w:spacing w:line="5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A3ECC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100</w:t>
            </w:r>
          </w:p>
        </w:tc>
      </w:tr>
    </w:tbl>
    <w:p w14:paraId="24D8E9A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</w:p>
    <w:p w14:paraId="54494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/>
        </w:rPr>
      </w:pPr>
      <w:bookmarkStart w:id="12" w:name="_Toc16654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试题及评判标准</w:t>
      </w:r>
      <w:bookmarkEnd w:id="12"/>
    </w:p>
    <w:p w14:paraId="04269375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3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bookmarkStart w:id="13" w:name="_Toc27939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试题（样题）</w:t>
      </w:r>
      <w:bookmarkEnd w:id="13"/>
    </w:p>
    <w:p w14:paraId="1580ED5A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本次比赛命题及评分规则学习借鉴国内技能大赛的方法与理念，并结合国内行业技术特征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针对西餐的烹饪技法及特色制定试题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设置理论初赛进行筛选，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成绩及格，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排名前50名进入决赛实操考试。理论命题标准不低于国家职业技能标准规定的高级工（三级）要求。实操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题涵盖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西餐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烹饪操作规程及相关规范和标准，注重基本技能和专业化操作，强调质量和精度，注重操作过程和质量控制，并结合行业实际，体现新技术新理念，考核职业综合能力，对技能人才培养起到示范引导作用。 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制定四个模块，分别从操作、刀功、烹调技法、火候、沙司制作、配菜制作、装盘等几大方面考核。</w:t>
      </w:r>
    </w:p>
    <w:p w14:paraId="5363CFE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模块A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：操作过程评判</w:t>
      </w:r>
    </w:p>
    <w:p w14:paraId="1C04AD67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模块B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海鲜类开胃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菜肴制作</w:t>
      </w:r>
    </w:p>
    <w:p w14:paraId="603FF17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模块C：牛肉主菜制作</w:t>
      </w:r>
    </w:p>
    <w:p w14:paraId="511C1B68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模块D：英式橄榄球制作</w:t>
      </w:r>
    </w:p>
    <w:p w14:paraId="3D3C6890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bookmarkStart w:id="14" w:name="_Toc24941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比赛时间及试题具体内容</w:t>
      </w:r>
      <w:bookmarkEnd w:id="14"/>
    </w:p>
    <w:p w14:paraId="6F98A995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1.比赛时间安排：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每场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比赛时间共计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分钟。</w:t>
      </w:r>
    </w:p>
    <w:p w14:paraId="284DFE50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2.试题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竞赛形式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成绩计算</w:t>
      </w:r>
    </w:p>
    <w:p w14:paraId="07F11F56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满分100分。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操作过程25%，刀工削英式橄榄球占总分15%，海鲜类开胃菜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占总分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牛肉主菜制作占3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0%。竞赛采用个人竞赛形式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三个模块必做。</w:t>
      </w:r>
    </w:p>
    <w:p w14:paraId="5BC66408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bookmarkStart w:id="15" w:name="_Toc23139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评判标准</w:t>
      </w:r>
      <w:bookmarkEnd w:id="15"/>
    </w:p>
    <w:p w14:paraId="280B743B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16" w:name="_Toc28595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</w:t>
      </w:r>
      <w:bookmarkEnd w:id="16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.分数权重</w:t>
      </w:r>
    </w:p>
    <w:p w14:paraId="09B52A9A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依据技术规范，作品成绩分别由前场评分（操作过程评判）（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%）与后场评分（作品质量评判）（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%）组成，满分为100分。</w:t>
      </w:r>
    </w:p>
    <w:p w14:paraId="536FAF9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17" w:name="_Toc27165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评分</w:t>
      </w:r>
      <w:bookmarkEnd w:id="17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方法</w:t>
      </w:r>
    </w:p>
    <w:p w14:paraId="307F27D1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前场评分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按照操作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准备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0分）、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操作过程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0分）、安全卫生（20分）、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礼仪礼貌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（20分）进行评分。满分为100分。</w:t>
      </w:r>
    </w:p>
    <w:p w14:paraId="2A9109C0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操作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准备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0分）：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自备原料不符合安全标准，扣1-5分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不按需合理准备材料，工具和调试设备.菜板没有明显的标识，扣1-3分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 w14:paraId="2DDA35F5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操作过程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0分）：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不遵守相关操作流程和安全管理规定，扣1-5分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未按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指定时间内完成竞赛，超过1分钟，扣1分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工作流程不顺畅，时间安排不合理，操作动作不娴熟，扣1-5分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 w14:paraId="6A624524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安全卫生（20分）：原料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摆放不符合食品安全扣1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分；操作现场不整洁扣1-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分；餐、炊、用具不清洁扣1-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分；个人卫生不符合要求扣1-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分。</w:t>
      </w:r>
    </w:p>
    <w:p w14:paraId="4CBE4923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礼仪礼貌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不穿全套工作制服，不符合行业标准，工作服不干净扣1-5分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；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不按照规范佩戴厨师帽，穿黑色工鞋，佩戴口罩，扣1-5分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 w14:paraId="66D35B09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后场评分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：</w:t>
      </w:r>
    </w:p>
    <w:p w14:paraId="2A5224A9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削英式橄榄球，数量（30分）、形态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标准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卫生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满分为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0分。</w:t>
      </w:r>
    </w:p>
    <w:p w14:paraId="56163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海鲜类开胃菜制作，菜肴口味（30分）、菜肴色泽（15分）、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菜肴质地（25分）、菜肴造型（20分）、营养卫生（10分）。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满分为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0分。</w:t>
      </w:r>
    </w:p>
    <w:p w14:paraId="619D1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outlineLvl w:val="9"/>
        <w:rPr>
          <w:rFonts w:hint="eastAsia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牛肉主菜制作，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菜肴口味（30分）、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菜肴色泽（15分）、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菜肴质地（15分）、菜肴造型（20分）、营养卫生（15分）。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满分为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0分。</w:t>
      </w:r>
    </w:p>
    <w:p w14:paraId="19EC3C43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其中，前场评分由现场评委对每位选手现场操作表现进行评判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扣分处应告知选手并确认签字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；后场评分由评委对每位选手成品质量分别进行评判、各自打分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分数相加后除以评委人数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平均分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保留小数点后两位。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前场分数与后场分数相加既选手最终得分。</w:t>
      </w:r>
    </w:p>
    <w:p w14:paraId="581F5F02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3.成绩并列</w:t>
      </w:r>
    </w:p>
    <w:p w14:paraId="768C8337"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</w:rPr>
        <w:sectPr>
          <w:footerReference r:id="rId4" w:type="default"/>
          <w:pgSz w:w="11850" w:h="16790"/>
          <w:pgMar w:top="1940" w:right="1133" w:bottom="1300" w:left="1417" w:header="0" w:footer="1101" w:gutter="0"/>
          <w:pgNumType w:fmt="decimal"/>
          <w:cols w:space="720" w:num="1"/>
        </w:sect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如出现选手总成绩并列时，按照理论考试分数高者为上。</w:t>
      </w:r>
    </w:p>
    <w:p w14:paraId="0C5A2C5E">
      <w:pPr>
        <w:keepNext w:val="0"/>
        <w:keepLines w:val="0"/>
        <w:pageBreakBefore w:val="0"/>
        <w:numPr>
          <w:ilvl w:val="0"/>
          <w:numId w:val="0"/>
        </w:numPr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200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8" w:name="_Toc31331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四）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赛项打分单</w:t>
      </w:r>
      <w:bookmarkEnd w:id="18"/>
    </w:p>
    <w:p w14:paraId="73E902B1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9" w:name="_Toc20169"/>
      <w:r>
        <w:rPr>
          <w:rFonts w:hint="eastAsia" w:ascii="仿宋" w:hAnsi="仿宋" w:eastAsia="仿宋" w:cs="仿宋"/>
          <w:color w:val="auto"/>
          <w:sz w:val="32"/>
          <w:szCs w:val="32"/>
        </w:rPr>
        <w:t>1.前场打分单</w:t>
      </w:r>
    </w:p>
    <w:tbl>
      <w:tblPr>
        <w:tblStyle w:val="11"/>
        <w:tblW w:w="8815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833"/>
        <w:gridCol w:w="5033"/>
        <w:gridCol w:w="1411"/>
      </w:tblGrid>
      <w:tr w14:paraId="597967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DDC0C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0DC8D5EB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E243FE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57BCD11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</w:rPr>
              <w:t>前场打分单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00C41B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选手编号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ED734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290BB7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482B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28179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工位号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DD5E9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</w:t>
            </w:r>
          </w:p>
        </w:tc>
      </w:tr>
      <w:tr w14:paraId="658596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51232B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2BAD76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评分标准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47F201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得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分</w:t>
            </w:r>
          </w:p>
        </w:tc>
      </w:tr>
      <w:tr w14:paraId="713532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5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BC7C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8AF32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操作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准备</w:t>
            </w:r>
          </w:p>
          <w:p w14:paraId="5A231211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29761BB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自备原料不符合安全标准，扣1-5分</w:t>
            </w:r>
          </w:p>
        </w:tc>
        <w:tc>
          <w:tcPr>
            <w:tcW w:w="14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EBB5E93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57EF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5A15A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8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D8ECC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9B5E2F3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不按需合理准备材料，工具和调试设备.菜板没有明显的标识，扣1-3分</w:t>
            </w:r>
          </w:p>
        </w:tc>
        <w:tc>
          <w:tcPr>
            <w:tcW w:w="14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5C99EA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2060E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21284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F3E96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操作过程</w:t>
            </w:r>
          </w:p>
          <w:p w14:paraId="5715E9A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7588F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不遵守相关操作流程和安全管理规定，扣1-5分</w:t>
            </w:r>
          </w:p>
        </w:tc>
        <w:tc>
          <w:tcPr>
            <w:tcW w:w="14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DE257B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BDE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07CD72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1A787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2E0B41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指定时间内完成竞赛，超过 1 分钟，扣 1 分</w:t>
            </w:r>
          </w:p>
        </w:tc>
        <w:tc>
          <w:tcPr>
            <w:tcW w:w="14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7A9FF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B2558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8BCFA9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8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350D8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A710DD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工作流程不顺畅，时间安排不合理，操作动作不娴熟，扣1-5分</w:t>
            </w:r>
          </w:p>
        </w:tc>
        <w:tc>
          <w:tcPr>
            <w:tcW w:w="14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1EA92A2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D70D8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A2993B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033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安全卫生</w:t>
            </w:r>
          </w:p>
          <w:p w14:paraId="12F86F80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（20分）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787F96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原料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摆放不符合食品安全扣1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分；操作现场不整洁扣1-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分；餐、炊、用具不清洁扣1-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分；个人卫生不符合要求扣1-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137897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 w14:paraId="3FC813D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98219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5DB132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35854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礼貌礼仪</w:t>
            </w:r>
          </w:p>
          <w:p w14:paraId="2D00C407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（20分）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16B1E7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不穿全套工作制服，不符合行业标准，工作服不干净扣1-5分</w:t>
            </w:r>
          </w:p>
        </w:tc>
        <w:tc>
          <w:tcPr>
            <w:tcW w:w="14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3AD0FB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7E4A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55E7DA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8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B57E59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D922048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不按照规范佩戴厨师帽，穿黑色工鞋，佩戴口罩，扣1-5分</w:t>
            </w:r>
          </w:p>
        </w:tc>
        <w:tc>
          <w:tcPr>
            <w:tcW w:w="14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F3F7440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E52FC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EF2C50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E5937B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总分</w:t>
            </w:r>
          </w:p>
        </w:tc>
        <w:tc>
          <w:tcPr>
            <w:tcW w:w="6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10158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C824AEF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选手：                评委1：              日期：</w:t>
      </w:r>
    </w:p>
    <w:p w14:paraId="51A7BBC2">
      <w:pPr>
        <w:spacing w:line="52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评委2：</w:t>
      </w:r>
    </w:p>
    <w:p w14:paraId="0C5B8545">
      <w:pPr>
        <w:spacing w:line="520" w:lineRule="exact"/>
        <w:ind w:firstLine="57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2.后场打分单</w:t>
      </w: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25F753A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753D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1D8242B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7884FCA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0325FEE6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模块A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3D44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C5309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削英式橄榄球</w:t>
            </w:r>
          </w:p>
        </w:tc>
      </w:tr>
      <w:tr w14:paraId="6FF03C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FF394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A813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56934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1D5EB7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678C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CF008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77AB0C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得分</w:t>
            </w:r>
          </w:p>
        </w:tc>
      </w:tr>
      <w:tr w14:paraId="76C87B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33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DA33D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49C7D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数量（30分）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DEBF85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按时提交3份共6只英式橄榄球,少一个扣5分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FA6F2F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B089F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9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BE127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6535C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形态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28AA0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要求长度6cm,中间直径2cm,两端直径0.5cm，太粗太细扣1-5分，太长太短扣1-5分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D2EDCD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6C68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1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01314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67615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标准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0428CA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要求削6-7个面，每个面光滑度、宽窄度一致，面数太少扣1-5分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808C43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 w14:paraId="6467AA4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38AF1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365C93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249179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卫生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04FC24A">
            <w:pPr>
              <w:spacing w:line="520" w:lineRule="exac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盘子及橄榄球不卫生，有污渍，扣1-5分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71FF7367"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 w14:paraId="40EB086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D947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2CD87F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2BE68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69D94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690948C9">
      <w:pPr>
        <w:spacing w:line="520" w:lineRule="exact"/>
        <w:ind w:firstLine="316" w:firstLineChars="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1EC34EF3">
      <w:pPr>
        <w:spacing w:line="520" w:lineRule="exact"/>
        <w:ind w:firstLine="316" w:firstLineChars="1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p w14:paraId="2C98B4EF">
      <w:pPr>
        <w:rPr>
          <w:color w:val="auto"/>
        </w:rPr>
      </w:pPr>
    </w:p>
    <w:p w14:paraId="31CEC4C2">
      <w:pPr>
        <w:rPr>
          <w:color w:val="auto"/>
        </w:rPr>
      </w:pPr>
    </w:p>
    <w:p w14:paraId="1A03587F">
      <w:pPr>
        <w:rPr>
          <w:color w:val="auto"/>
        </w:rPr>
      </w:pPr>
    </w:p>
    <w:p w14:paraId="60F04933">
      <w:pPr>
        <w:rPr>
          <w:color w:val="auto"/>
        </w:rPr>
      </w:pP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68CEAF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DFE93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E347A23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6161B7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5BCFA1C6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模块B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07F9A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A7FD3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海鲜类开胃菜制作</w:t>
            </w:r>
          </w:p>
        </w:tc>
      </w:tr>
      <w:tr w14:paraId="528EEE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D458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39812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99F2A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591A85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EB47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284D7A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BAE99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 w14:paraId="397EA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D34FB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AE3E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菜肴口味</w:t>
            </w:r>
          </w:p>
          <w:p w14:paraId="7B8411F5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（30分）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76DE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菜肴调味不适当，味道不纯正，主味不突出，扣1-2分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8F19C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66E59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6BB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047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75A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菜肴口感不适宜，扣1-2分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B9BC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49B0DB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46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74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59D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制作 3 份，摆盘不一致，每份菜品总重量超过 180 克，少于150克，扣1-2分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71EE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67BC77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763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5AF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507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烹饪方法少于两种扣1-5分，酱汁少于两种，扣1-5分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D2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18CE2E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D80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5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1F6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海鲜类原料占到总重量的少于55%，或者多于65%，扣1-5分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B25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033956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1268EA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968951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菜肴色泽（15分）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3C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色调灰暗不自然大方，扣1-3分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1793DEC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115AA7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C1F06E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D1606C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D3B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主料，辅料，调料等搭配不协调，扣1-3分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E908A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59122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36B74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B507F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20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沙司无光泽，不明亮，扣1-2分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3558FE6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A81E2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12F0F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D1022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菜肴质地（25分）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F91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选料不精致，火候不得当，沙司浓稠度不适宜扣1-5分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FAF7A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2799D94D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F5803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CEDC600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6CEF4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84D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不符合其应有的嫩，脆，软，酥等特点，扣1-2分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DD6E33E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1ACF3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6422D1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DF10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CE2B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刀工不精细，大小，粗细，长短不均匀，名1-2分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8B7918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B6312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B9AE523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E6943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F58E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刀工处理不符合原料特点和结构，剩余边料多，浪费，扣1-2分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AD5048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1ADBC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A71F3A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EA9FE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菜肴造型（20分）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34E4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主辅料配比不合理，形态不自然，扣1-2分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61B4B7E6"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4762E09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B4803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BB72FB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4CD0F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0ED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装盘不美观，餐具与菜肴不谐调，扣1-2分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5FE84C05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1A909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A1A460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8A4C8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0DD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没有一种可食用的装饰物，或者使用不能使用的装饰物，扣1-2分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7474F17D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20ABC0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7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C73A94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AA1DB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878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没有使用蔬菜或水果作为配菜，扣1-2分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60316D8E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956A7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5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AE54A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3927D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营养卫生（10分）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4DDF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不讲究营养搭配，绿色健康，使用色素，扣1-2分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5C7736A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FC005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FE8E7C7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FCAA27">
            <w:pPr>
              <w:spacing w:line="52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8B5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菜肴和盛器干净卫生，使用不可食用的鲜花，扣1-2分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1743D49C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FCF39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18F828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70F3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B3913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7E1A9D7A"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p w14:paraId="36FA4FAE"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tbl>
      <w:tblPr>
        <w:tblStyle w:val="11"/>
        <w:tblW w:w="8809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1926"/>
        <w:gridCol w:w="5070"/>
        <w:gridCol w:w="1275"/>
      </w:tblGrid>
      <w:tr w14:paraId="5AD8B2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</w:trPr>
        <w:tc>
          <w:tcPr>
            <w:tcW w:w="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31265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691A95C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5C0D096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027780C6">
            <w:pPr>
              <w:spacing w:line="520" w:lineRule="exact"/>
              <w:ind w:firstLine="570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>模块C</w:t>
            </w: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B4CC6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91EA9">
            <w:pPr>
              <w:spacing w:line="520" w:lineRule="exact"/>
              <w:ind w:firstLine="632" w:firstLineChars="200"/>
              <w:jc w:val="both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牛肉主菜制作 </w:t>
            </w:r>
          </w:p>
        </w:tc>
      </w:tr>
      <w:tr w14:paraId="371B80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CEFD6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C60E97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编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号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C5D72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740B65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E9C07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6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8253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评分标准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64AE9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得分</w:t>
            </w:r>
          </w:p>
        </w:tc>
      </w:tr>
      <w:tr w14:paraId="4CB666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1528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A4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菜肴口味（30分）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AC9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菜肴调味不适当，味道不纯正，主味不突出，扣1-2分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8697D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609831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FAD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E9F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062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菜肴口感不适宜，扣1-2分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77FE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743B49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5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0D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B1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2B8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每份主菜没有体现两种烹饪方法，没有包括 3 种蔬菜和 1 种淀粉类食物，扣1-5分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4D75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04E921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0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D0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376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3BB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每份主菜没有</w:t>
            </w:r>
            <w:bookmarkStart w:id="31" w:name="_GoBack"/>
            <w:bookmarkEnd w:id="31"/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一种可食用的装饰物或者没有搭配两种的酱汁，扣1-2分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4CB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66702A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3F6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5C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DF7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牛肉原料制品的总重量为整份主菜低于55%或者高于65%，扣1-2分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EFD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55AB76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544168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718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菜肴色泽（15分）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965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色调不明快自然，扣1-2分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0EB60E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5257DD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AC4493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B41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657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主料，辅料，调味等相互搭配不协调，扣1-2分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172E80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5628C4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BC3522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C3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457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沙司无光泽，太稠或太稀，扣1-2分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B30DAFE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0020A1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D5EC0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96C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菜肴质地（15分）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F191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选料不精致，火候不当，加工不精细，沙司浓稠度不适宜，扣1-5分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783D78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 w14:paraId="0F684A8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4FAFCE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26E05A">
            <w:pPr>
              <w:spacing w:line="520" w:lineRule="exact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D642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245A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不符合其应有的嫩，脆，软，酥等特点，扣1-2分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8AC38DB">
            <w:pPr>
              <w:spacing w:line="52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</w:p>
        </w:tc>
      </w:tr>
      <w:tr w14:paraId="6BFCFE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75E19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0DD0A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 w14:paraId="79AC9B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菜肴造型（20分）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7B4F7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主辅料配比不合理，刀工粗糙，刀面不光洁，扣1-5分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20153C11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A1F5D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B62B4D">
            <w:pPr>
              <w:spacing w:line="520" w:lineRule="exact"/>
              <w:ind w:firstLine="570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12A1AA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2B5DF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装盘不美观，餐具与菜肴不谐调，扣1-2分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575F82D2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1AD560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F00787A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19AB4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5CDA8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菜肴装饰不美观，无新意，扣1-2分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044199E9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2F7E2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0DCD97">
            <w:pPr>
              <w:spacing w:line="520" w:lineRule="exact"/>
              <w:ind w:firstLine="570"/>
              <w:rPr>
                <w:color w:val="auto"/>
              </w:rPr>
            </w:pP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27921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营养卫生</w:t>
            </w:r>
          </w:p>
          <w:p w14:paraId="51D9F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（15分）</w:t>
            </w:r>
          </w:p>
        </w:tc>
        <w:tc>
          <w:tcPr>
            <w:tcW w:w="50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2FA817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菜肴营养搭配不均衡，使用色素，扣1-2分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6C9DB894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3B3338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E1766CB">
            <w:pPr>
              <w:spacing w:line="520" w:lineRule="exact"/>
              <w:ind w:firstLine="570"/>
              <w:rPr>
                <w:color w:val="auto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4A528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70"/>
              <w:textAlignment w:val="auto"/>
              <w:outlineLvl w:val="9"/>
              <w:rPr>
                <w:color w:val="auto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09AAD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菜肴和盛器不干净卫生，使用不能食用的鲜花，扣1-2分</w:t>
            </w: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 w14:paraId="7C9D8253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 w14:paraId="05593A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8A9B3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7D9FD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总分</w:t>
            </w:r>
          </w:p>
        </w:tc>
        <w:tc>
          <w:tcPr>
            <w:tcW w:w="63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0771E70">
            <w:pPr>
              <w:spacing w:line="520" w:lineRule="exact"/>
              <w:ind w:firstLine="57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 w14:paraId="6AA1009D">
      <w:pPr>
        <w:spacing w:line="520" w:lineRule="exact"/>
        <w:ind w:firstLine="316" w:firstLineChars="100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评委：                            日期：</w:t>
      </w:r>
    </w:p>
    <w:p w14:paraId="211A8836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</w:p>
    <w:p w14:paraId="0D136FD8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竞赛细则</w:t>
      </w:r>
      <w:bookmarkEnd w:id="19"/>
    </w:p>
    <w:p w14:paraId="60155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）竞赛时间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 xml:space="preserve">  </w:t>
      </w:r>
    </w:p>
    <w:tbl>
      <w:tblPr>
        <w:tblStyle w:val="11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6"/>
        <w:gridCol w:w="3855"/>
      </w:tblGrid>
      <w:tr w14:paraId="015F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846" w:type="dxa"/>
            <w:vAlign w:val="top"/>
          </w:tcPr>
          <w:p w14:paraId="36A44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项目</w:t>
            </w:r>
          </w:p>
        </w:tc>
        <w:tc>
          <w:tcPr>
            <w:tcW w:w="3855" w:type="dxa"/>
            <w:vAlign w:val="top"/>
          </w:tcPr>
          <w:p w14:paraId="3DB39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日期、时间</w:t>
            </w:r>
          </w:p>
        </w:tc>
      </w:tr>
      <w:tr w14:paraId="3AC10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846" w:type="dxa"/>
            <w:vAlign w:val="top"/>
          </w:tcPr>
          <w:p w14:paraId="665CC68F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选手检录时间、备品发放</w:t>
            </w:r>
          </w:p>
        </w:tc>
        <w:tc>
          <w:tcPr>
            <w:tcW w:w="3855" w:type="dxa"/>
            <w:vAlign w:val="top"/>
          </w:tcPr>
          <w:p w14:paraId="590919FD">
            <w:pPr>
              <w:spacing w:line="520" w:lineRule="exact"/>
              <w:ind w:firstLine="948" w:firstLineChars="30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7: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083F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44EB924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选手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抽取场次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、作品签等</w:t>
            </w:r>
          </w:p>
        </w:tc>
        <w:tc>
          <w:tcPr>
            <w:tcW w:w="3855" w:type="dxa"/>
            <w:vAlign w:val="top"/>
          </w:tcPr>
          <w:p w14:paraId="4853D8EC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7: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6761C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3A33AAA6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赛场原料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准备</w:t>
            </w:r>
          </w:p>
        </w:tc>
        <w:tc>
          <w:tcPr>
            <w:tcW w:w="3855" w:type="dxa"/>
            <w:vAlign w:val="top"/>
          </w:tcPr>
          <w:p w14:paraId="634BBA85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0—9: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  <w:tr w14:paraId="1F79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4F4182AE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第一场</w:t>
            </w:r>
          </w:p>
        </w:tc>
        <w:tc>
          <w:tcPr>
            <w:tcW w:w="3855" w:type="dxa"/>
            <w:vAlign w:val="top"/>
          </w:tcPr>
          <w:p w14:paraId="55940362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0—1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1:00</w:t>
            </w:r>
          </w:p>
        </w:tc>
      </w:tr>
      <w:tr w14:paraId="32700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46" w:type="dxa"/>
            <w:vAlign w:val="top"/>
          </w:tcPr>
          <w:p w14:paraId="2DD4350B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第二场</w:t>
            </w:r>
          </w:p>
        </w:tc>
        <w:tc>
          <w:tcPr>
            <w:tcW w:w="3855" w:type="dxa"/>
            <w:vAlign w:val="top"/>
          </w:tcPr>
          <w:p w14:paraId="3ED2BC58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0-1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3:00</w:t>
            </w:r>
          </w:p>
        </w:tc>
      </w:tr>
      <w:tr w14:paraId="5DC27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846" w:type="dxa"/>
            <w:vAlign w:val="top"/>
          </w:tcPr>
          <w:p w14:paraId="14A12634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实操考试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第三场</w:t>
            </w:r>
          </w:p>
        </w:tc>
        <w:tc>
          <w:tcPr>
            <w:tcW w:w="3855" w:type="dxa"/>
            <w:vAlign w:val="top"/>
          </w:tcPr>
          <w:p w14:paraId="2456C763">
            <w:pPr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0-1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0</w:t>
            </w:r>
          </w:p>
        </w:tc>
      </w:tr>
    </w:tbl>
    <w:p w14:paraId="60518B07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）竞赛过程</w:t>
      </w:r>
    </w:p>
    <w:p w14:paraId="1A2468B2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操作考试：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每场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比赛时间共计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0分钟，满分100分。</w:t>
      </w:r>
    </w:p>
    <w:p w14:paraId="16C8E86B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1.赛项内容：本赛项为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现场制作削英式橄榄球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海鲜类开胃菜制作及牛肉主菜制作，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规定菜品所需基础调料、餐具等，主料、辅料自备。</w:t>
      </w:r>
    </w:p>
    <w:p w14:paraId="01DFABDD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2.作品应表现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出规定菜品质量要求的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刀工技术和烹调技巧，色、香、味、形、质、养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俱佳。</w:t>
      </w:r>
    </w:p>
    <w:p w14:paraId="3F4EEC4F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3.菜品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使用自备的原材料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加工成菜，不可自备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半成品或成品的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配料,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沙司及有标识的餐具入场，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违反规定者取消参赛资格。</w:t>
      </w:r>
    </w:p>
    <w:p w14:paraId="7A247E93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20" w:name="_Toc24533"/>
      <w:r>
        <w:rPr>
          <w:rFonts w:hint="eastAsia" w:ascii="仿宋" w:hAnsi="仿宋" w:eastAsia="仿宋" w:cs="仿宋"/>
          <w:color w:val="auto"/>
          <w:sz w:val="32"/>
          <w:szCs w:val="32"/>
        </w:rPr>
        <w:t>4.菜品限作一次，送评的菜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品应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保证成菜数量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质量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及温度标准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bookmarkEnd w:id="20"/>
    </w:p>
    <w:p w14:paraId="0CD2022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21" w:name="_Toc20520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三）实施细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则</w:t>
      </w:r>
      <w:bookmarkEnd w:id="21"/>
    </w:p>
    <w:p w14:paraId="337AC42B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.参赛选手应严格遵守赛场纪律，服从指挥，仪表端庄，讲文明礼貌。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之间应讲团结、友好、协作，避免各种矛盾发生。所有参赛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选手服装、菜刀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自备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（服装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不得带有明显标识）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包括帽子、上衣、围裙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一次性手套、口罩、厨房纸巾等。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选手需按要求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佩戴在胸前，选手编号粘贴在左胸处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230E436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参赛选手提前30分钟到达检录处参加检录。比赛过程中，应严格遵守赛场纪律，服从大赛裁判长及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的管理。比赛结束后，经确认后带好自己的工具，迅速撤离赛场。</w:t>
      </w:r>
    </w:p>
    <w:p w14:paraId="350B19BC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本次大赛将严格进行赛前检录，选手经检录后进入比赛场地指定区域，检录后不得擅自出入。</w:t>
      </w:r>
    </w:p>
    <w:p w14:paraId="2D22DA90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比赛期间，除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成员、裁判组成员、赛场允许的工作人员外，其余人员一律不得进入赛场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及评委室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590A481B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新闻媒体等进入赛场必须经过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允许，由专人陪同并且听从现场工作人员的安排和管理，不能影响比赛进行。</w:t>
      </w:r>
    </w:p>
    <w:p w14:paraId="39012DB2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选手到达比赛场地后应认真检查设备设施等用具，整个操作过程中须保持环境整洁，废弃物倒入指定垃圾桶，但不需要自行清理出比赛场地。</w:t>
      </w:r>
    </w:p>
    <w:p w14:paraId="55CA9E92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参赛选手须服从现场裁判指挥。如有问题，应由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选手或其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指导教师在当天向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提出陈述。</w:t>
      </w:r>
    </w:p>
    <w:p w14:paraId="55E6E451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8.组委会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将对选手资格进行严格认证。比赛严禁冒名顶替，弄虚作假。</w:t>
      </w:r>
    </w:p>
    <w:p w14:paraId="6B89A9C0">
      <w:pPr>
        <w:spacing w:line="560" w:lineRule="exact"/>
        <w:ind w:firstLine="632" w:firstLineChars="200"/>
        <w:outlineLvl w:val="0"/>
        <w:rPr>
          <w:rFonts w:hAnsi="Times New Roman" w:eastAsia="黑体" w:cs="方正黑体_GBK"/>
          <w:color w:val="auto"/>
          <w:szCs w:val="20"/>
        </w:rPr>
      </w:pPr>
      <w:bookmarkStart w:id="22" w:name="_Toc27195"/>
      <w:r>
        <w:rPr>
          <w:rFonts w:hint="eastAsia" w:hAnsi="Times New Roman" w:eastAsia="黑体" w:cs="方正黑体_GBK"/>
          <w:color w:val="auto"/>
          <w:szCs w:val="20"/>
        </w:rPr>
        <w:t>四、竞赛场地、设施设备等安排</w:t>
      </w:r>
      <w:bookmarkEnd w:id="22"/>
    </w:p>
    <w:p w14:paraId="09E53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依照大赛参赛项目和实际参赛人数具体确定，拟定场地如下： </w:t>
      </w:r>
    </w:p>
    <w:p w14:paraId="1327389A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</w:rPr>
      </w:pPr>
      <w:bookmarkStart w:id="23" w:name="_Toc6798"/>
      <w:r>
        <w:rPr>
          <w:rFonts w:hint="eastAsia" w:ascii="楷体" w:hAnsi="楷体" w:eastAsia="楷体" w:cs="楷体"/>
          <w:b/>
          <w:bCs/>
          <w:color w:val="auto"/>
          <w:szCs w:val="20"/>
        </w:rPr>
        <w:t>（一）赛场规格要求</w:t>
      </w:r>
      <w:bookmarkEnd w:id="23"/>
    </w:p>
    <w:p w14:paraId="0942D0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Cs w:val="20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实际操作场地：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二实训楼一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楼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餐实训室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101A。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评委室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菜品展示室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二实训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楼实训室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101B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Cs w:val="20"/>
        </w:rPr>
        <w:t>场地总体面积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600平</w:t>
      </w:r>
      <w:r>
        <w:rPr>
          <w:rFonts w:hint="eastAsia" w:ascii="仿宋" w:hAnsi="仿宋" w:eastAsia="仿宋" w:cs="仿宋"/>
          <w:color w:val="auto"/>
          <w:szCs w:val="20"/>
        </w:rPr>
        <w:t>，工位数量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16个-20个/场</w:t>
      </w:r>
      <w:r>
        <w:rPr>
          <w:rFonts w:hint="eastAsia" w:ascii="仿宋" w:hAnsi="仿宋" w:eastAsia="仿宋" w:cs="仿宋"/>
          <w:color w:val="auto"/>
          <w:szCs w:val="20"/>
        </w:rPr>
        <w:t>，每个工位的</w:t>
      </w:r>
      <w:r>
        <w:rPr>
          <w:rFonts w:hint="eastAsia" w:ascii="仿宋" w:hAnsi="仿宋" w:eastAsia="仿宋" w:cs="仿宋"/>
          <w:color w:val="auto"/>
          <w:szCs w:val="20"/>
          <w:lang w:val="en-US" w:eastAsia="zh-CN"/>
        </w:rPr>
        <w:t>3平</w:t>
      </w:r>
      <w:r>
        <w:rPr>
          <w:rFonts w:hint="eastAsia" w:ascii="仿宋" w:hAnsi="仿宋" w:eastAsia="仿宋" w:cs="仿宋"/>
          <w:color w:val="auto"/>
          <w:szCs w:val="20"/>
        </w:rPr>
        <w:t>。</w:t>
      </w:r>
    </w:p>
    <w:p w14:paraId="1F5AA31D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</w:rPr>
      </w:pPr>
      <w:bookmarkStart w:id="24" w:name="_Toc3810"/>
      <w:r>
        <w:rPr>
          <w:rFonts w:hint="eastAsia" w:ascii="楷体" w:hAnsi="楷体" w:eastAsia="楷体" w:cs="楷体"/>
          <w:b/>
          <w:bCs/>
          <w:color w:val="auto"/>
          <w:szCs w:val="20"/>
        </w:rPr>
        <w:t>（二）场地布局图</w:t>
      </w:r>
      <w:bookmarkEnd w:id="24"/>
    </w:p>
    <w:p w14:paraId="0112FB00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drawing>
          <wp:inline distT="0" distB="0" distL="114300" distR="114300">
            <wp:extent cx="5108575" cy="2562225"/>
            <wp:effectExtent l="0" t="0" r="15875" b="9525"/>
            <wp:docPr id="3" name="图片 3" descr="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平面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85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9A395">
      <w:pPr>
        <w:spacing w:line="560" w:lineRule="exact"/>
        <w:ind w:firstLine="632" w:firstLineChars="200"/>
        <w:outlineLvl w:val="1"/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Cs w:val="20"/>
        </w:rPr>
        <w:t>（</w:t>
      </w:r>
      <w:r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color w:val="auto"/>
          <w:szCs w:val="20"/>
        </w:rPr>
        <w:t>）</w:t>
      </w:r>
      <w:r>
        <w:rPr>
          <w:rFonts w:hint="eastAsia" w:ascii="楷体" w:hAnsi="楷体" w:eastAsia="楷体" w:cs="楷体"/>
          <w:b/>
          <w:bCs/>
          <w:color w:val="auto"/>
          <w:szCs w:val="20"/>
          <w:lang w:val="en-US" w:eastAsia="zh-CN"/>
        </w:rPr>
        <w:t>基础设施清单</w:t>
      </w:r>
    </w:p>
    <w:p w14:paraId="1FF7CBA1">
      <w:pPr>
        <w:keepNext w:val="0"/>
        <w:keepLines w:val="0"/>
        <w:pageBreakBefore w:val="0"/>
        <w:widowControl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32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赛场提供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基础烹饪工具：煎锅、沙司锅、四合一炉灶、万能蒸烤箱、抽真空机、水浴缸等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另备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常用调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味品：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盐、番茄酱、白糖、黑白胡椒粉、色拉油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,菜肴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制作完成后，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统一使用现场提供餐具盛装，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菜品不得做任何盘饰及标记。</w:t>
      </w:r>
    </w:p>
    <w:p w14:paraId="65BCCE14">
      <w:pPr>
        <w:keepNext w:val="0"/>
        <w:keepLines w:val="0"/>
        <w:pageBreakBefore w:val="0"/>
        <w:tabs>
          <w:tab w:val="left" w:pos="16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</w:p>
    <w:p w14:paraId="4AE6A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25" w:name="_Toc24796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</w:t>
      </w:r>
      <w:bookmarkEnd w:id="25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安全规定</w:t>
      </w:r>
    </w:p>
    <w:p w14:paraId="072A1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bookmarkStart w:id="26" w:name="_Toc12378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（一）参赛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选手</w:t>
      </w:r>
      <w:bookmarkEnd w:id="26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规定</w:t>
      </w:r>
    </w:p>
    <w:p w14:paraId="2FA73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按照大赛赛程安排凭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颁发的参赛证和有效身份证件参加比赛及相关活动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服装不得带有明显标识。</w:t>
      </w:r>
    </w:p>
    <w:p w14:paraId="71F5A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2.参赛选手应自觉遵守赛场纪律，服从裁判、听从指挥、文明竞赛；选手需持证进入赛场，禁止将通讯工具带入赛场。</w:t>
      </w:r>
    </w:p>
    <w:p w14:paraId="39507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.须服从领导，听从指挥，遵守赛场规则，按时接受检录。</w:t>
      </w:r>
    </w:p>
    <w:p w14:paraId="37DB5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.穿戴整洁，佩带参赛证。</w:t>
      </w:r>
    </w:p>
    <w:p w14:paraId="06062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.选手进入比赛现场后可进行赛前准备，检查并确认比赛所需要的相关原材料、用具及实施设备等。</w:t>
      </w:r>
    </w:p>
    <w:p w14:paraId="51AC9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.独立完成操作，不得提前加工，不得多做挑选。严禁携带违禁器物和手机及其他通讯工具进入赛场。</w:t>
      </w:r>
    </w:p>
    <w:p w14:paraId="6A593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.不得在赛场喧哗、打斗。爱护场地的设施设备，爱护环境卫生，注意安全。损坏大赛设备照价赔偿。</w:t>
      </w:r>
    </w:p>
    <w:p w14:paraId="6D4C3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.比赛期间设备出现问题时，参赛选手应提请现场评判人员检查确认，并服从评判人员及工作人员的统筹安排。</w:t>
      </w:r>
    </w:p>
    <w:p w14:paraId="171A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.当宣布比赛时间结束时，参赛选手须立即停止操作，如继续操作将被扣分。</w:t>
      </w:r>
    </w:p>
    <w:p w14:paraId="01BFD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.比赛结束做好清理工作，及时撤离赛场。</w:t>
      </w:r>
    </w:p>
    <w:p w14:paraId="4AC94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.服从比赛的评判结果，如有异议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以书面形式向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提出。</w:t>
      </w:r>
    </w:p>
    <w:p w14:paraId="78E5D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bookmarkStart w:id="27" w:name="_Toc8276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工作人员</w:t>
      </w:r>
      <w:bookmarkEnd w:id="27"/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规定</w:t>
      </w:r>
    </w:p>
    <w:p w14:paraId="719D7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1.工作人员必须统一佩戴由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签发的相应证件，着装整齐。</w:t>
      </w:r>
    </w:p>
    <w:p w14:paraId="2D89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2.工作人员不得影响参赛选手比赛，不允许有影响比赛公平的行为。</w:t>
      </w:r>
    </w:p>
    <w:p w14:paraId="1FCB7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3.服从领导，听从指挥，以高度负责的精神、严肃认真的态度做好各项工作。</w:t>
      </w:r>
    </w:p>
    <w:p w14:paraId="3D8A6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4.熟悉比赛规程，认真遵守各项比赛规则和工作要求。</w:t>
      </w:r>
    </w:p>
    <w:p w14:paraId="7D5C0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5.坚守岗位，如有急事需要离开岗位时，应经领导同意，并做好工作衔接。</w:t>
      </w:r>
    </w:p>
    <w:p w14:paraId="70D3C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6.严格遵守比赛纪律，如发现其他人员有违反比赛纪律的行为，应予以制止。情节严重的，应向比赛大赛办反映。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现场如出现危险情况，安保人员立即与相关部门请示上报采取应急措施。</w:t>
      </w:r>
    </w:p>
    <w:p w14:paraId="47A2C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7.发扬无私奉献和团结协作的精神，提供热情、优质服务。</w:t>
      </w:r>
    </w:p>
    <w:p w14:paraId="49AFC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bookmarkStart w:id="28" w:name="_Toc2937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、申诉与仲裁</w:t>
      </w:r>
      <w:bookmarkEnd w:id="28"/>
    </w:p>
    <w:p w14:paraId="305D2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29" w:name="_Toc7032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（一）申诉</w:t>
      </w:r>
      <w:bookmarkEnd w:id="29"/>
    </w:p>
    <w:p w14:paraId="22AC1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1.参赛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对不符合竞赛规定的设备、工具、软件，有失公正的评判、奖励，以及对工作人员的违规行为等，均可提出申诉。</w:t>
      </w:r>
    </w:p>
    <w:p w14:paraId="7BCC1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2.申诉应在竞赛结束后2小时内提出，超时不予受理。申诉时，应按照规定的程序向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组委会裁判组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递交书面申诉报告。报告应对申诉事件的现象、发生的时间、涉及到的人员、申诉依据与理由等进行充分、实事求是的叙述。事实依据不充分、仅凭主观臆断的申诉不予受理。申诉报告须有申诉的参赛选手签名。</w:t>
      </w:r>
    </w:p>
    <w:p w14:paraId="1F71A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3.赛项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收到申诉报告后，应根据申诉事由进行审查，2小时内书面通知申诉方，告知申诉处理结果。</w:t>
      </w:r>
    </w:p>
    <w:p w14:paraId="08242637">
      <w:pPr>
        <w:pStyle w:val="2"/>
        <w:rPr>
          <w:rFonts w:hint="eastAsia"/>
          <w:color w:val="auto"/>
        </w:rPr>
      </w:pPr>
    </w:p>
    <w:p w14:paraId="608D0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30" w:name="_Toc27803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（二）仲裁</w:t>
      </w:r>
      <w:bookmarkEnd w:id="30"/>
    </w:p>
    <w:p w14:paraId="142E3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赛项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组接受由参赛选手提出的对裁判结果的申诉。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裁判组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在接到申诉后的2小时内组织复议，并及时反馈复议结果，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复议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结果为最终结果。</w:t>
      </w:r>
    </w:p>
    <w:p w14:paraId="0BA27E63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928" w:right="1474" w:bottom="1814" w:left="1588" w:header="851" w:footer="1531" w:gutter="0"/>
      <w:pgNumType w:fmt="decimal"/>
      <w:cols w:space="425" w:num="1"/>
      <w:docGrid w:type="linesAndChars" w:linePitch="595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FD58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F8634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F8634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EAA1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CFE44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CFE44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57016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331ECB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- 8 -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331ECB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- 8 -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6C0AB">
    <w:pPr>
      <w:pStyle w:val="6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 w14:paraId="57AE05CD"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F3794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078F54"/>
    <w:multiLevelType w:val="singleLevel"/>
    <w:tmpl w:val="89078F5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D5E3DA5"/>
    <w:multiLevelType w:val="singleLevel"/>
    <w:tmpl w:val="8D5E3DA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5FF7A0D"/>
    <w:multiLevelType w:val="singleLevel"/>
    <w:tmpl w:val="A5FF7A0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09C56A9"/>
    <w:multiLevelType w:val="singleLevel"/>
    <w:tmpl w:val="D09C56A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BDD924F"/>
    <w:multiLevelType w:val="singleLevel"/>
    <w:tmpl w:val="4BDD924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957B491"/>
    <w:multiLevelType w:val="singleLevel"/>
    <w:tmpl w:val="5957B4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kNDk1ZTRkNjllYTlkZWNhMmVhY2I2YTA2NmJhMzAifQ=="/>
  </w:docVars>
  <w:rsids>
    <w:rsidRoot w:val="003711FD"/>
    <w:rsid w:val="00014398"/>
    <w:rsid w:val="000169A0"/>
    <w:rsid w:val="00024431"/>
    <w:rsid w:val="00033FE1"/>
    <w:rsid w:val="000811F5"/>
    <w:rsid w:val="00095A31"/>
    <w:rsid w:val="00097620"/>
    <w:rsid w:val="000A7A67"/>
    <w:rsid w:val="000B4430"/>
    <w:rsid w:val="000B5BAD"/>
    <w:rsid w:val="000B5C40"/>
    <w:rsid w:val="000C4D3D"/>
    <w:rsid w:val="000E5B6E"/>
    <w:rsid w:val="00103867"/>
    <w:rsid w:val="00114A7F"/>
    <w:rsid w:val="001379FE"/>
    <w:rsid w:val="00142BA2"/>
    <w:rsid w:val="001772F3"/>
    <w:rsid w:val="0019493D"/>
    <w:rsid w:val="001951E9"/>
    <w:rsid w:val="001C08C6"/>
    <w:rsid w:val="001C0AF5"/>
    <w:rsid w:val="001D7893"/>
    <w:rsid w:val="001E313A"/>
    <w:rsid w:val="00203CD1"/>
    <w:rsid w:val="0020568D"/>
    <w:rsid w:val="00213774"/>
    <w:rsid w:val="0022257C"/>
    <w:rsid w:val="002532EB"/>
    <w:rsid w:val="002A7E1A"/>
    <w:rsid w:val="002C4A49"/>
    <w:rsid w:val="002E4458"/>
    <w:rsid w:val="002E6DC7"/>
    <w:rsid w:val="00307089"/>
    <w:rsid w:val="00331F9A"/>
    <w:rsid w:val="00345B67"/>
    <w:rsid w:val="003711FD"/>
    <w:rsid w:val="00375CBC"/>
    <w:rsid w:val="003867E6"/>
    <w:rsid w:val="003A28B2"/>
    <w:rsid w:val="003B536C"/>
    <w:rsid w:val="003C485B"/>
    <w:rsid w:val="003D6247"/>
    <w:rsid w:val="00403BC0"/>
    <w:rsid w:val="00413902"/>
    <w:rsid w:val="00416388"/>
    <w:rsid w:val="00424A33"/>
    <w:rsid w:val="00433DA2"/>
    <w:rsid w:val="00476A55"/>
    <w:rsid w:val="00481B9B"/>
    <w:rsid w:val="004922BD"/>
    <w:rsid w:val="00494715"/>
    <w:rsid w:val="004A0018"/>
    <w:rsid w:val="004C2140"/>
    <w:rsid w:val="004C2436"/>
    <w:rsid w:val="004C6261"/>
    <w:rsid w:val="004D3315"/>
    <w:rsid w:val="004E30A4"/>
    <w:rsid w:val="004E791B"/>
    <w:rsid w:val="004F5424"/>
    <w:rsid w:val="005051DF"/>
    <w:rsid w:val="0054409C"/>
    <w:rsid w:val="00556B84"/>
    <w:rsid w:val="005B0EF3"/>
    <w:rsid w:val="005C6EDC"/>
    <w:rsid w:val="005F0470"/>
    <w:rsid w:val="005F53B2"/>
    <w:rsid w:val="00601983"/>
    <w:rsid w:val="00605320"/>
    <w:rsid w:val="0067018E"/>
    <w:rsid w:val="0068267E"/>
    <w:rsid w:val="006956FD"/>
    <w:rsid w:val="006A1FE8"/>
    <w:rsid w:val="006B42C9"/>
    <w:rsid w:val="006C5C9C"/>
    <w:rsid w:val="006E325F"/>
    <w:rsid w:val="0070252B"/>
    <w:rsid w:val="00720828"/>
    <w:rsid w:val="00741CBA"/>
    <w:rsid w:val="007635BF"/>
    <w:rsid w:val="00777966"/>
    <w:rsid w:val="007A0FEC"/>
    <w:rsid w:val="007A54DE"/>
    <w:rsid w:val="007B3632"/>
    <w:rsid w:val="007C3507"/>
    <w:rsid w:val="007D5F8C"/>
    <w:rsid w:val="00802BE9"/>
    <w:rsid w:val="008166B5"/>
    <w:rsid w:val="008316AD"/>
    <w:rsid w:val="0083203F"/>
    <w:rsid w:val="008342DD"/>
    <w:rsid w:val="00865168"/>
    <w:rsid w:val="008676E9"/>
    <w:rsid w:val="008759AD"/>
    <w:rsid w:val="00882B85"/>
    <w:rsid w:val="008F0552"/>
    <w:rsid w:val="008F5124"/>
    <w:rsid w:val="009035BC"/>
    <w:rsid w:val="0094799A"/>
    <w:rsid w:val="0097542A"/>
    <w:rsid w:val="00984CEB"/>
    <w:rsid w:val="009B2A1D"/>
    <w:rsid w:val="009E07ED"/>
    <w:rsid w:val="00A3468F"/>
    <w:rsid w:val="00A431DC"/>
    <w:rsid w:val="00A53183"/>
    <w:rsid w:val="00A642B3"/>
    <w:rsid w:val="00A71C58"/>
    <w:rsid w:val="00A842BD"/>
    <w:rsid w:val="00AB3D14"/>
    <w:rsid w:val="00AF2390"/>
    <w:rsid w:val="00AF3E84"/>
    <w:rsid w:val="00AF4FF6"/>
    <w:rsid w:val="00B54AB1"/>
    <w:rsid w:val="00B5551E"/>
    <w:rsid w:val="00B61A7B"/>
    <w:rsid w:val="00B661A6"/>
    <w:rsid w:val="00B81943"/>
    <w:rsid w:val="00B861FD"/>
    <w:rsid w:val="00B86B89"/>
    <w:rsid w:val="00B947E5"/>
    <w:rsid w:val="00BC2FC6"/>
    <w:rsid w:val="00C12F1A"/>
    <w:rsid w:val="00C667BC"/>
    <w:rsid w:val="00C80F63"/>
    <w:rsid w:val="00CA026C"/>
    <w:rsid w:val="00CA6945"/>
    <w:rsid w:val="00CC4079"/>
    <w:rsid w:val="00CD1DEB"/>
    <w:rsid w:val="00CD68CD"/>
    <w:rsid w:val="00CE3132"/>
    <w:rsid w:val="00CF74ED"/>
    <w:rsid w:val="00D16CB7"/>
    <w:rsid w:val="00D24E37"/>
    <w:rsid w:val="00D33985"/>
    <w:rsid w:val="00D64F6B"/>
    <w:rsid w:val="00D73151"/>
    <w:rsid w:val="00D7372A"/>
    <w:rsid w:val="00DB26A4"/>
    <w:rsid w:val="00DC5E34"/>
    <w:rsid w:val="00DD5D48"/>
    <w:rsid w:val="00DE3E36"/>
    <w:rsid w:val="00E24B91"/>
    <w:rsid w:val="00E4313B"/>
    <w:rsid w:val="00E5250F"/>
    <w:rsid w:val="00E52EAD"/>
    <w:rsid w:val="00E569A4"/>
    <w:rsid w:val="00E647D9"/>
    <w:rsid w:val="00EB0534"/>
    <w:rsid w:val="00EB20B2"/>
    <w:rsid w:val="00EB43B8"/>
    <w:rsid w:val="00EB670C"/>
    <w:rsid w:val="00F21DB6"/>
    <w:rsid w:val="00F30A15"/>
    <w:rsid w:val="00F4346F"/>
    <w:rsid w:val="00F45E0F"/>
    <w:rsid w:val="00F66F37"/>
    <w:rsid w:val="00F81B5D"/>
    <w:rsid w:val="00FA2B0C"/>
    <w:rsid w:val="00FB0B32"/>
    <w:rsid w:val="00FE6B72"/>
    <w:rsid w:val="00FF5844"/>
    <w:rsid w:val="01C43BC8"/>
    <w:rsid w:val="024820D0"/>
    <w:rsid w:val="02875745"/>
    <w:rsid w:val="034C72DC"/>
    <w:rsid w:val="036751C7"/>
    <w:rsid w:val="047B2E3A"/>
    <w:rsid w:val="048B0820"/>
    <w:rsid w:val="092864B3"/>
    <w:rsid w:val="0B984C23"/>
    <w:rsid w:val="0C0A3890"/>
    <w:rsid w:val="0FC05CBC"/>
    <w:rsid w:val="0FC6461C"/>
    <w:rsid w:val="10F10338"/>
    <w:rsid w:val="1115635B"/>
    <w:rsid w:val="119C54B6"/>
    <w:rsid w:val="124A2965"/>
    <w:rsid w:val="12DD0CD8"/>
    <w:rsid w:val="14125DDC"/>
    <w:rsid w:val="17E62174"/>
    <w:rsid w:val="19484030"/>
    <w:rsid w:val="1A624B56"/>
    <w:rsid w:val="1ACB068F"/>
    <w:rsid w:val="1ADE1797"/>
    <w:rsid w:val="1C4553FD"/>
    <w:rsid w:val="20F10197"/>
    <w:rsid w:val="21817FD3"/>
    <w:rsid w:val="243632E7"/>
    <w:rsid w:val="25754238"/>
    <w:rsid w:val="26C729E3"/>
    <w:rsid w:val="27793577"/>
    <w:rsid w:val="289E604A"/>
    <w:rsid w:val="293A3B8F"/>
    <w:rsid w:val="2D3433CA"/>
    <w:rsid w:val="2FA66024"/>
    <w:rsid w:val="2FF376C5"/>
    <w:rsid w:val="3061056D"/>
    <w:rsid w:val="30D062FA"/>
    <w:rsid w:val="30E243E5"/>
    <w:rsid w:val="31D775BC"/>
    <w:rsid w:val="323C1A28"/>
    <w:rsid w:val="33352ED4"/>
    <w:rsid w:val="34F55D72"/>
    <w:rsid w:val="352C6436"/>
    <w:rsid w:val="357C36EF"/>
    <w:rsid w:val="35C3084E"/>
    <w:rsid w:val="36F40358"/>
    <w:rsid w:val="37C26040"/>
    <w:rsid w:val="388D5AC3"/>
    <w:rsid w:val="3CF8256F"/>
    <w:rsid w:val="3DD173AD"/>
    <w:rsid w:val="3DFA4C63"/>
    <w:rsid w:val="3E0E070F"/>
    <w:rsid w:val="419F4D98"/>
    <w:rsid w:val="421A5D43"/>
    <w:rsid w:val="42E908C7"/>
    <w:rsid w:val="430E67F5"/>
    <w:rsid w:val="44376ED5"/>
    <w:rsid w:val="44D9479B"/>
    <w:rsid w:val="46C202E8"/>
    <w:rsid w:val="46DA258F"/>
    <w:rsid w:val="47240FA3"/>
    <w:rsid w:val="4997083F"/>
    <w:rsid w:val="4A696269"/>
    <w:rsid w:val="4B8E474B"/>
    <w:rsid w:val="4C333D26"/>
    <w:rsid w:val="4E460CD1"/>
    <w:rsid w:val="4E9B5960"/>
    <w:rsid w:val="4EF83489"/>
    <w:rsid w:val="4F661845"/>
    <w:rsid w:val="50F93DAA"/>
    <w:rsid w:val="52D92F1C"/>
    <w:rsid w:val="5A552E9E"/>
    <w:rsid w:val="5BFD7E1C"/>
    <w:rsid w:val="5CDE2CAF"/>
    <w:rsid w:val="5DA44229"/>
    <w:rsid w:val="5FB270F0"/>
    <w:rsid w:val="634E4E93"/>
    <w:rsid w:val="65426876"/>
    <w:rsid w:val="667511F1"/>
    <w:rsid w:val="66C71D11"/>
    <w:rsid w:val="675C26FC"/>
    <w:rsid w:val="687F2DD4"/>
    <w:rsid w:val="696C1EBD"/>
    <w:rsid w:val="69A9389C"/>
    <w:rsid w:val="69AF51DB"/>
    <w:rsid w:val="6DD9424C"/>
    <w:rsid w:val="6E160D96"/>
    <w:rsid w:val="6F93615A"/>
    <w:rsid w:val="6FAC3760"/>
    <w:rsid w:val="71033AE0"/>
    <w:rsid w:val="721D0D5E"/>
    <w:rsid w:val="721E0808"/>
    <w:rsid w:val="73096C1A"/>
    <w:rsid w:val="7357736C"/>
    <w:rsid w:val="748F3F36"/>
    <w:rsid w:val="75A75D7E"/>
    <w:rsid w:val="76742AFE"/>
    <w:rsid w:val="7EB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宋体" w:eastAsia="仿宋_GB2312" w:cs="Times New Roman"/>
      <w:kern w:val="2"/>
      <w:sz w:val="3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20"/>
    <w:semiHidden/>
    <w:unhideWhenUsed/>
    <w:qFormat/>
    <w:uiPriority w:val="99"/>
    <w:pPr>
      <w:spacing w:after="120" w:line="240" w:lineRule="auto"/>
      <w:ind w:firstLine="420" w:firstLineChars="100"/>
    </w:pPr>
    <w:rPr>
      <w:rFonts w:eastAsia="仿宋_GB2312"/>
      <w:sz w:val="32"/>
      <w:szCs w:val="22"/>
    </w:rPr>
  </w:style>
  <w:style w:type="paragraph" w:styleId="3">
    <w:name w:val="Body Text"/>
    <w:basedOn w:val="1"/>
    <w:link w:val="18"/>
    <w:qFormat/>
    <w:uiPriority w:val="0"/>
    <w:pPr>
      <w:spacing w:line="0" w:lineRule="atLeast"/>
    </w:pPr>
    <w:rPr>
      <w:rFonts w:eastAsia="小标宋"/>
      <w:sz w:val="44"/>
      <w:szCs w:val="3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7"/>
    <w:semiHidden/>
    <w:qFormat/>
    <w:uiPriority w:val="99"/>
    <w:rPr>
      <w:rFonts w:ascii="宋体" w:hAnsi="宋体" w:eastAsia="方正仿宋简体"/>
      <w:sz w:val="18"/>
      <w:szCs w:val="18"/>
    </w:rPr>
  </w:style>
  <w:style w:type="character" w:customStyle="1" w:styleId="17">
    <w:name w:val="页脚 字符"/>
    <w:basedOn w:val="12"/>
    <w:link w:val="6"/>
    <w:qFormat/>
    <w:uiPriority w:val="99"/>
    <w:rPr>
      <w:rFonts w:ascii="宋体" w:hAnsi="宋体" w:eastAsia="方正仿宋简体"/>
      <w:sz w:val="18"/>
      <w:szCs w:val="18"/>
    </w:rPr>
  </w:style>
  <w:style w:type="character" w:customStyle="1" w:styleId="18">
    <w:name w:val="正文文本 字符"/>
    <w:basedOn w:val="12"/>
    <w:link w:val="3"/>
    <w:qFormat/>
    <w:uiPriority w:val="0"/>
    <w:rPr>
      <w:rFonts w:ascii="宋体" w:hAnsi="宋体" w:eastAsia="小标宋" w:cs="Times New Roman"/>
      <w:sz w:val="44"/>
      <w:szCs w:val="32"/>
    </w:rPr>
  </w:style>
  <w:style w:type="character" w:customStyle="1" w:styleId="19">
    <w:name w:val="日期 字符"/>
    <w:basedOn w:val="12"/>
    <w:link w:val="5"/>
    <w:semiHidden/>
    <w:qFormat/>
    <w:uiPriority w:val="99"/>
    <w:rPr>
      <w:rFonts w:ascii="Times New Roman" w:hAnsi="宋体" w:eastAsia="仿宋_GB2312"/>
      <w:kern w:val="2"/>
      <w:sz w:val="32"/>
      <w:szCs w:val="22"/>
    </w:rPr>
  </w:style>
  <w:style w:type="character" w:customStyle="1" w:styleId="20">
    <w:name w:val="正文文本首行缩进 字符"/>
    <w:basedOn w:val="18"/>
    <w:link w:val="2"/>
    <w:semiHidden/>
    <w:qFormat/>
    <w:uiPriority w:val="99"/>
    <w:rPr>
      <w:rFonts w:ascii="Times New Roman" w:hAnsi="宋体" w:eastAsia="仿宋_GB2312" w:cs="Times New Roman"/>
      <w:kern w:val="2"/>
      <w:sz w:val="32"/>
      <w:szCs w:val="22"/>
    </w:rPr>
  </w:style>
  <w:style w:type="paragraph" w:customStyle="1" w:styleId="21">
    <w:name w:val="_Style 1"/>
    <w:basedOn w:val="1"/>
    <w:next w:val="1"/>
    <w:qFormat/>
    <w:uiPriority w:val="99"/>
    <w:pPr>
      <w:spacing w:line="580" w:lineRule="exact"/>
      <w:ind w:firstLine="420" w:firstLineChars="200"/>
    </w:pPr>
    <w:rPr>
      <w:rFonts w:ascii="Calibri" w:hAnsi="Calibri" w:eastAsia="宋体"/>
      <w:szCs w:val="24"/>
    </w:rPr>
  </w:style>
  <w:style w:type="paragraph" w:customStyle="1" w:styleId="22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23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24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A30E9F-0438-4C68-9511-4640163222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5387</Words>
  <Characters>5722</Characters>
  <Lines>38</Lines>
  <Paragraphs>10</Paragraphs>
  <TotalTime>15</TotalTime>
  <ScaleCrop>false</ScaleCrop>
  <LinksUpToDate>false</LinksUpToDate>
  <CharactersWithSpaces>5951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2022-06-28T06:18:00Z</dcterms:created>
  <dc:creator>女神</dc:creator>
  <cp:lastModifiedBy>。</cp:lastModifiedBy>
  <dcterms:modified xsi:type="dcterms:W3CDTF">2025-10-29T16:20:18Z</dcterms:modified>
  <dc:subject>[此处输入文件标题]</dc:subject>
  <dc:title>〔2022〕号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89F28E56DC594EC285185FA0CDC8EECB_13</vt:lpwstr>
  </property>
  <property fmtid="{D5CDD505-2E9C-101B-9397-08002B2CF9AE}" pid="4" name="KSOTemplateDocerSaveRecord">
    <vt:lpwstr>eyJoZGlkIjoiMGI3NWFiYTViNmRkZGYwYTQwMTQ5YWY5NDZiYjY5MGMiLCJ1c2VySWQiOiIyMzEyNTY5MzYifQ==</vt:lpwstr>
  </property>
</Properties>
</file>