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0CCBC">
      <w:pPr>
        <w:pStyle w:val="2"/>
        <w:adjustRightInd w:val="0"/>
        <w:snapToGrid w:val="0"/>
        <w:spacing w:before="0" w:after="0" w:line="240" w:lineRule="auto"/>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沈阳市2026年人力资源和社会保障基本情况社区直报调查项目询价邀请函</w:t>
      </w:r>
    </w:p>
    <w:p w14:paraId="73D5E342">
      <w:pPr>
        <w:adjustRightInd w:val="0"/>
        <w:snapToGrid w:val="0"/>
        <w:spacing w:line="360" w:lineRule="auto"/>
        <w:ind w:firstLine="420" w:firstLineChars="200"/>
        <w:rPr>
          <w:rFonts w:hint="eastAsia" w:ascii="仿宋_GB2312" w:hAnsi="仿宋_GB2312" w:eastAsia="仿宋_GB2312" w:cs="仿宋_GB2312"/>
          <w:bCs/>
        </w:rPr>
      </w:pPr>
    </w:p>
    <w:p w14:paraId="04AF1C9D">
      <w:pPr>
        <w:adjustRightInd w:val="0"/>
        <w:snapToGrid w:val="0"/>
        <w:spacing w:line="360" w:lineRule="auto"/>
        <w:rPr>
          <w:rFonts w:ascii="仿宋_GB2312" w:hAnsi="仿宋_GB2312" w:eastAsia="仿宋_GB2312" w:cs="仿宋_GB2312"/>
          <w:bCs/>
          <w:u w:val="single"/>
        </w:rPr>
      </w:pPr>
      <w:r>
        <w:rPr>
          <w:rFonts w:hint="eastAsia" w:ascii="仿宋_GB2312" w:hAnsi="仿宋_GB2312" w:eastAsia="仿宋_GB2312" w:cs="仿宋_GB2312"/>
          <w:bCs/>
          <w:u w:val="single"/>
        </w:rPr>
        <w:t xml:space="preserve">                       ：</w:t>
      </w:r>
    </w:p>
    <w:p w14:paraId="38A9FAE5">
      <w:pPr>
        <w:adjustRightInd w:val="0"/>
        <w:snapToGrid w:val="0"/>
        <w:spacing w:line="360" w:lineRule="auto"/>
        <w:ind w:firstLine="420" w:firstLineChars="200"/>
        <w:rPr>
          <w:rFonts w:ascii="仿宋_GB2312" w:hAnsi="仿宋_GB2312" w:eastAsia="仿宋_GB2312" w:cs="仿宋_GB2312"/>
          <w:bCs/>
        </w:rPr>
      </w:pPr>
      <w:r>
        <w:rPr>
          <w:rFonts w:hint="eastAsia" w:ascii="仿宋_GB2312" w:hAnsi="仿宋_GB2312" w:eastAsia="仿宋_GB2312" w:cs="仿宋_GB2312"/>
          <w:bCs/>
        </w:rPr>
        <w:t xml:space="preserve">沈阳市人力资源和社会保障局就“沈阳市2026年人力资源和社会保障基本情况社区直报调查”以项目询价方式组织采购。欢迎合格的供应商，参加本次采购活动。现将有关事项通知如下： </w:t>
      </w:r>
    </w:p>
    <w:p w14:paraId="60BDD62B">
      <w:pPr>
        <w:adjustRightInd w:val="0"/>
        <w:snapToGrid w:val="0"/>
        <w:spacing w:line="360" w:lineRule="auto"/>
        <w:rPr>
          <w:rFonts w:ascii="仿宋_GB2312" w:hAnsi="仿宋_GB2312" w:eastAsia="仿宋_GB2312" w:cs="仿宋_GB2312"/>
          <w:szCs w:val="21"/>
        </w:rPr>
      </w:pPr>
      <w:bookmarkStart w:id="0" w:name="_Toc35393629"/>
      <w:bookmarkStart w:id="1" w:name="_Toc28359012"/>
      <w:bookmarkStart w:id="2" w:name="_Toc35393798"/>
      <w:bookmarkStart w:id="3" w:name="_Toc28359089"/>
      <w:r>
        <w:rPr>
          <w:rFonts w:hint="eastAsia" w:ascii="仿宋_GB2312" w:hAnsi="仿宋_GB2312" w:eastAsia="仿宋_GB2312" w:cs="仿宋_GB2312"/>
          <w:szCs w:val="21"/>
        </w:rPr>
        <w:t>一、项目基本情况</w:t>
      </w:r>
      <w:bookmarkEnd w:id="0"/>
      <w:bookmarkEnd w:id="1"/>
      <w:bookmarkEnd w:id="2"/>
      <w:bookmarkEnd w:id="3"/>
    </w:p>
    <w:p w14:paraId="5606850B">
      <w:pPr>
        <w:adjustRightInd w:val="0"/>
        <w:snapToGrid w:val="0"/>
        <w:spacing w:line="360" w:lineRule="auto"/>
        <w:ind w:firstLine="420" w:firstLineChars="200"/>
        <w:rPr>
          <w:rFonts w:hint="eastAsia" w:ascii="仿宋_GB2312" w:hAnsi="仿宋_GB2312" w:eastAsia="仿宋_GB2312" w:cs="仿宋_GB2312"/>
          <w:bCs/>
        </w:rPr>
      </w:pPr>
      <w:r>
        <w:rPr>
          <w:rFonts w:hint="eastAsia" w:ascii="仿宋_GB2312" w:hAnsi="仿宋_GB2312" w:eastAsia="仿宋_GB2312" w:cs="仿宋_GB2312"/>
          <w:szCs w:val="21"/>
        </w:rPr>
        <w:t>项目名</w:t>
      </w:r>
      <w:r>
        <w:rPr>
          <w:rFonts w:hint="eastAsia" w:ascii="仿宋_GB2312" w:hAnsi="仿宋_GB2312" w:eastAsia="仿宋_GB2312" w:cs="仿宋_GB2312"/>
          <w:bCs/>
        </w:rPr>
        <w:t>称：沈阳市2026年人力资源和社会保障基本情况社区直报调查</w:t>
      </w:r>
    </w:p>
    <w:p w14:paraId="271FCA05">
      <w:pPr>
        <w:adjustRightInd w:val="0"/>
        <w:snapToGrid w:val="0"/>
        <w:spacing w:line="360" w:lineRule="auto"/>
        <w:ind w:firstLine="420" w:firstLineChars="200"/>
        <w:rPr>
          <w:rFonts w:hint="eastAsia" w:ascii="仿宋_GB2312" w:hAnsi="仿宋_GB2312" w:eastAsia="仿宋_GB2312" w:cs="仿宋_GB2312"/>
          <w:bCs/>
        </w:rPr>
      </w:pPr>
      <w:r>
        <w:rPr>
          <w:rFonts w:hint="eastAsia" w:ascii="仿宋_GB2312" w:hAnsi="仿宋_GB2312" w:eastAsia="仿宋_GB2312" w:cs="仿宋_GB2312"/>
          <w:bCs/>
        </w:rPr>
        <w:t>采购方式：询价</w:t>
      </w:r>
    </w:p>
    <w:p w14:paraId="4C533AF7">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预算金额：124000元</w:t>
      </w:r>
    </w:p>
    <w:p w14:paraId="3A1FA443">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最高限价：124000元</w:t>
      </w:r>
    </w:p>
    <w:p w14:paraId="381C6093">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采购需求：详见采购项目需求</w:t>
      </w:r>
    </w:p>
    <w:p w14:paraId="68B0CA1E">
      <w:pPr>
        <w:numPr>
          <w:ilvl w:val="0"/>
          <w:numId w:val="1"/>
        </w:numPr>
        <w:adjustRightInd w:val="0"/>
        <w:snapToGrid w:val="0"/>
        <w:spacing w:line="360" w:lineRule="auto"/>
        <w:rPr>
          <w:rFonts w:ascii="仿宋_GB2312" w:hAnsi="仿宋_GB2312" w:eastAsia="仿宋_GB2312" w:cs="仿宋_GB2312"/>
          <w:szCs w:val="21"/>
        </w:rPr>
      </w:pPr>
      <w:bookmarkStart w:id="4" w:name="_Toc35393799"/>
      <w:bookmarkStart w:id="5" w:name="_Toc28359090"/>
      <w:bookmarkStart w:id="6" w:name="_Toc28359013"/>
      <w:bookmarkStart w:id="7" w:name="_Toc35393630"/>
      <w:r>
        <w:rPr>
          <w:rFonts w:hint="eastAsia" w:ascii="仿宋_GB2312" w:hAnsi="仿宋_GB2312" w:eastAsia="仿宋_GB2312" w:cs="仿宋_GB2312"/>
          <w:szCs w:val="21"/>
        </w:rPr>
        <w:t>供应商的资格要求：</w:t>
      </w:r>
      <w:bookmarkEnd w:id="4"/>
      <w:bookmarkEnd w:id="5"/>
      <w:bookmarkEnd w:id="6"/>
      <w:bookmarkEnd w:id="7"/>
    </w:p>
    <w:p w14:paraId="264E7452">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1.在中国境内注册且能够完成本次采购的全部要求。</w:t>
      </w:r>
    </w:p>
    <w:p w14:paraId="28F927D6">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2.参与本采购活动前三年内在经营活动中没有重大违法记录。</w:t>
      </w:r>
    </w:p>
    <w:p w14:paraId="03D380BF">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3.统计调查数据保证真实有效的承诺函。</w:t>
      </w:r>
    </w:p>
    <w:p w14:paraId="208FAC19">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4.供应商未在 “信用中国”网站（www.creditchina.gov.cn）被列入失信被执行人、重大税收违法案件当事人名单（提供查询截图）；</w:t>
      </w:r>
    </w:p>
    <w:p w14:paraId="13D87D47">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5.本项目不允许联合体参加询价。</w:t>
      </w:r>
    </w:p>
    <w:p w14:paraId="68E36823">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递交报价文件</w:t>
      </w:r>
    </w:p>
    <w:p w14:paraId="61C86E02">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时间：2026年8月17日至2026年8月19日（北京时间8:30--11:30、13:30--16:00，节假日除外）；</w:t>
      </w:r>
    </w:p>
    <w:p w14:paraId="6C0B6292">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地点：沈阳市人力资源和社会保障局501房间</w:t>
      </w:r>
    </w:p>
    <w:p w14:paraId="2A65E70E">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递交报价文件需携带以下材料（复印件加盖公章）：服务方案、营业执照或事业单位法人证书、法人资格证明书或法人（或非法人组织负责人）授权委托书。</w:t>
      </w:r>
    </w:p>
    <w:p w14:paraId="386E3408">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售价：免费</w:t>
      </w:r>
    </w:p>
    <w:p w14:paraId="610BB890">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递交报价文件截止及</w:t>
      </w:r>
      <w:r>
        <w:rPr>
          <w:rFonts w:hint="eastAsia" w:ascii="仿宋_GB2312" w:hAnsi="仿宋_GB2312" w:eastAsia="仿宋_GB2312" w:cs="仿宋_GB2312"/>
          <w:szCs w:val="21"/>
          <w:lang w:eastAsia="zh-CN"/>
        </w:rPr>
        <w:t>询价</w:t>
      </w:r>
      <w:r>
        <w:rPr>
          <w:rFonts w:hint="eastAsia" w:ascii="仿宋_GB2312" w:hAnsi="仿宋_GB2312" w:eastAsia="仿宋_GB2312" w:cs="仿宋_GB2312"/>
          <w:szCs w:val="21"/>
        </w:rPr>
        <w:t>开始时间，递交报价文件及地点</w:t>
      </w:r>
    </w:p>
    <w:p w14:paraId="4B87D87F">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1.递交报价文件截止及</w:t>
      </w:r>
      <w:r>
        <w:rPr>
          <w:rFonts w:hint="eastAsia" w:ascii="仿宋_GB2312" w:hAnsi="仿宋_GB2312" w:eastAsia="仿宋_GB2312" w:cs="仿宋_GB2312"/>
          <w:szCs w:val="21"/>
          <w:lang w:eastAsia="zh-CN"/>
        </w:rPr>
        <w:t>询价</w:t>
      </w:r>
      <w:r>
        <w:rPr>
          <w:rFonts w:hint="eastAsia" w:ascii="仿宋_GB2312" w:hAnsi="仿宋_GB2312" w:eastAsia="仿宋_GB2312" w:cs="仿宋_GB2312"/>
          <w:szCs w:val="21"/>
        </w:rPr>
        <w:t>开始时间：2026年8月19日16:00时；</w:t>
      </w:r>
    </w:p>
    <w:p w14:paraId="690F0FB3">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2.递交报价文件及地点：沈阳市人力资源和社会保障局501房间</w:t>
      </w:r>
    </w:p>
    <w:p w14:paraId="4F043C97">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评审时间及地点</w:t>
      </w:r>
    </w:p>
    <w:p w14:paraId="37FC5603">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评审时间：2026年8月20日9:30时</w:t>
      </w:r>
    </w:p>
    <w:p w14:paraId="3FBFF1CE">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评审地点：沈阳市人力资源和社会保障局</w:t>
      </w:r>
    </w:p>
    <w:p w14:paraId="4AD24B84">
      <w:pPr>
        <w:numPr>
          <w:ilvl w:val="0"/>
          <w:numId w:val="1"/>
        </w:numPr>
        <w:adjustRightInd w:val="0"/>
        <w:snapToGrid w:val="0"/>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监督部门</w:t>
      </w:r>
    </w:p>
    <w:p w14:paraId="774719EC">
      <w:pPr>
        <w:adjustRightInd w:val="0"/>
        <w:snapToGrid w:val="0"/>
        <w:spacing w:line="360" w:lineRule="auto"/>
        <w:ind w:firstLine="540"/>
        <w:rPr>
          <w:rFonts w:ascii="仿宋_GB2312" w:hAnsi="仿宋_GB2312" w:eastAsia="仿宋_GB2312" w:cs="仿宋_GB2312"/>
          <w:szCs w:val="21"/>
        </w:rPr>
      </w:pPr>
      <w:r>
        <w:rPr>
          <w:rFonts w:hint="eastAsia" w:ascii="仿宋_GB2312" w:hAnsi="仿宋_GB2312" w:eastAsia="仿宋_GB2312" w:cs="仿宋_GB2312"/>
          <w:szCs w:val="21"/>
        </w:rPr>
        <w:t>本项目的监督部门为沈阳市人力资源和社会保障局机关纪委</w:t>
      </w:r>
    </w:p>
    <w:p w14:paraId="43B49C4A">
      <w:pPr>
        <w:numPr>
          <w:ilvl w:val="0"/>
          <w:numId w:val="1"/>
        </w:numPr>
        <w:adjustRightInd w:val="0"/>
        <w:snapToGrid w:val="0"/>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联系方式：</w:t>
      </w:r>
    </w:p>
    <w:p w14:paraId="737343CA">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lang w:eastAsia="zh-CN"/>
        </w:rPr>
        <w:t>询价</w:t>
      </w:r>
      <w:r>
        <w:rPr>
          <w:rFonts w:hint="eastAsia" w:ascii="仿宋_GB2312" w:hAnsi="仿宋_GB2312" w:eastAsia="仿宋_GB2312" w:cs="仿宋_GB2312"/>
          <w:szCs w:val="21"/>
        </w:rPr>
        <w:t>单位：沈阳市人力资源和社会保障局</w:t>
      </w:r>
    </w:p>
    <w:p w14:paraId="32BE8163">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联系人：韩老师</w:t>
      </w:r>
    </w:p>
    <w:p w14:paraId="2C70C85D">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电话：024-22539019</w:t>
      </w:r>
    </w:p>
    <w:p w14:paraId="4D969BDC">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地址：沈阳市沈河区青年北大街16号</w:t>
      </w:r>
    </w:p>
    <w:p w14:paraId="258BBC07">
      <w:pPr>
        <w:adjustRightInd w:val="0"/>
        <w:snapToGrid w:val="0"/>
        <w:spacing w:line="360" w:lineRule="auto"/>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邮箱：</w:t>
      </w:r>
      <w:r>
        <w:fldChar w:fldCharType="begin"/>
      </w:r>
      <w:r>
        <w:instrText xml:space="preserve"> HYPERLINK "mailto:30293642@qq.com" </w:instrText>
      </w:r>
      <w:r>
        <w:fldChar w:fldCharType="separate"/>
      </w:r>
      <w:r>
        <w:rPr>
          <w:rStyle w:val="8"/>
          <w:rFonts w:hint="eastAsia" w:ascii="仿宋_GB2312" w:hAnsi="仿宋_GB2312" w:eastAsia="仿宋_GB2312" w:cs="仿宋_GB2312"/>
          <w:color w:val="auto"/>
          <w:szCs w:val="21"/>
        </w:rPr>
        <w:t>30293642@qq.com</w:t>
      </w:r>
      <w:r>
        <w:rPr>
          <w:rStyle w:val="8"/>
          <w:rFonts w:hint="eastAsia" w:ascii="仿宋_GB2312" w:hAnsi="仿宋_GB2312" w:eastAsia="仿宋_GB2312" w:cs="仿宋_GB2312"/>
          <w:color w:val="auto"/>
          <w:szCs w:val="21"/>
        </w:rPr>
        <w:fldChar w:fldCharType="end"/>
      </w:r>
    </w:p>
    <w:p w14:paraId="193F8D4D">
      <w:pPr>
        <w:adjustRightInd w:val="0"/>
        <w:snapToGrid w:val="0"/>
        <w:spacing w:line="360" w:lineRule="auto"/>
        <w:rPr>
          <w:rFonts w:hint="eastAsia" w:ascii="仿宋_GB2312" w:hAnsi="仿宋_GB2312" w:eastAsia="仿宋_GB2312" w:cs="仿宋_GB2312"/>
          <w:szCs w:val="21"/>
        </w:rPr>
      </w:pPr>
    </w:p>
    <w:p w14:paraId="23767EF4">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附：</w:t>
      </w:r>
      <w:r>
        <w:rPr>
          <w:rFonts w:hint="eastAsia" w:ascii="仿宋_GB2312" w:hAnsi="仿宋_GB2312" w:eastAsia="仿宋_GB2312" w:cs="仿宋_GB2312"/>
          <w:bCs/>
        </w:rPr>
        <w:t>社区直报调查</w:t>
      </w:r>
      <w:r>
        <w:rPr>
          <w:rFonts w:hint="eastAsia" w:ascii="仿宋_GB2312" w:hAnsi="仿宋_GB2312" w:eastAsia="仿宋_GB2312" w:cs="仿宋_GB2312"/>
          <w:szCs w:val="21"/>
        </w:rPr>
        <w:t>项目采购需求</w:t>
      </w:r>
    </w:p>
    <w:p w14:paraId="6508341D">
      <w:pPr>
        <w:pStyle w:val="5"/>
        <w:rPr>
          <w:rFonts w:hint="eastAsia"/>
        </w:rPr>
      </w:pPr>
    </w:p>
    <w:p w14:paraId="3C234733">
      <w:pPr>
        <w:pStyle w:val="5"/>
      </w:pPr>
    </w:p>
    <w:p w14:paraId="40430509">
      <w:pPr>
        <w:pStyle w:val="5"/>
      </w:pPr>
    </w:p>
    <w:p w14:paraId="38A6EC6D">
      <w:pPr>
        <w:pStyle w:val="5"/>
      </w:pPr>
    </w:p>
    <w:p w14:paraId="3654DEB7">
      <w:pPr>
        <w:pStyle w:val="5"/>
      </w:pPr>
    </w:p>
    <w:p w14:paraId="78F11DCC">
      <w:pPr>
        <w:pStyle w:val="5"/>
      </w:pPr>
    </w:p>
    <w:p w14:paraId="35D4890B">
      <w:pPr>
        <w:pStyle w:val="5"/>
      </w:pPr>
    </w:p>
    <w:p w14:paraId="7F8246D4">
      <w:pPr>
        <w:pStyle w:val="5"/>
      </w:pPr>
    </w:p>
    <w:p w14:paraId="7625B99A">
      <w:pPr>
        <w:pStyle w:val="5"/>
      </w:pPr>
    </w:p>
    <w:p w14:paraId="5785CA61">
      <w:pPr>
        <w:pStyle w:val="5"/>
      </w:pPr>
    </w:p>
    <w:p w14:paraId="4E3BDBF8">
      <w:pPr>
        <w:pStyle w:val="5"/>
      </w:pPr>
    </w:p>
    <w:p w14:paraId="00EEF792">
      <w:pPr>
        <w:pStyle w:val="5"/>
      </w:pPr>
    </w:p>
    <w:p w14:paraId="214DB7A6">
      <w:pPr>
        <w:pStyle w:val="5"/>
      </w:pPr>
    </w:p>
    <w:p w14:paraId="59C5D6F6">
      <w:pPr>
        <w:pStyle w:val="5"/>
      </w:pPr>
    </w:p>
    <w:p w14:paraId="007E183A">
      <w:pPr>
        <w:pStyle w:val="5"/>
      </w:pPr>
    </w:p>
    <w:p w14:paraId="34174216">
      <w:pPr>
        <w:pStyle w:val="5"/>
      </w:pPr>
    </w:p>
    <w:p w14:paraId="55FC2EE7">
      <w:pPr>
        <w:pStyle w:val="5"/>
      </w:pPr>
    </w:p>
    <w:p w14:paraId="2BE9FE61">
      <w:pPr>
        <w:pStyle w:val="5"/>
      </w:pPr>
    </w:p>
    <w:p w14:paraId="5F210788">
      <w:pPr>
        <w:pStyle w:val="5"/>
      </w:pPr>
    </w:p>
    <w:p w14:paraId="1159533B">
      <w:pPr>
        <w:pStyle w:val="5"/>
      </w:pPr>
    </w:p>
    <w:p w14:paraId="4495E67D">
      <w:pPr>
        <w:pStyle w:val="5"/>
      </w:pPr>
    </w:p>
    <w:p w14:paraId="48988CFE">
      <w:pPr>
        <w:pStyle w:val="5"/>
      </w:pPr>
    </w:p>
    <w:p w14:paraId="2F63A90A">
      <w:pPr>
        <w:pStyle w:val="5"/>
      </w:pPr>
    </w:p>
    <w:p w14:paraId="1165A522">
      <w:pPr>
        <w:pStyle w:val="5"/>
      </w:pPr>
    </w:p>
    <w:p w14:paraId="48CB9E08">
      <w:pPr>
        <w:pStyle w:val="5"/>
      </w:pPr>
    </w:p>
    <w:p w14:paraId="1907AA0D">
      <w:pPr>
        <w:pStyle w:val="5"/>
      </w:pPr>
    </w:p>
    <w:p w14:paraId="4D499C60">
      <w:pPr>
        <w:pStyle w:val="5"/>
      </w:pPr>
    </w:p>
    <w:p w14:paraId="711A0153">
      <w:pPr>
        <w:pStyle w:val="5"/>
      </w:pPr>
    </w:p>
    <w:p w14:paraId="00457778">
      <w:pPr>
        <w:pStyle w:val="5"/>
      </w:pPr>
    </w:p>
    <w:p w14:paraId="7A9BC307">
      <w:pPr>
        <w:pStyle w:val="5"/>
      </w:pPr>
    </w:p>
    <w:p w14:paraId="60A962B6">
      <w:pPr>
        <w:pStyle w:val="5"/>
      </w:pPr>
    </w:p>
    <w:p w14:paraId="799BB7CF">
      <w:pPr>
        <w:pStyle w:val="5"/>
      </w:pPr>
    </w:p>
    <w:p w14:paraId="3333AE10">
      <w:pPr>
        <w:pStyle w:val="5"/>
      </w:pPr>
    </w:p>
    <w:p w14:paraId="5F77B316">
      <w:pPr>
        <w:pStyle w:val="5"/>
      </w:pPr>
    </w:p>
    <w:p w14:paraId="0A55E42C">
      <w:pPr>
        <w:pStyle w:val="5"/>
      </w:pPr>
    </w:p>
    <w:p w14:paraId="074EA98D">
      <w:pPr>
        <w:pStyle w:val="5"/>
      </w:pPr>
    </w:p>
    <w:p w14:paraId="3C60E8E7">
      <w:pPr>
        <w:pStyle w:val="5"/>
      </w:pPr>
    </w:p>
    <w:p w14:paraId="4BE58EB7">
      <w:pPr>
        <w:pStyle w:val="5"/>
      </w:pPr>
    </w:p>
    <w:p w14:paraId="7793993F">
      <w:pPr>
        <w:pStyle w:val="5"/>
      </w:pPr>
    </w:p>
    <w:p w14:paraId="6534A76F">
      <w:pPr>
        <w:pStyle w:val="5"/>
      </w:pPr>
    </w:p>
    <w:p w14:paraId="7190134C">
      <w:pPr>
        <w:pStyle w:val="5"/>
      </w:pPr>
    </w:p>
    <w:p w14:paraId="6E8B58D7">
      <w:pPr>
        <w:pStyle w:val="5"/>
      </w:pPr>
    </w:p>
    <w:p w14:paraId="21A24E23">
      <w:pPr>
        <w:pStyle w:val="5"/>
      </w:pPr>
    </w:p>
    <w:p w14:paraId="713E02B8">
      <w:pPr>
        <w:pStyle w:val="4"/>
        <w:spacing w:line="480" w:lineRule="exact"/>
        <w:ind w:firstLine="0" w:firstLineChars="0"/>
        <w:jc w:val="center"/>
        <w:outlineLvl w:val="0"/>
        <w:rPr>
          <w:rFonts w:hint="eastAsia" w:ascii="仿宋" w:hAnsi="仿宋" w:eastAsia="仿宋" w:cs="仿宋"/>
          <w:b/>
          <w:sz w:val="32"/>
          <w:szCs w:val="32"/>
        </w:rPr>
      </w:pPr>
      <w:bookmarkStart w:id="9" w:name="_GoBack"/>
      <w:bookmarkEnd w:id="9"/>
      <w:r>
        <w:rPr>
          <w:rFonts w:hint="eastAsia" w:ascii="仿宋" w:hAnsi="仿宋" w:eastAsia="仿宋" w:cs="仿宋"/>
          <w:b/>
          <w:sz w:val="32"/>
          <w:szCs w:val="32"/>
        </w:rPr>
        <w:t>社区直报调查项目需求</w:t>
      </w:r>
    </w:p>
    <w:p w14:paraId="45E6525D">
      <w:pPr>
        <w:pStyle w:val="3"/>
        <w:spacing w:line="440" w:lineRule="exact"/>
        <w:ind w:firstLine="0" w:firstLineChars="0"/>
        <w:rPr>
          <w:rFonts w:ascii="仿宋" w:hAnsi="仿宋" w:eastAsia="仿宋" w:cs="仿宋"/>
          <w:sz w:val="21"/>
          <w:szCs w:val="21"/>
        </w:rPr>
      </w:pPr>
      <w:r>
        <w:rPr>
          <w:rFonts w:hint="eastAsia" w:ascii="仿宋" w:hAnsi="仿宋" w:eastAsia="仿宋" w:cs="仿宋"/>
          <w:b/>
          <w:sz w:val="21"/>
          <w:szCs w:val="21"/>
        </w:rPr>
        <w:t>1.项目内容：</w:t>
      </w:r>
      <w:r>
        <w:rPr>
          <w:rFonts w:hint="eastAsia" w:ascii="仿宋" w:hAnsi="仿宋" w:eastAsia="仿宋" w:cs="仿宋"/>
          <w:sz w:val="21"/>
          <w:szCs w:val="21"/>
        </w:rPr>
        <w:t>沈阳市2026年人力资源和社会保障基本情况社区直报调查</w:t>
      </w:r>
    </w:p>
    <w:p w14:paraId="1EC368E5">
      <w:pPr>
        <w:pStyle w:val="3"/>
        <w:spacing w:line="440" w:lineRule="exact"/>
        <w:ind w:firstLine="0" w:firstLineChars="0"/>
        <w:rPr>
          <w:rFonts w:ascii="仿宋" w:hAnsi="仿宋" w:eastAsia="仿宋" w:cs="仿宋"/>
          <w:b/>
          <w:sz w:val="21"/>
          <w:szCs w:val="21"/>
        </w:rPr>
      </w:pPr>
      <w:r>
        <w:rPr>
          <w:rFonts w:hint="eastAsia" w:ascii="仿宋" w:hAnsi="仿宋" w:eastAsia="仿宋" w:cs="仿宋"/>
          <w:b/>
          <w:sz w:val="21"/>
          <w:szCs w:val="21"/>
        </w:rPr>
        <w:t>2.调查时间：</w:t>
      </w:r>
      <w:r>
        <w:rPr>
          <w:rFonts w:hint="eastAsia" w:ascii="仿宋" w:hAnsi="仿宋" w:eastAsia="仿宋" w:cs="仿宋"/>
          <w:bCs/>
          <w:sz w:val="21"/>
          <w:szCs w:val="21"/>
        </w:rPr>
        <w:t>调查实施时间为2026年8月31日—9月6日，调查时点为8月30日24时整。</w:t>
      </w:r>
    </w:p>
    <w:p w14:paraId="4BA87AAE">
      <w:pPr>
        <w:pStyle w:val="3"/>
        <w:spacing w:line="440" w:lineRule="exact"/>
        <w:ind w:firstLine="0" w:firstLineChars="0"/>
        <w:rPr>
          <w:rFonts w:ascii="仿宋" w:hAnsi="仿宋" w:eastAsia="仿宋" w:cs="仿宋"/>
          <w:sz w:val="21"/>
          <w:szCs w:val="21"/>
        </w:rPr>
      </w:pPr>
      <w:r>
        <w:rPr>
          <w:rFonts w:hint="eastAsia" w:ascii="仿宋" w:hAnsi="仿宋" w:eastAsia="仿宋" w:cs="仿宋"/>
          <w:b/>
          <w:sz w:val="21"/>
          <w:szCs w:val="21"/>
        </w:rPr>
        <w:t>3.调查内容：</w:t>
      </w:r>
      <w:r>
        <w:rPr>
          <w:rFonts w:hint="eastAsia" w:ascii="仿宋" w:hAnsi="仿宋" w:eastAsia="仿宋" w:cs="仿宋"/>
          <w:sz w:val="21"/>
          <w:szCs w:val="21"/>
        </w:rPr>
        <w:t>城乡居民在创业就业、专业技术和职业技能、职业构成、社会保险、劳动关系、工时、休假、劳动收入、权益维护以及劳动人事争议处理等方面的情况（具体内容见调查问卷）。</w:t>
      </w:r>
    </w:p>
    <w:p w14:paraId="2E937202">
      <w:pPr>
        <w:pStyle w:val="3"/>
        <w:spacing w:line="440" w:lineRule="exact"/>
        <w:ind w:firstLine="0" w:firstLineChars="0"/>
        <w:rPr>
          <w:rFonts w:ascii="仿宋" w:hAnsi="仿宋" w:eastAsia="仿宋" w:cs="仿宋"/>
          <w:sz w:val="21"/>
          <w:szCs w:val="21"/>
        </w:rPr>
      </w:pPr>
      <w:r>
        <w:rPr>
          <w:rFonts w:hint="eastAsia" w:ascii="仿宋" w:hAnsi="仿宋" w:eastAsia="仿宋" w:cs="仿宋"/>
          <w:b/>
          <w:sz w:val="21"/>
          <w:szCs w:val="21"/>
        </w:rPr>
        <w:t>4．调查范围和对象：</w:t>
      </w:r>
      <w:r>
        <w:rPr>
          <w:rFonts w:hint="eastAsia" w:ascii="仿宋" w:hAnsi="仿宋" w:eastAsia="仿宋" w:cs="仿宋"/>
          <w:sz w:val="21"/>
          <w:szCs w:val="21"/>
        </w:rPr>
        <w:t>调查126个社区（村），每个社区（村）调查16户居民户，每个社区调查的总人数不少于42人。</w:t>
      </w:r>
    </w:p>
    <w:p w14:paraId="641B4B3D">
      <w:pPr>
        <w:pStyle w:val="3"/>
        <w:spacing w:line="440" w:lineRule="exact"/>
        <w:ind w:firstLine="0" w:firstLineChars="0"/>
        <w:rPr>
          <w:rFonts w:ascii="仿宋" w:hAnsi="仿宋" w:eastAsia="仿宋" w:cs="仿宋"/>
          <w:sz w:val="21"/>
          <w:szCs w:val="21"/>
        </w:rPr>
      </w:pPr>
      <w:r>
        <w:rPr>
          <w:rFonts w:hint="eastAsia" w:ascii="仿宋" w:hAnsi="仿宋" w:eastAsia="仿宋" w:cs="仿宋"/>
          <w:b/>
          <w:sz w:val="21"/>
          <w:szCs w:val="21"/>
        </w:rPr>
        <w:t>5.调查方式：</w:t>
      </w:r>
      <w:r>
        <w:rPr>
          <w:rFonts w:hint="eastAsia" w:ascii="仿宋" w:hAnsi="仿宋" w:eastAsia="仿宋" w:cs="仿宋"/>
          <w:bCs/>
          <w:sz w:val="21"/>
          <w:szCs w:val="21"/>
        </w:rPr>
        <w:t>本调查采用社区直报方式开展，受访者依托移动互联网技术扫码填报问卷，数据直接上传部数据库，社区、居委会或行政村的工作人员调查期间配合人社系统工作人员开展入户访谈或提供帮助。不具备前述条件的地区可采用纸质问卷。</w:t>
      </w:r>
    </w:p>
    <w:p w14:paraId="2038A212">
      <w:pPr>
        <w:pStyle w:val="3"/>
        <w:spacing w:line="440" w:lineRule="exact"/>
        <w:ind w:firstLine="0" w:firstLineChars="0"/>
        <w:rPr>
          <w:rFonts w:ascii="仿宋" w:hAnsi="仿宋" w:eastAsia="仿宋" w:cs="仿宋"/>
          <w:b/>
          <w:sz w:val="21"/>
          <w:szCs w:val="21"/>
        </w:rPr>
      </w:pPr>
      <w:r>
        <w:rPr>
          <w:rFonts w:hint="eastAsia" w:ascii="仿宋" w:hAnsi="仿宋" w:eastAsia="仿宋" w:cs="仿宋"/>
          <w:b/>
          <w:sz w:val="21"/>
          <w:szCs w:val="21"/>
        </w:rPr>
        <w:t>6.调查程序：</w:t>
      </w:r>
    </w:p>
    <w:p w14:paraId="7C744E59">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6.1确定调查督导员、调查员，组织开展调查培训（2026年8月28日前）。</w:t>
      </w:r>
    </w:p>
    <w:p w14:paraId="511E8197">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6.2实施入户调查，访问居民，根据实际回答情况填写调查问卷（2026年8月31日—9月6日）。</w:t>
      </w:r>
    </w:p>
    <w:p w14:paraId="3317BE20">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6.3发放调查纪念品给居民</w:t>
      </w:r>
    </w:p>
    <w:p w14:paraId="0EDE7526">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6.4回收、审核调查问卷，抽取部分问卷进行回访，录入并上报调查数据，报送辅助材料（2026年10月9日前）。</w:t>
      </w:r>
    </w:p>
    <w:p w14:paraId="17E4E8D6">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6.5完成调查分析主报告（2026年11月30日前）。</w:t>
      </w:r>
    </w:p>
    <w:p w14:paraId="7AAE1DC0">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6.6完成调查城市的工作总结、调查数据分析报告（2026年12月25日前）。</w:t>
      </w:r>
    </w:p>
    <w:p w14:paraId="4048BFF8">
      <w:pPr>
        <w:pStyle w:val="3"/>
        <w:spacing w:line="440" w:lineRule="exact"/>
        <w:ind w:firstLine="0" w:firstLineChars="0"/>
        <w:rPr>
          <w:rFonts w:ascii="仿宋" w:hAnsi="仿宋" w:eastAsia="仿宋" w:cs="仿宋"/>
          <w:b/>
          <w:sz w:val="21"/>
          <w:szCs w:val="21"/>
        </w:rPr>
      </w:pPr>
      <w:r>
        <w:rPr>
          <w:rFonts w:hint="eastAsia" w:ascii="仿宋" w:hAnsi="仿宋" w:eastAsia="仿宋" w:cs="仿宋"/>
          <w:b/>
          <w:sz w:val="21"/>
          <w:szCs w:val="21"/>
        </w:rPr>
        <w:t>7.有关要求</w:t>
      </w:r>
    </w:p>
    <w:p w14:paraId="5784116F">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7.1督导员、调查员，要具有工作热情、有积极性，对待工作认真负责，确保调查数据的真实性、有效性。</w:t>
      </w:r>
    </w:p>
    <w:p w14:paraId="10065AA5">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7.2合理安排统计调查费用：要按照公平合理、厉行节约、注重效益原则管理和使用调查费，按时、保质保量的完成沈阳市2026年人力资源和社会保障基本情况社区直报调查。</w:t>
      </w:r>
    </w:p>
    <w:p w14:paraId="6E011A07">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7.3调查员、审核人员、回访人员以及承担调查数据录入上报工作的人员，要熟悉本职业务工作，具有职业操守，对用于本项目的统计调查数据严格执行保密制度，不得以任何方式向任何其他组织或个人泄露、转让、许可使用、交换、赠与或与其他组织或个人共同使用或不正当使用。违反本条规定，给甲方造成损失的，乙方应负相关的法律与经济责任。</w:t>
      </w:r>
    </w:p>
    <w:p w14:paraId="3C68885D">
      <w:pPr>
        <w:pStyle w:val="3"/>
        <w:spacing w:line="440" w:lineRule="exact"/>
        <w:ind w:firstLine="0" w:firstLineChars="0"/>
        <w:rPr>
          <w:rFonts w:ascii="仿宋" w:hAnsi="仿宋" w:eastAsia="仿宋" w:cs="仿宋"/>
          <w:sz w:val="21"/>
          <w:szCs w:val="21"/>
        </w:rPr>
      </w:pPr>
      <w:r>
        <w:rPr>
          <w:rFonts w:hint="eastAsia" w:ascii="仿宋" w:hAnsi="仿宋" w:eastAsia="仿宋" w:cs="仿宋"/>
          <w:sz w:val="21"/>
          <w:szCs w:val="21"/>
        </w:rPr>
        <w:t>7.4</w:t>
      </w:r>
      <w:r>
        <w:rPr>
          <w:rFonts w:hint="eastAsia" w:ascii="仿宋" w:hAnsi="仿宋" w:eastAsia="仿宋" w:cs="仿宋"/>
          <w:b/>
          <w:sz w:val="21"/>
          <w:szCs w:val="21"/>
        </w:rPr>
        <w:t>严格按照时间节点完成每项工作。</w:t>
      </w:r>
    </w:p>
    <w:p w14:paraId="072C7318">
      <w:pPr>
        <w:pStyle w:val="3"/>
        <w:spacing w:line="440" w:lineRule="exact"/>
        <w:ind w:firstLine="0" w:firstLineChars="0"/>
        <w:rPr>
          <w:rFonts w:hint="eastAsia" w:ascii="仿宋" w:hAnsi="仿宋" w:eastAsia="仿宋" w:cs="仿宋"/>
          <w:sz w:val="21"/>
          <w:szCs w:val="21"/>
        </w:rPr>
      </w:pPr>
      <w:r>
        <w:rPr>
          <w:rFonts w:hint="eastAsia" w:ascii="仿宋" w:hAnsi="仿宋" w:eastAsia="仿宋" w:cs="仿宋"/>
          <w:sz w:val="21"/>
          <w:szCs w:val="21"/>
        </w:rPr>
        <w:t>7.5其它未列事项（以实际签订合同为准）。</w:t>
      </w:r>
    </w:p>
    <w:p w14:paraId="12956E34">
      <w:pPr>
        <w:rPr>
          <w:rFonts w:hint="eastAsia" w:ascii="仿宋" w:hAnsi="仿宋" w:eastAsia="仿宋" w:cs="仿宋"/>
          <w:szCs w:val="21"/>
        </w:rPr>
      </w:pPr>
      <w:r>
        <w:rPr>
          <w:rFonts w:hint="eastAsia" w:ascii="仿宋" w:hAnsi="仿宋" w:eastAsia="仿宋" w:cs="仿宋"/>
          <w:szCs w:val="21"/>
        </w:rPr>
        <w:t>附件2：</w:t>
      </w:r>
    </w:p>
    <w:p w14:paraId="0635B98A">
      <w:pPr>
        <w:jc w:val="center"/>
        <w:rPr>
          <w:rFonts w:hint="eastAsia" w:ascii="仿宋" w:hAnsi="仿宋" w:eastAsia="仿宋" w:cs="仿宋"/>
          <w:b/>
          <w:bCs/>
          <w:sz w:val="32"/>
          <w:szCs w:val="28"/>
        </w:rPr>
      </w:pPr>
      <w:r>
        <w:rPr>
          <w:rFonts w:hint="eastAsia" w:ascii="仿宋" w:hAnsi="仿宋" w:eastAsia="仿宋" w:cs="仿宋"/>
          <w:b/>
          <w:bCs/>
          <w:sz w:val="32"/>
          <w:szCs w:val="28"/>
        </w:rPr>
        <w:t>项目询价评审表</w:t>
      </w:r>
    </w:p>
    <w:tbl>
      <w:tblPr>
        <w:tblStyle w:val="6"/>
        <w:tblpPr w:leftFromText="180" w:rightFromText="180" w:vertAnchor="text" w:horzAnchor="page" w:tblpX="1834" w:tblpY="446"/>
        <w:tblOverlap w:val="never"/>
        <w:tblW w:w="87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46"/>
        <w:gridCol w:w="5816"/>
        <w:gridCol w:w="900"/>
      </w:tblGrid>
      <w:tr w14:paraId="1C39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761" w:type="dxa"/>
            <w:tcBorders>
              <w:top w:val="single" w:color="auto" w:sz="4" w:space="0"/>
              <w:left w:val="single" w:color="auto" w:sz="4" w:space="0"/>
              <w:bottom w:val="single" w:color="auto" w:sz="4" w:space="0"/>
              <w:right w:val="single" w:color="auto" w:sz="4" w:space="0"/>
            </w:tcBorders>
            <w:noWrap w:val="0"/>
            <w:vAlign w:val="center"/>
          </w:tcPr>
          <w:p w14:paraId="799ED406">
            <w:pPr>
              <w:spacing w:line="440" w:lineRule="exact"/>
              <w:jc w:val="center"/>
              <w:rPr>
                <w:rFonts w:hint="eastAsia" w:ascii="仿宋" w:hAnsi="仿宋" w:eastAsia="仿宋" w:cs="仿宋"/>
                <w:b/>
                <w:szCs w:val="21"/>
              </w:rPr>
            </w:pPr>
            <w:bookmarkStart w:id="8" w:name="定位_【品目投标响应表】_20119013153"/>
            <w:bookmarkEnd w:id="8"/>
            <w:r>
              <w:rPr>
                <w:rFonts w:hint="eastAsia" w:ascii="仿宋" w:hAnsi="仿宋" w:eastAsia="仿宋" w:cs="仿宋"/>
                <w:b/>
                <w:szCs w:val="21"/>
              </w:rPr>
              <w:t>项目</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652B05FF">
            <w:pPr>
              <w:spacing w:line="440" w:lineRule="exact"/>
              <w:jc w:val="center"/>
              <w:rPr>
                <w:rFonts w:hint="eastAsia" w:ascii="仿宋" w:hAnsi="仿宋" w:eastAsia="仿宋" w:cs="仿宋"/>
                <w:b/>
                <w:szCs w:val="21"/>
              </w:rPr>
            </w:pPr>
            <w:r>
              <w:rPr>
                <w:rFonts w:hint="eastAsia" w:ascii="仿宋" w:hAnsi="仿宋" w:eastAsia="仿宋" w:cs="仿宋"/>
                <w:b/>
                <w:szCs w:val="21"/>
              </w:rPr>
              <w:t>分项</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357ED323">
            <w:pPr>
              <w:spacing w:line="440" w:lineRule="exact"/>
              <w:jc w:val="center"/>
              <w:rPr>
                <w:rFonts w:hint="eastAsia" w:ascii="仿宋" w:hAnsi="仿宋" w:eastAsia="仿宋" w:cs="仿宋"/>
                <w:b/>
                <w:szCs w:val="21"/>
              </w:rPr>
            </w:pPr>
            <w:r>
              <w:rPr>
                <w:rFonts w:hint="eastAsia" w:ascii="仿宋" w:hAnsi="仿宋" w:eastAsia="仿宋" w:cs="仿宋"/>
                <w:b/>
                <w:szCs w:val="21"/>
              </w:rPr>
              <w:t>评审标准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01FAED5">
            <w:pPr>
              <w:spacing w:line="440" w:lineRule="exact"/>
              <w:jc w:val="center"/>
              <w:rPr>
                <w:rFonts w:ascii="仿宋" w:hAnsi="仿宋" w:eastAsia="仿宋" w:cs="仿宋"/>
                <w:b/>
                <w:szCs w:val="21"/>
                <w:lang w:val="en"/>
              </w:rPr>
            </w:pPr>
            <w:r>
              <w:rPr>
                <w:rFonts w:hint="eastAsia" w:ascii="仿宋" w:hAnsi="仿宋" w:eastAsia="仿宋" w:cs="仿宋"/>
                <w:b/>
                <w:szCs w:val="21"/>
              </w:rPr>
              <w:t>是</w:t>
            </w:r>
            <w:r>
              <w:rPr>
                <w:rFonts w:ascii="仿宋" w:hAnsi="仿宋" w:eastAsia="仿宋" w:cs="仿宋"/>
                <w:b/>
                <w:szCs w:val="21"/>
                <w:lang w:val="en"/>
              </w:rPr>
              <w:t>/</w:t>
            </w:r>
            <w:r>
              <w:rPr>
                <w:rFonts w:hint="eastAsia" w:ascii="仿宋" w:hAnsi="仿宋" w:eastAsia="仿宋" w:cs="仿宋"/>
                <w:b/>
                <w:szCs w:val="21"/>
                <w:lang w:val="en"/>
              </w:rPr>
              <w:t>否</w:t>
            </w:r>
          </w:p>
        </w:tc>
      </w:tr>
      <w:tr w14:paraId="793F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61" w:type="dxa"/>
            <w:tcBorders>
              <w:top w:val="single" w:color="auto" w:sz="4" w:space="0"/>
              <w:left w:val="single" w:color="auto" w:sz="4" w:space="0"/>
              <w:bottom w:val="single" w:color="auto" w:sz="4" w:space="0"/>
              <w:right w:val="single" w:color="auto" w:sz="4" w:space="0"/>
            </w:tcBorders>
            <w:noWrap w:val="0"/>
            <w:vAlign w:val="center"/>
          </w:tcPr>
          <w:p w14:paraId="740F7D71">
            <w:pPr>
              <w:spacing w:line="440" w:lineRule="exact"/>
              <w:jc w:val="center"/>
              <w:rPr>
                <w:rFonts w:hint="eastAsia" w:ascii="仿宋" w:hAnsi="仿宋" w:eastAsia="仿宋" w:cs="仿宋"/>
                <w:szCs w:val="21"/>
              </w:rPr>
            </w:pPr>
            <w:r>
              <w:rPr>
                <w:rFonts w:hint="eastAsia" w:ascii="仿宋" w:hAnsi="仿宋" w:eastAsia="仿宋" w:cs="仿宋"/>
                <w:szCs w:val="21"/>
              </w:rPr>
              <w:t>价格</w:t>
            </w:r>
          </w:p>
          <w:p w14:paraId="2F24208D">
            <w:pPr>
              <w:spacing w:line="440" w:lineRule="exact"/>
              <w:jc w:val="center"/>
              <w:rPr>
                <w:rFonts w:hint="eastAsia" w:ascii="仿宋" w:hAnsi="仿宋" w:eastAsia="仿宋" w:cs="仿宋"/>
                <w:szCs w:val="21"/>
              </w:rPr>
            </w:pPr>
            <w:r>
              <w:rPr>
                <w:rFonts w:hint="eastAsia" w:ascii="仿宋" w:hAnsi="仿宋" w:eastAsia="仿宋" w:cs="仿宋"/>
                <w:szCs w:val="21"/>
              </w:rPr>
              <w:t>部分</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0736AB75">
            <w:pPr>
              <w:spacing w:line="440" w:lineRule="exact"/>
              <w:jc w:val="center"/>
              <w:rPr>
                <w:rFonts w:hint="eastAsia" w:ascii="仿宋" w:hAnsi="仿宋" w:eastAsia="仿宋" w:cs="仿宋"/>
                <w:szCs w:val="21"/>
              </w:rPr>
            </w:pPr>
            <w:r>
              <w:rPr>
                <w:rFonts w:hint="eastAsia" w:ascii="仿宋" w:hAnsi="仿宋" w:eastAsia="仿宋" w:cs="仿宋"/>
                <w:szCs w:val="21"/>
              </w:rPr>
              <w:t>报价</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48C34921">
            <w:pPr>
              <w:rPr>
                <w:rFonts w:hint="eastAsia" w:ascii="仿宋" w:hAnsi="仿宋" w:eastAsia="仿宋" w:cs="仿宋"/>
                <w:szCs w:val="21"/>
              </w:rPr>
            </w:pPr>
            <w:r>
              <w:rPr>
                <w:rFonts w:hint="eastAsia" w:ascii="仿宋" w:hAnsi="仿宋" w:eastAsia="仿宋" w:cs="仿宋"/>
                <w:szCs w:val="21"/>
              </w:rPr>
              <w:t>报价各项组成合理准确，报价不高于预算金额。</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5F738BA">
            <w:pPr>
              <w:spacing w:line="440" w:lineRule="exact"/>
              <w:jc w:val="center"/>
              <w:rPr>
                <w:rFonts w:hint="eastAsia" w:ascii="仿宋" w:hAnsi="仿宋" w:eastAsia="仿宋" w:cs="仿宋"/>
                <w:szCs w:val="21"/>
              </w:rPr>
            </w:pPr>
          </w:p>
        </w:tc>
      </w:tr>
      <w:tr w14:paraId="48FC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trPr>
        <w:tc>
          <w:tcPr>
            <w:tcW w:w="761" w:type="dxa"/>
            <w:tcBorders>
              <w:top w:val="single" w:color="auto" w:sz="4" w:space="0"/>
              <w:left w:val="single" w:color="auto" w:sz="4" w:space="0"/>
              <w:right w:val="single" w:color="auto" w:sz="4" w:space="0"/>
            </w:tcBorders>
            <w:noWrap w:val="0"/>
            <w:vAlign w:val="center"/>
          </w:tcPr>
          <w:p w14:paraId="72ED95C6">
            <w:pPr>
              <w:spacing w:line="440" w:lineRule="exact"/>
              <w:jc w:val="center"/>
              <w:rPr>
                <w:rFonts w:hint="eastAsia" w:ascii="仿宋" w:hAnsi="仿宋" w:eastAsia="仿宋" w:cs="仿宋"/>
                <w:szCs w:val="21"/>
              </w:rPr>
            </w:pPr>
            <w:r>
              <w:rPr>
                <w:rFonts w:hint="eastAsia" w:ascii="仿宋" w:hAnsi="仿宋" w:eastAsia="仿宋" w:cs="仿宋"/>
                <w:szCs w:val="21"/>
              </w:rPr>
              <w:t>资格审查</w:t>
            </w:r>
          </w:p>
          <w:p w14:paraId="2AD54666">
            <w:pPr>
              <w:spacing w:line="440" w:lineRule="exact"/>
              <w:jc w:val="center"/>
              <w:rPr>
                <w:rFonts w:hint="eastAsia" w:ascii="仿宋" w:hAnsi="仿宋" w:eastAsia="仿宋" w:cs="仿宋"/>
                <w:szCs w:val="21"/>
              </w:rPr>
            </w:pPr>
            <w:r>
              <w:rPr>
                <w:rFonts w:hint="eastAsia" w:ascii="仿宋" w:hAnsi="仿宋" w:eastAsia="仿宋" w:cs="仿宋"/>
                <w:szCs w:val="21"/>
              </w:rPr>
              <w:t>部分</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7FA7E653">
            <w:pPr>
              <w:jc w:val="center"/>
              <w:rPr>
                <w:rFonts w:hint="eastAsia" w:ascii="仿宋" w:hAnsi="仿宋" w:eastAsia="仿宋" w:cs="仿宋"/>
                <w:szCs w:val="21"/>
              </w:rPr>
            </w:pPr>
            <w:r>
              <w:rPr>
                <w:rFonts w:hint="eastAsia" w:ascii="仿宋" w:hAnsi="仿宋" w:eastAsia="仿宋" w:cs="仿宋"/>
                <w:szCs w:val="21"/>
              </w:rPr>
              <w:t>资格性证明材料</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6CC5CA7A">
            <w:pPr>
              <w:numPr>
                <w:ilvl w:val="0"/>
                <w:numId w:val="2"/>
              </w:numPr>
              <w:rPr>
                <w:rFonts w:hint="eastAsia" w:ascii="仿宋" w:hAnsi="仿宋" w:eastAsia="仿宋" w:cs="仿宋"/>
                <w:szCs w:val="21"/>
              </w:rPr>
            </w:pPr>
            <w:r>
              <w:rPr>
                <w:rFonts w:hint="eastAsia" w:ascii="仿宋" w:hAnsi="仿宋" w:eastAsia="仿宋" w:cs="仿宋"/>
                <w:szCs w:val="21"/>
              </w:rPr>
              <w:t>营业执照副本复印件。</w:t>
            </w:r>
          </w:p>
          <w:p w14:paraId="4141A7FB">
            <w:pPr>
              <w:numPr>
                <w:ilvl w:val="0"/>
                <w:numId w:val="2"/>
              </w:numPr>
              <w:rPr>
                <w:rFonts w:hint="eastAsia" w:ascii="仿宋" w:hAnsi="仿宋" w:eastAsia="仿宋" w:cs="仿宋"/>
                <w:szCs w:val="21"/>
              </w:rPr>
            </w:pPr>
            <w:r>
              <w:rPr>
                <w:rFonts w:hint="eastAsia" w:ascii="仿宋" w:hAnsi="仿宋" w:eastAsia="仿宋" w:cs="仿宋"/>
                <w:color w:val="000000"/>
                <w:kern w:val="0"/>
                <w:szCs w:val="21"/>
              </w:rPr>
              <w:t>参加采购活动前3年内在经营活动中没有重大违法记录及具有良好信用信息的声明。</w:t>
            </w:r>
          </w:p>
          <w:p w14:paraId="2748A49E">
            <w:pPr>
              <w:numPr>
                <w:ilvl w:val="0"/>
                <w:numId w:val="2"/>
              </w:numPr>
              <w:rPr>
                <w:rFonts w:hint="eastAsia" w:ascii="仿宋" w:hAnsi="仿宋" w:eastAsia="仿宋" w:cs="仿宋"/>
                <w:szCs w:val="21"/>
              </w:rPr>
            </w:pPr>
            <w:r>
              <w:rPr>
                <w:rFonts w:hint="eastAsia" w:ascii="仿宋" w:hAnsi="仿宋" w:eastAsia="仿宋" w:cs="仿宋"/>
                <w:color w:val="000000"/>
                <w:kern w:val="0"/>
                <w:szCs w:val="21"/>
              </w:rPr>
              <w:t>统计调查数据保证真实有效的承诺函</w:t>
            </w:r>
          </w:p>
          <w:p w14:paraId="224F440A">
            <w:pPr>
              <w:numPr>
                <w:ilvl w:val="0"/>
                <w:numId w:val="2"/>
              </w:numPr>
              <w:rPr>
                <w:rFonts w:hint="eastAsia" w:ascii="仿宋" w:hAnsi="仿宋" w:eastAsia="仿宋" w:cs="仿宋"/>
                <w:szCs w:val="21"/>
              </w:rPr>
            </w:pPr>
            <w:r>
              <w:rPr>
                <w:rFonts w:hint="eastAsia" w:ascii="仿宋" w:hAnsi="仿宋" w:eastAsia="仿宋" w:cs="仿宋"/>
                <w:kern w:val="0"/>
                <w:szCs w:val="21"/>
              </w:rPr>
              <w:t>供应商未在 “信用中国”网站（www.creditchina.gov.cn）被列入失信被执行人、重大税收违法案件当事人名单（提供查询截图）</w:t>
            </w:r>
          </w:p>
          <w:p w14:paraId="3583F223">
            <w:pPr>
              <w:numPr>
                <w:ilvl w:val="0"/>
                <w:numId w:val="2"/>
              </w:numPr>
              <w:rPr>
                <w:rFonts w:hint="eastAsia" w:ascii="仿宋" w:hAnsi="仿宋" w:eastAsia="仿宋" w:cs="仿宋"/>
                <w:szCs w:val="21"/>
              </w:rPr>
            </w:pPr>
            <w:r>
              <w:rPr>
                <w:rFonts w:hint="eastAsia" w:ascii="仿宋" w:hAnsi="仿宋" w:eastAsia="仿宋" w:cs="仿宋"/>
                <w:szCs w:val="21"/>
              </w:rPr>
              <w:t>供应商关联单位说明</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7552158">
            <w:pPr>
              <w:spacing w:line="440" w:lineRule="exact"/>
              <w:jc w:val="center"/>
              <w:rPr>
                <w:rFonts w:hint="eastAsia" w:ascii="仿宋" w:hAnsi="仿宋" w:eastAsia="仿宋" w:cs="仿宋"/>
                <w:szCs w:val="21"/>
              </w:rPr>
            </w:pPr>
          </w:p>
        </w:tc>
      </w:tr>
      <w:tr w14:paraId="4195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61" w:type="dxa"/>
            <w:vMerge w:val="restart"/>
            <w:tcBorders>
              <w:top w:val="single" w:color="auto" w:sz="4" w:space="0"/>
              <w:left w:val="single" w:color="auto" w:sz="4" w:space="0"/>
              <w:right w:val="single" w:color="auto" w:sz="4" w:space="0"/>
            </w:tcBorders>
            <w:noWrap w:val="0"/>
            <w:vAlign w:val="center"/>
          </w:tcPr>
          <w:p w14:paraId="4775051E">
            <w:pPr>
              <w:spacing w:line="440" w:lineRule="exact"/>
              <w:jc w:val="center"/>
              <w:rPr>
                <w:rFonts w:hint="eastAsia" w:ascii="仿宋" w:hAnsi="仿宋" w:eastAsia="仿宋" w:cs="仿宋"/>
                <w:szCs w:val="21"/>
              </w:rPr>
            </w:pPr>
            <w:r>
              <w:rPr>
                <w:rFonts w:hint="eastAsia" w:ascii="仿宋" w:hAnsi="仿宋" w:eastAsia="仿宋" w:cs="仿宋"/>
                <w:szCs w:val="21"/>
              </w:rPr>
              <w:t>技术</w:t>
            </w:r>
          </w:p>
          <w:p w14:paraId="71281836">
            <w:pPr>
              <w:spacing w:line="440" w:lineRule="exact"/>
              <w:jc w:val="center"/>
              <w:rPr>
                <w:rFonts w:hint="eastAsia" w:ascii="仿宋" w:hAnsi="仿宋" w:eastAsia="仿宋" w:cs="仿宋"/>
                <w:szCs w:val="21"/>
              </w:rPr>
            </w:pPr>
            <w:r>
              <w:rPr>
                <w:rFonts w:hint="eastAsia" w:ascii="仿宋" w:hAnsi="仿宋" w:eastAsia="仿宋" w:cs="仿宋"/>
                <w:szCs w:val="21"/>
              </w:rPr>
              <w:t>部分</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0225D5F1">
            <w:pPr>
              <w:jc w:val="center"/>
              <w:rPr>
                <w:rFonts w:hint="eastAsia" w:ascii="仿宋" w:hAnsi="仿宋" w:eastAsia="仿宋" w:cs="仿宋"/>
                <w:szCs w:val="21"/>
              </w:rPr>
            </w:pPr>
            <w:r>
              <w:rPr>
                <w:rFonts w:hint="eastAsia" w:ascii="仿宋" w:hAnsi="仿宋" w:eastAsia="仿宋" w:cs="仿宋"/>
                <w:szCs w:val="21"/>
              </w:rPr>
              <w:t>服务方案</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727527A0">
            <w:pPr>
              <w:rPr>
                <w:rFonts w:hint="eastAsia" w:ascii="仿宋" w:hAnsi="仿宋" w:eastAsia="仿宋" w:cs="仿宋"/>
                <w:szCs w:val="21"/>
              </w:rPr>
            </w:pPr>
            <w:r>
              <w:rPr>
                <w:rFonts w:hint="eastAsia" w:ascii="仿宋" w:hAnsi="仿宋" w:eastAsia="仿宋" w:cs="仿宋"/>
                <w:szCs w:val="21"/>
              </w:rPr>
              <w:t>参与询价企业应结合本项目的服务需求以及以往类似项目的经验，编制本项目的服务方案。</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5BB0DD4">
            <w:pPr>
              <w:spacing w:line="440" w:lineRule="exact"/>
              <w:jc w:val="center"/>
              <w:rPr>
                <w:rFonts w:hint="eastAsia" w:ascii="仿宋" w:hAnsi="仿宋" w:eastAsia="仿宋" w:cs="仿宋"/>
                <w:szCs w:val="21"/>
              </w:rPr>
            </w:pPr>
          </w:p>
        </w:tc>
      </w:tr>
      <w:tr w14:paraId="1BC8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761" w:type="dxa"/>
            <w:vMerge w:val="continue"/>
            <w:tcBorders>
              <w:left w:val="single" w:color="auto" w:sz="4" w:space="0"/>
              <w:right w:val="single" w:color="auto" w:sz="4" w:space="0"/>
            </w:tcBorders>
            <w:noWrap w:val="0"/>
            <w:vAlign w:val="center"/>
          </w:tcPr>
          <w:p w14:paraId="218D5941">
            <w:pPr>
              <w:spacing w:line="440" w:lineRule="exact"/>
              <w:jc w:val="center"/>
              <w:rPr>
                <w:rFonts w:hint="eastAsia" w:ascii="仿宋" w:hAnsi="仿宋" w:eastAsia="仿宋" w:cs="仿宋"/>
                <w:szCs w:val="21"/>
              </w:rPr>
            </w:pPr>
          </w:p>
        </w:tc>
        <w:tc>
          <w:tcPr>
            <w:tcW w:w="1246" w:type="dxa"/>
            <w:tcBorders>
              <w:left w:val="single" w:color="auto" w:sz="4" w:space="0"/>
              <w:right w:val="single" w:color="auto" w:sz="4" w:space="0"/>
            </w:tcBorders>
            <w:noWrap w:val="0"/>
            <w:vAlign w:val="center"/>
          </w:tcPr>
          <w:p w14:paraId="460184A8">
            <w:pPr>
              <w:jc w:val="center"/>
              <w:rPr>
                <w:rFonts w:hint="eastAsia" w:ascii="仿宋" w:hAnsi="仿宋" w:eastAsia="仿宋" w:cs="仿宋"/>
                <w:szCs w:val="21"/>
              </w:rPr>
            </w:pPr>
            <w:r>
              <w:rPr>
                <w:rFonts w:hint="eastAsia" w:ascii="仿宋" w:hAnsi="仿宋" w:eastAsia="仿宋" w:cs="仿宋"/>
                <w:szCs w:val="21"/>
              </w:rPr>
              <w:t>质量保证措施</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003D9C4D">
            <w:pPr>
              <w:rPr>
                <w:rFonts w:hint="eastAsia" w:ascii="仿宋" w:hAnsi="仿宋" w:eastAsia="仿宋" w:cs="仿宋"/>
                <w:szCs w:val="21"/>
              </w:rPr>
            </w:pPr>
            <w:r>
              <w:rPr>
                <w:rFonts w:hint="eastAsia" w:ascii="仿宋" w:hAnsi="仿宋" w:eastAsia="仿宋" w:cs="仿宋"/>
                <w:szCs w:val="21"/>
              </w:rPr>
              <w:t>参与询价企业应针对本项目的实际情况，编制切实可行的，包括人员岗位职责、培训方案、措施等。</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0A56666">
            <w:pPr>
              <w:spacing w:line="440" w:lineRule="exact"/>
              <w:jc w:val="center"/>
              <w:rPr>
                <w:rFonts w:hint="eastAsia" w:ascii="仿宋" w:hAnsi="仿宋" w:eastAsia="仿宋" w:cs="仿宋"/>
                <w:szCs w:val="21"/>
              </w:rPr>
            </w:pPr>
          </w:p>
        </w:tc>
      </w:tr>
      <w:tr w14:paraId="44BB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761" w:type="dxa"/>
            <w:vMerge w:val="continue"/>
            <w:tcBorders>
              <w:left w:val="single" w:color="auto" w:sz="4" w:space="0"/>
              <w:right w:val="single" w:color="auto" w:sz="4" w:space="0"/>
            </w:tcBorders>
            <w:noWrap w:val="0"/>
            <w:vAlign w:val="center"/>
          </w:tcPr>
          <w:p w14:paraId="175F611E">
            <w:pPr>
              <w:spacing w:line="440" w:lineRule="exact"/>
              <w:jc w:val="center"/>
              <w:rPr>
                <w:rFonts w:hint="eastAsia" w:ascii="仿宋" w:hAnsi="仿宋" w:eastAsia="仿宋" w:cs="仿宋"/>
                <w:szCs w:val="21"/>
              </w:rPr>
            </w:pPr>
          </w:p>
        </w:tc>
        <w:tc>
          <w:tcPr>
            <w:tcW w:w="1246" w:type="dxa"/>
            <w:tcBorders>
              <w:left w:val="single" w:color="auto" w:sz="4" w:space="0"/>
              <w:right w:val="single" w:color="auto" w:sz="4" w:space="0"/>
            </w:tcBorders>
            <w:noWrap w:val="0"/>
            <w:vAlign w:val="center"/>
          </w:tcPr>
          <w:p w14:paraId="5B433B16">
            <w:pPr>
              <w:jc w:val="center"/>
              <w:rPr>
                <w:rFonts w:hint="eastAsia" w:ascii="仿宋" w:hAnsi="仿宋" w:eastAsia="仿宋" w:cs="仿宋"/>
                <w:szCs w:val="21"/>
              </w:rPr>
            </w:pPr>
            <w:r>
              <w:rPr>
                <w:rFonts w:hint="eastAsia" w:ascii="仿宋" w:hAnsi="仿宋" w:eastAsia="仿宋" w:cs="仿宋"/>
                <w:szCs w:val="21"/>
              </w:rPr>
              <w:t>进度保障措施</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47C89109">
            <w:pPr>
              <w:rPr>
                <w:rFonts w:hint="eastAsia" w:ascii="仿宋" w:hAnsi="仿宋" w:eastAsia="仿宋" w:cs="仿宋"/>
                <w:szCs w:val="21"/>
              </w:rPr>
            </w:pPr>
            <w:r>
              <w:rPr>
                <w:rFonts w:hint="eastAsia" w:ascii="仿宋" w:hAnsi="仿宋" w:eastAsia="仿宋" w:cs="仿宋"/>
                <w:szCs w:val="21"/>
              </w:rPr>
              <w:t>参与询价企业应针对本项目的实际情况，提供科学合理，可操作性强的工作进度保障安排等。</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F128D7D">
            <w:pPr>
              <w:spacing w:line="440" w:lineRule="exact"/>
              <w:jc w:val="center"/>
              <w:rPr>
                <w:rFonts w:hint="eastAsia" w:ascii="仿宋" w:hAnsi="仿宋" w:eastAsia="仿宋" w:cs="仿宋"/>
                <w:szCs w:val="21"/>
              </w:rPr>
            </w:pPr>
          </w:p>
        </w:tc>
      </w:tr>
      <w:tr w14:paraId="4DFA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761" w:type="dxa"/>
            <w:tcBorders>
              <w:left w:val="single" w:color="auto" w:sz="4" w:space="0"/>
              <w:right w:val="single" w:color="auto" w:sz="4" w:space="0"/>
            </w:tcBorders>
            <w:noWrap w:val="0"/>
            <w:vAlign w:val="center"/>
          </w:tcPr>
          <w:p w14:paraId="4EC62D07">
            <w:pPr>
              <w:jc w:val="center"/>
              <w:rPr>
                <w:rFonts w:hint="eastAsia" w:ascii="仿宋" w:hAnsi="仿宋" w:eastAsia="仿宋" w:cs="仿宋"/>
                <w:szCs w:val="21"/>
              </w:rPr>
            </w:pPr>
            <w:r>
              <w:rPr>
                <w:rFonts w:hint="eastAsia" w:ascii="仿宋" w:hAnsi="仿宋" w:eastAsia="仿宋" w:cs="仿宋"/>
                <w:szCs w:val="21"/>
              </w:rPr>
              <w:t>商务部分</w:t>
            </w:r>
          </w:p>
        </w:tc>
        <w:tc>
          <w:tcPr>
            <w:tcW w:w="1246" w:type="dxa"/>
            <w:tcBorders>
              <w:top w:val="single" w:color="auto" w:sz="4" w:space="0"/>
              <w:left w:val="single" w:color="auto" w:sz="4" w:space="0"/>
              <w:bottom w:val="single" w:color="auto" w:sz="4" w:space="0"/>
              <w:right w:val="single" w:color="auto" w:sz="4" w:space="0"/>
            </w:tcBorders>
            <w:noWrap w:val="0"/>
            <w:vAlign w:val="center"/>
          </w:tcPr>
          <w:p w14:paraId="606D0FE0">
            <w:pPr>
              <w:jc w:val="center"/>
              <w:rPr>
                <w:rFonts w:hint="eastAsia" w:ascii="仿宋" w:hAnsi="仿宋" w:eastAsia="仿宋" w:cs="仿宋"/>
                <w:szCs w:val="21"/>
              </w:rPr>
            </w:pPr>
            <w:r>
              <w:rPr>
                <w:rFonts w:hint="eastAsia" w:ascii="仿宋" w:hAnsi="仿宋" w:eastAsia="仿宋" w:cs="仿宋"/>
                <w:szCs w:val="21"/>
              </w:rPr>
              <w:t>类似业绩</w:t>
            </w:r>
          </w:p>
        </w:tc>
        <w:tc>
          <w:tcPr>
            <w:tcW w:w="5816" w:type="dxa"/>
            <w:tcBorders>
              <w:top w:val="single" w:color="auto" w:sz="4" w:space="0"/>
              <w:left w:val="single" w:color="auto" w:sz="4" w:space="0"/>
              <w:bottom w:val="single" w:color="auto" w:sz="4" w:space="0"/>
              <w:right w:val="single" w:color="auto" w:sz="4" w:space="0"/>
            </w:tcBorders>
            <w:noWrap w:val="0"/>
            <w:vAlign w:val="center"/>
          </w:tcPr>
          <w:p w14:paraId="60D00151">
            <w:pPr>
              <w:rPr>
                <w:rFonts w:hint="eastAsia" w:ascii="仿宋" w:hAnsi="仿宋" w:eastAsia="仿宋" w:cs="仿宋"/>
              </w:rPr>
            </w:pPr>
            <w:r>
              <w:rPr>
                <w:rFonts w:hint="eastAsia" w:ascii="仿宋" w:hAnsi="仿宋" w:eastAsia="仿宋" w:cs="仿宋"/>
                <w:szCs w:val="21"/>
              </w:rPr>
              <w:t>2021年1月1日至今有类似项目举办经验。</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0D6E312">
            <w:pPr>
              <w:spacing w:line="440" w:lineRule="exact"/>
              <w:jc w:val="center"/>
              <w:rPr>
                <w:rFonts w:hint="eastAsia" w:ascii="仿宋" w:hAnsi="仿宋" w:eastAsia="仿宋" w:cs="仿宋"/>
                <w:szCs w:val="21"/>
              </w:rPr>
            </w:pPr>
          </w:p>
        </w:tc>
      </w:tr>
    </w:tbl>
    <w:p w14:paraId="6062E392">
      <w:pPr>
        <w:pStyle w:val="3"/>
        <w:spacing w:line="440" w:lineRule="exact"/>
        <w:ind w:firstLine="0" w:firstLineChars="0"/>
        <w:rPr>
          <w:rFonts w:ascii="仿宋" w:hAnsi="仿宋" w:eastAsia="仿宋" w:cs="仿宋"/>
          <w:szCs w:val="24"/>
        </w:rPr>
      </w:pPr>
      <w:r>
        <w:rPr>
          <w:rFonts w:hint="eastAsia" w:ascii="仿宋" w:hAnsi="仿宋" w:eastAsia="仿宋" w:cs="仿宋"/>
          <w:szCs w:val="24"/>
        </w:rPr>
        <w:t xml:space="preserve">供应商：                                               </w:t>
      </w:r>
    </w:p>
    <w:p w14:paraId="2080E309">
      <w:pPr>
        <w:pStyle w:val="3"/>
        <w:spacing w:line="440" w:lineRule="exact"/>
        <w:ind w:firstLine="0" w:firstLineChars="0"/>
        <w:rPr>
          <w:rFonts w:hint="eastAsia" w:ascii="仿宋" w:hAnsi="仿宋" w:eastAsia="仿宋" w:cs="仿宋"/>
          <w:szCs w:val="24"/>
        </w:rPr>
      </w:pPr>
    </w:p>
    <w:p w14:paraId="0BC8B3C2">
      <w:pPr>
        <w:pStyle w:val="3"/>
        <w:spacing w:line="440" w:lineRule="exact"/>
        <w:ind w:firstLine="0" w:firstLineChars="0"/>
        <w:rPr>
          <w:rFonts w:hint="eastAsia" w:ascii="仿宋" w:hAnsi="仿宋" w:eastAsia="仿宋" w:cs="仿宋"/>
          <w:szCs w:val="24"/>
        </w:rPr>
      </w:pPr>
    </w:p>
    <w:p w14:paraId="30AD1A53">
      <w:pPr>
        <w:pStyle w:val="3"/>
        <w:spacing w:line="440" w:lineRule="exact"/>
        <w:ind w:firstLine="0" w:firstLineChars="0"/>
        <w:rPr>
          <w:rFonts w:hint="eastAsia" w:ascii="仿宋" w:hAnsi="仿宋" w:eastAsia="仿宋" w:cs="仿宋"/>
          <w:szCs w:val="24"/>
        </w:rPr>
      </w:pPr>
      <w:r>
        <w:rPr>
          <w:rFonts w:hint="eastAsia" w:ascii="仿宋" w:hAnsi="仿宋" w:eastAsia="仿宋" w:cs="仿宋"/>
          <w:szCs w:val="24"/>
        </w:rPr>
        <w:t xml:space="preserve">                                          评审员：</w:t>
      </w:r>
    </w:p>
    <w:p w14:paraId="2E28F5DA">
      <w:pPr>
        <w:pStyle w:val="3"/>
        <w:spacing w:line="440" w:lineRule="exact"/>
        <w:ind w:firstLine="0" w:firstLineChars="0"/>
        <w:rPr>
          <w:rFonts w:ascii="仿宋" w:hAnsi="仿宋" w:eastAsia="仿宋" w:cs="仿宋"/>
          <w:szCs w:val="24"/>
        </w:rPr>
      </w:pPr>
      <w:r>
        <w:rPr>
          <w:rFonts w:hint="eastAsia" w:ascii="仿宋" w:hAnsi="仿宋" w:eastAsia="仿宋" w:cs="仿宋"/>
          <w:szCs w:val="24"/>
        </w:rPr>
        <w:t xml:space="preserve">                                          日  期：</w:t>
      </w:r>
    </w:p>
    <w:p w14:paraId="0ACB61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387CB"/>
    <w:multiLevelType w:val="singleLevel"/>
    <w:tmpl w:val="0A8387CB"/>
    <w:lvl w:ilvl="0" w:tentative="0">
      <w:start w:val="2"/>
      <w:numFmt w:val="chineseCounting"/>
      <w:suff w:val="nothing"/>
      <w:lvlText w:val="%1、"/>
      <w:lvlJc w:val="left"/>
      <w:rPr>
        <w:rFonts w:hint="eastAsia"/>
      </w:rPr>
    </w:lvl>
  </w:abstractNum>
  <w:abstractNum w:abstractNumId="1">
    <w:nsid w:val="148F5B8D"/>
    <w:multiLevelType w:val="multilevel"/>
    <w:tmpl w:val="148F5B8D"/>
    <w:lvl w:ilvl="0" w:tentative="0">
      <w:start w:val="1"/>
      <w:numFmt w:val="decimal"/>
      <w:lvlText w:val="%1."/>
      <w:lvlJc w:val="left"/>
      <w:pPr>
        <w:ind w:left="360" w:hanging="360"/>
      </w:pPr>
      <w:rPr>
        <w:rFonts w:hint="default" w:ascii="仿宋" w:hAnsi="仿宋" w:eastAsia="仿宋" w:cs="仿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C7061"/>
    <w:rsid w:val="0BDC7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4">
    <w:name w:val="Body Text Indent"/>
    <w:basedOn w:val="1"/>
    <w:qFormat/>
    <w:uiPriority w:val="0"/>
    <w:pPr>
      <w:ind w:firstLine="480" w:firstLineChars="200"/>
    </w:pPr>
    <w:rPr>
      <w:sz w:val="24"/>
    </w:rPr>
  </w:style>
  <w:style w:type="paragraph" w:styleId="5">
    <w:name w:val="footer"/>
    <w:basedOn w:val="1"/>
    <w:qFormat/>
    <w:uiPriority w:val="0"/>
    <w:pPr>
      <w:tabs>
        <w:tab w:val="center" w:pos="4153"/>
        <w:tab w:val="right" w:pos="8306"/>
      </w:tabs>
      <w:snapToGrid w:val="0"/>
      <w:jc w:val="left"/>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2026-08-14T05:18:00Z</dcterms:created>
  <dc:creator>大马</dc:creator>
  <cp:lastModifiedBy>大马</cp:lastModifiedBy>
  <dcterms:modified xsi:type="dcterms:W3CDTF">2026-08-14T05:19:23Z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00ED00D03A334F16B9CB724D639311B1_11</vt:lpwstr>
  </property>
  <property fmtid="{D5CDD505-2E9C-101B-9397-08002B2CF9AE}" pid="4" name="KSOTemplateDocerSaveRecord">
    <vt:lpwstr>eyJoZGlkIjoiYjAxZTExZmUyYjNiMzVkM2MxNGUzNDkzNTlkZTNjYjAiLCJ1c2VySWQiOiI3MzM3MzQyMTkifQ==</vt:lpwstr>
  </property>
</Properties>
</file>