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56802">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default" w:ascii="Times New Roman" w:hAnsi="Times New Roman" w:eastAsia="仿宋" w:cs="Times New Roman"/>
          <w:b w:val="0"/>
          <w:color w:val="000000"/>
          <w:sz w:val="32"/>
          <w:szCs w:val="32"/>
        </w:rPr>
      </w:pPr>
    </w:p>
    <w:p w14:paraId="10018453">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color w:val="000000"/>
          <w:sz w:val="44"/>
          <w:szCs w:val="44"/>
        </w:rPr>
        <w:t>《沈阳市人力资源和社会保障局劳务派遣行政</w:t>
      </w:r>
    </w:p>
    <w:p w14:paraId="4B16A974">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color w:val="000000"/>
          <w:sz w:val="44"/>
          <w:szCs w:val="44"/>
        </w:rPr>
        <w:t>许可实施细则（征求意见稿）》起草说明</w:t>
      </w:r>
    </w:p>
    <w:p w14:paraId="6F219607">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 w:cs="Times New Roman"/>
          <w:sz w:val="32"/>
          <w:szCs w:val="32"/>
        </w:rPr>
      </w:pPr>
    </w:p>
    <w:p w14:paraId="25D4712F">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黑体" w:hAnsi="黑体" w:eastAsia="黑体" w:cs="黑体"/>
          <w:sz w:val="32"/>
          <w:szCs w:val="32"/>
        </w:rPr>
      </w:pPr>
      <w:r>
        <w:rPr>
          <w:rFonts w:hint="eastAsia" w:ascii="黑体" w:hAnsi="黑体" w:eastAsia="黑体" w:cs="黑体"/>
          <w:b w:val="0"/>
          <w:color w:val="000000"/>
          <w:sz w:val="32"/>
          <w:szCs w:val="32"/>
        </w:rPr>
        <w:t>一、制定背景和必要性</w:t>
      </w:r>
    </w:p>
    <w:p w14:paraId="6625E4F2">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为进一步规范我市劳务派遣行政许可工作，加强对劳务派遣单位的监督管理，维护被派遣劳动者合法权益，促进劳务派遣行业健康有序发展，有必要制定本实施细则。</w:t>
      </w:r>
    </w:p>
    <w:p w14:paraId="1F35C181">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一是贯彻落实上位法和最新政策的需要。《</w:t>
      </w:r>
      <w:r>
        <w:rPr>
          <w:rFonts w:hint="default" w:ascii="Times New Roman" w:hAnsi="Times New Roman" w:eastAsia="仿宋" w:cs="Times New Roman"/>
          <w:b w:val="0"/>
          <w:color w:val="000000"/>
          <w:sz w:val="32"/>
          <w:szCs w:val="32"/>
          <w:lang w:val="en-US"/>
        </w:rPr>
        <w:t>中华人民共和国劳动合同法</w:t>
      </w:r>
      <w:r>
        <w:rPr>
          <w:rFonts w:hint="default" w:ascii="Times New Roman" w:hAnsi="Times New Roman" w:eastAsia="仿宋" w:cs="Times New Roman"/>
          <w:b w:val="0"/>
          <w:color w:val="000000"/>
          <w:sz w:val="32"/>
          <w:szCs w:val="32"/>
        </w:rPr>
        <w:t>》《劳务派遣行政许可实施办法》（人社部令第19号</w:t>
      </w:r>
      <w:bookmarkStart w:id="0" w:name="_GoBack"/>
      <w:r>
        <w:rPr>
          <w:rFonts w:hint="default" w:ascii="Times New Roman" w:hAnsi="Times New Roman" w:eastAsia="仿宋" w:cs="Times New Roman"/>
          <w:b w:val="0"/>
          <w:color w:val="000000"/>
          <w:sz w:val="32"/>
          <w:szCs w:val="32"/>
        </w:rPr>
        <w:t>）</w:t>
      </w:r>
      <w:bookmarkEnd w:id="0"/>
      <w:r>
        <w:rPr>
          <w:rFonts w:hint="default" w:ascii="Times New Roman" w:hAnsi="Times New Roman" w:eastAsia="仿宋" w:cs="Times New Roman"/>
          <w:b w:val="0"/>
          <w:color w:val="000000"/>
          <w:sz w:val="32"/>
          <w:szCs w:val="32"/>
        </w:rPr>
        <w:t>《劳务派遣暂行规定》（人社部令第22号）等法律法规相继施行，2024年人社部印发《关于进一步规范劳务派遣工作的意见》（人社部发〔2024〕2号）、省人社厅印发《关于进一步规范劳务派遣工作的实施意见》（辽人社〔2024〕13号），对严把许可入口、优化审批服务、完善退出机制等提出新要求。我市现行的沈人社发〔2013〕108号文件制定时间较早，部分内容已不适应新形势需要。</w:t>
      </w:r>
    </w:p>
    <w:p w14:paraId="13EE48D4">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二是衔接</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多证合一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改革的需要。根据辽工商发〔2018〕26号文件，劳务派遣单位设立分公司备案已纳入</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多证合一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改革范畴，现行文件未对该机制作出规定，需要在细则中明确衔接。</w:t>
      </w:r>
    </w:p>
    <w:p w14:paraId="34A9E4A3">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三是解决实际工作突出问题的需要。近年来我市劳务派遣行业快速发展，实践中面临申请材料标准不统一、审查尺度不一致、分公司备案流程不顺畅、年度报告核验机制不完善等问题，有必要通过制定细则予以规范。</w:t>
      </w:r>
    </w:p>
    <w:p w14:paraId="03CB85DB">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 w:cs="Times New Roman"/>
          <w:sz w:val="32"/>
          <w:szCs w:val="32"/>
        </w:rPr>
      </w:pPr>
      <w:r>
        <w:rPr>
          <w:rFonts w:hint="eastAsia" w:ascii="黑体" w:hAnsi="黑体" w:eastAsia="黑体" w:cs="黑体"/>
          <w:b w:val="0"/>
          <w:color w:val="000000"/>
          <w:sz w:val="32"/>
          <w:szCs w:val="32"/>
        </w:rPr>
        <w:t>二、制定依据</w:t>
      </w:r>
    </w:p>
    <w:p w14:paraId="1D32B1A8">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本细则主要依据《中华人民共和国劳动合同法》《中华人民共和国行政许可法》《劳务派遣行政许可实施办法》（人力资源社会保障部令第19号）等法律规章，以及《人力资源社会保障部关于进一步规范劳务派遣工作的意见》（人社部发〔2024〕2号）《关于进一步规范劳务派遣工作的实施意见》（辽人社〔2024〕13号）《省工商局等十五部门关于做好全国统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多证合一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改革工作的意见》（辽工商发〔2018〕26号）等规范性文件制定。</w:t>
      </w:r>
    </w:p>
    <w:p w14:paraId="47F44113">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黑体" w:hAnsi="黑体" w:eastAsia="黑体" w:cs="黑体"/>
          <w:sz w:val="32"/>
          <w:szCs w:val="32"/>
        </w:rPr>
      </w:pPr>
      <w:r>
        <w:rPr>
          <w:rFonts w:hint="eastAsia" w:ascii="黑体" w:hAnsi="黑体" w:eastAsia="黑体" w:cs="黑体"/>
          <w:b w:val="0"/>
          <w:color w:val="000000"/>
          <w:sz w:val="32"/>
          <w:szCs w:val="32"/>
        </w:rPr>
        <w:t>三、主要内容</w:t>
      </w:r>
    </w:p>
    <w:p w14:paraId="1672DA05">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细则共四章四十二条，主要内容如下：</w:t>
      </w:r>
    </w:p>
    <w:p w14:paraId="3BF6C74C">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（一）总则</w:t>
      </w:r>
    </w:p>
    <w:p w14:paraId="30716E1F">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明确立法目的和依据，规定沈阳市行政区域内劳务派遣行政许可的申请、变更、延续、注销，分公司报告和备案，以及年度经营情况报告、核验适用本细则。市人社局统筹全市工作，市、区县（市）人社局按管辖分工负责具体业务。</w:t>
      </w:r>
    </w:p>
    <w:p w14:paraId="24181585">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（二）行政许可申请与受理</w:t>
      </w:r>
    </w:p>
    <w:p w14:paraId="21E180E9">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明确申请条件：注册资本不少于200万元、有固定独立经营场所（租赁期限不少于1年）和办公设施设备、有符合规定的劳务派遣管理制度。明确9项申请材料。规范受理程序：材料可当场更正的允许更正，不齐全的5个工作日内</w:t>
      </w:r>
      <w:r>
        <w:rPr>
          <w:rFonts w:hint="default" w:ascii="Times New Roman" w:hAnsi="Times New Roman" w:eastAsia="仿宋" w:cs="Times New Roman"/>
          <w:b w:val="0"/>
          <w:color w:val="auto"/>
          <w:sz w:val="32"/>
          <w:szCs w:val="32"/>
        </w:rPr>
        <w:t>一次</w:t>
      </w:r>
      <w:r>
        <w:rPr>
          <w:rFonts w:hint="eastAsia" w:ascii="Times New Roman" w:hAnsi="Times New Roman" w:eastAsia="仿宋" w:cs="Times New Roman"/>
          <w:b w:val="0"/>
          <w:color w:val="auto"/>
          <w:sz w:val="32"/>
          <w:szCs w:val="32"/>
          <w:highlight w:val="none"/>
          <w:lang w:eastAsia="zh-CN"/>
        </w:rPr>
        <w:t>性</w:t>
      </w:r>
      <w:r>
        <w:rPr>
          <w:rFonts w:hint="default" w:ascii="Times New Roman" w:hAnsi="Times New Roman" w:eastAsia="仿宋" w:cs="Times New Roman"/>
          <w:b w:val="0"/>
          <w:color w:val="000000"/>
          <w:sz w:val="32"/>
          <w:szCs w:val="32"/>
        </w:rPr>
        <w:t>告知补正，受理的出具《受理决定书》，不予受理的出具《不予受理决定书》并告知</w:t>
      </w:r>
      <w:r>
        <w:rPr>
          <w:rFonts w:hint="default" w:ascii="Times New Roman" w:hAnsi="Times New Roman" w:eastAsia="仿宋" w:cs="Times New Roman"/>
          <w:b w:val="0"/>
          <w:color w:val="auto"/>
          <w:sz w:val="32"/>
          <w:szCs w:val="32"/>
        </w:rPr>
        <w:t>救济</w:t>
      </w:r>
      <w:r>
        <w:rPr>
          <w:rFonts w:hint="default" w:ascii="Times New Roman" w:hAnsi="Times New Roman" w:eastAsia="仿宋" w:cs="Times New Roman"/>
          <w:b w:val="0"/>
          <w:color w:val="000000"/>
          <w:sz w:val="32"/>
          <w:szCs w:val="32"/>
        </w:rPr>
        <w:t>权利。办理时限为受理之日起10个工作日内，经批准可延长10个工作日。</w:t>
      </w:r>
    </w:p>
    <w:p w14:paraId="623B0F86">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（三）变更、延续和注销</w:t>
      </w:r>
    </w:p>
    <w:p w14:paraId="1B15618F">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变更：名称、住所、法定代表人或注册资本改变的应申请变更，10个工作日内办结。延续：有效期届满60日前申请，明确逾期不提交年度报告</w:t>
      </w:r>
      <w:r>
        <w:rPr>
          <w:rFonts w:hint="eastAsia" w:ascii="Times New Roman" w:hAnsi="Times New Roman" w:eastAsia="仿宋" w:cs="Times New Roman"/>
          <w:b w:val="0"/>
          <w:color w:val="000000"/>
          <w:sz w:val="32"/>
          <w:szCs w:val="32"/>
          <w:lang w:eastAsia="zh-CN"/>
        </w:rPr>
        <w:t>或</w:t>
      </w:r>
      <w:r>
        <w:rPr>
          <w:rFonts w:hint="default" w:ascii="Times New Roman" w:hAnsi="Times New Roman" w:eastAsia="仿宋" w:cs="Times New Roman"/>
          <w:b w:val="0"/>
          <w:color w:val="000000"/>
          <w:sz w:val="32"/>
          <w:szCs w:val="32"/>
        </w:rPr>
        <w:t>提交虚假报告拒不改正、一个许可期限内受2次以上行政处罚等不予延续情形；规定许可机关应在有效期届满前作出决定，逾期未作决定的视为准予延续。注销：明确申请材料，包括被派遣劳动者劳动关系和社保权益处理情况报告及凭证，10个工作日内办结。</w:t>
      </w:r>
    </w:p>
    <w:p w14:paraId="5228AA10">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（四）审查标准</w:t>
      </w:r>
    </w:p>
    <w:p w14:paraId="09554CD4">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专设审查标准一节，分别明确验资报告（实收资本不少于200万元）、经营场所使用证明、办公设施设备、申请书及公司章程（注明注册资本</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实缴</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字样）等具体标准。明确受理后指派2名以上执法人员开展实质性审查，落实人社部发〔2024〕2号</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严把许可入口</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要求。</w:t>
      </w:r>
    </w:p>
    <w:p w14:paraId="46268EC9">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（五）分公司报告和备案</w:t>
      </w:r>
    </w:p>
    <w:p w14:paraId="0DAD5E9D">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总公司设立分公司应向许可机关报告，即来即办。分公司备案通过辽宁政务服务网</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企业开办一网通办</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系统填报</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多证合一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信息，未能线上备案的可线下提交书面申请，10个工作日内办结。分公司注销备案5个工作日内办结，备案信息及时录入监管系统。</w:t>
      </w:r>
    </w:p>
    <w:p w14:paraId="43B941BA">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（六）年度经营情况报告及核验</w:t>
      </w:r>
    </w:p>
    <w:p w14:paraId="10B716A3">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劳务派遣单位（含分公司）应于每年3月31日前网上提交上一年度经营情况报告。系统反馈</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不通过</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的，5个工作日内整改并重新提交，逾期视为未提交。核验结果分为合格、不合格、无业务三档，向社会公布并载入企业信用记录。逾期不提交、提交虚假报告或核验不合格的，按不予延续规定处理。</w:t>
      </w:r>
    </w:p>
    <w:p w14:paraId="6379AE4E">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（七）附则</w:t>
      </w:r>
    </w:p>
    <w:p w14:paraId="3E99D1B4">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明确档案保管期限（注销后一般30年）、证明事项告知承诺制、法律责任、解释权和施行日期。本细则实施之日起，沈人社发〔2013〕108号文件同时废止。</w:t>
      </w:r>
    </w:p>
    <w:p w14:paraId="26F39E34">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黑体" w:hAnsi="黑体" w:eastAsia="黑体" w:cs="黑体"/>
          <w:sz w:val="32"/>
          <w:szCs w:val="32"/>
        </w:rPr>
      </w:pPr>
      <w:r>
        <w:rPr>
          <w:rFonts w:hint="eastAsia" w:ascii="黑体" w:hAnsi="黑体" w:eastAsia="黑体" w:cs="黑体"/>
          <w:b w:val="0"/>
          <w:color w:val="000000"/>
          <w:sz w:val="32"/>
          <w:szCs w:val="32"/>
        </w:rPr>
        <w:t>四、重点问题说明</w:t>
      </w:r>
    </w:p>
    <w:p w14:paraId="2B3D81FE">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（一）关于压缩办理时限</w:t>
      </w:r>
    </w:p>
    <w:p w14:paraId="2283D884">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《劳务派遣行政许可实施办法》规定行政许可办理时限为自受理之日起20个工作日内。本细则将办理时限压缩至10个工作日，属于在法定时限内自我加压，有利于优化营商环境、减轻申请人负担。</w:t>
      </w:r>
    </w:p>
    <w:p w14:paraId="44D2C384">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（二）关于实质性审查</w:t>
      </w:r>
    </w:p>
    <w:p w14:paraId="74E15875">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人社部发〔2024〕2号明确要求</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对申请劳务派遣行政许可单位的资质开展实质性审查，确保实缴注册资本不少于人民币200万元、经营场所地址真实、场所及设施与开展业务相适应、劳务派遣管理制度规范</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。本细则据此明确了指派2名以上执法人员开展实质性审查的要求，并细化验资报告、经营场所、办公设施等具体审查标准，从源头上把好许可入口关，防止"空壳公司"和不符合条件的单位进入劳务派遣市场。</w:t>
      </w:r>
    </w:p>
    <w:p w14:paraId="33EF62FB">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（三）关于</w:t>
      </w:r>
      <w:r>
        <w:rPr>
          <w:rFonts w:hint="eastAsia" w:ascii="楷体" w:hAnsi="楷体" w:eastAsia="楷体" w:cs="楷体"/>
          <w:b w:val="0"/>
          <w:color w:val="000000"/>
          <w:sz w:val="32"/>
          <w:szCs w:val="32"/>
          <w:lang w:eastAsia="zh-CN"/>
        </w:rPr>
        <w:t>“</w:t>
      </w:r>
      <w:r>
        <w:rPr>
          <w:rFonts w:hint="eastAsia" w:ascii="楷体" w:hAnsi="楷体" w:eastAsia="楷体" w:cs="楷体"/>
          <w:b w:val="0"/>
          <w:color w:val="000000"/>
          <w:sz w:val="32"/>
          <w:szCs w:val="32"/>
        </w:rPr>
        <w:t>多证合一</w:t>
      </w:r>
      <w:r>
        <w:rPr>
          <w:rFonts w:hint="eastAsia" w:ascii="楷体" w:hAnsi="楷体" w:eastAsia="楷体" w:cs="楷体"/>
          <w:b w:val="0"/>
          <w:color w:val="000000"/>
          <w:sz w:val="32"/>
          <w:szCs w:val="32"/>
          <w:lang w:eastAsia="zh-CN"/>
        </w:rPr>
        <w:t>”</w:t>
      </w:r>
      <w:r>
        <w:rPr>
          <w:rFonts w:hint="eastAsia" w:ascii="楷体" w:hAnsi="楷体" w:eastAsia="楷体" w:cs="楷体"/>
          <w:b w:val="0"/>
          <w:color w:val="000000"/>
          <w:sz w:val="32"/>
          <w:szCs w:val="32"/>
        </w:rPr>
        <w:t>备案衔接</w:t>
      </w:r>
    </w:p>
    <w:p w14:paraId="18D0C306">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 w:cs="Times New Roman"/>
          <w:b w:val="0"/>
          <w:color w:val="000000"/>
          <w:sz w:val="32"/>
          <w:szCs w:val="32"/>
        </w:rPr>
      </w:pPr>
      <w:r>
        <w:rPr>
          <w:rFonts w:hint="default" w:ascii="Times New Roman" w:hAnsi="Times New Roman" w:eastAsia="仿宋" w:cs="Times New Roman"/>
          <w:b w:val="0"/>
          <w:color w:val="000000"/>
          <w:sz w:val="32"/>
          <w:szCs w:val="32"/>
        </w:rPr>
        <w:t>根据辽工商发〔2018〕26号文件，劳务派遣单位设立分公司备案属于</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多证合一</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整合事项，申请人在办理企业登记时须使用规范的经营范围表述并完整填报共享信息。本细则明确了通过</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企业开办一网通办</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系统进行线上备案的主渠道，同时保留了线下提交书面申请的兜底渠道，确保企业办事便捷顺畅。</w:t>
      </w:r>
    </w:p>
    <w:p w14:paraId="4E84519C">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（四）关于年度核验结果分档</w:t>
      </w:r>
    </w:p>
    <w:p w14:paraId="1CFB3429">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《劳务派遣行政许可实施办法》规定许可机关应当对年度经营情况报告进行核验，但未明确核验结果的具体档次。将核验结果分为合格、不合格、无业务三档，对取得许可后尚未实际开展业务的单位单独列为</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无业务</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，避免简单认定为不合格，有利于实施分类监管。</w:t>
      </w:r>
    </w:p>
    <w:p w14:paraId="2D896374">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楷体" w:hAnsi="楷体" w:eastAsia="楷体" w:cs="楷体"/>
          <w:sz w:val="32"/>
          <w:szCs w:val="32"/>
        </w:rPr>
      </w:pPr>
      <w:r>
        <w:rPr>
          <w:rFonts w:hint="eastAsia" w:ascii="楷体" w:hAnsi="楷体" w:eastAsia="楷体" w:cs="楷体"/>
          <w:b w:val="0"/>
          <w:color w:val="000000"/>
          <w:sz w:val="32"/>
          <w:szCs w:val="32"/>
        </w:rPr>
        <w:t>（五）关于证明事项告知承诺</w:t>
      </w:r>
    </w:p>
    <w:p w14:paraId="5CADC866">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对可通过法定证照、告知承诺、部门核查、网络核验等方式办理的证明事项，申请人无需提交相关材料，落实</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减证便民</w:t>
      </w:r>
      <w:r>
        <w:rPr>
          <w:rFonts w:hint="eastAsia" w:ascii="Times New Roman" w:hAnsi="Times New Roman" w:eastAsia="仿宋" w:cs="Times New Roman"/>
          <w:b w:val="0"/>
          <w:color w:val="000000"/>
          <w:sz w:val="32"/>
          <w:szCs w:val="32"/>
          <w:lang w:eastAsia="zh-CN"/>
        </w:rPr>
        <w:t>”</w:t>
      </w:r>
      <w:r>
        <w:rPr>
          <w:rFonts w:hint="default" w:ascii="Times New Roman" w:hAnsi="Times New Roman" w:eastAsia="仿宋" w:cs="Times New Roman"/>
          <w:b w:val="0"/>
          <w:color w:val="000000"/>
          <w:sz w:val="32"/>
          <w:szCs w:val="32"/>
        </w:rPr>
        <w:t>要求</w:t>
      </w:r>
      <w:r>
        <w:rPr>
          <w:rFonts w:ascii="仿宋" w:hAnsi="仿宋" w:eastAsia="仿宋"/>
          <w:b w:val="0"/>
          <w:color w:val="000000"/>
          <w:sz w:val="32"/>
        </w:rPr>
        <w:t>和人社部发〔2024〕2号</w:t>
      </w:r>
      <w:r>
        <w:rPr>
          <w:rFonts w:hint="eastAsia" w:ascii="仿宋" w:hAnsi="仿宋" w:eastAsia="仿宋"/>
          <w:b w:val="0"/>
          <w:color w:val="000000"/>
          <w:sz w:val="32"/>
          <w:lang w:eastAsia="zh-CN"/>
        </w:rPr>
        <w:t>有关精神</w:t>
      </w:r>
      <w:r>
        <w:rPr>
          <w:rFonts w:hint="default" w:ascii="Times New Roman" w:hAnsi="Times New Roman" w:eastAsia="仿宋" w:cs="Times New Roman"/>
          <w:b w:val="0"/>
          <w:color w:val="000000"/>
          <w:sz w:val="32"/>
          <w:szCs w:val="32"/>
        </w:rPr>
        <w:t>。</w:t>
      </w:r>
    </w:p>
    <w:p w14:paraId="71D4D6CB">
      <w:pPr>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黑体" w:hAnsi="黑体" w:eastAsia="黑体" w:cs="黑体"/>
          <w:sz w:val="32"/>
          <w:szCs w:val="32"/>
        </w:rPr>
      </w:pPr>
      <w:r>
        <w:rPr>
          <w:rFonts w:hint="eastAsia" w:ascii="黑体" w:hAnsi="黑体" w:eastAsia="黑体" w:cs="黑体"/>
          <w:b w:val="0"/>
          <w:color w:val="000000"/>
          <w:sz w:val="32"/>
          <w:szCs w:val="32"/>
        </w:rPr>
        <w:t>五、征求意见有关说明</w:t>
      </w:r>
    </w:p>
    <w:p w14:paraId="449D040F">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val="0"/>
          <w:color w:val="000000"/>
          <w:sz w:val="32"/>
          <w:szCs w:val="32"/>
        </w:rPr>
        <w:t>为广泛听取社会各界意见，现将细则全文公布，公开征求意见。有关单位和各界人士可在2026年</w:t>
      </w:r>
      <w:r>
        <w:rPr>
          <w:rFonts w:hint="eastAsia" w:ascii="Times New Roman" w:hAnsi="Times New Roman" w:eastAsia="仿宋" w:cs="Times New Roman"/>
          <w:b w:val="0"/>
          <w:color w:val="000000"/>
          <w:sz w:val="32"/>
          <w:szCs w:val="32"/>
          <w:lang w:val="en-US" w:eastAsia="zh-CN"/>
        </w:rPr>
        <w:t>9</w:t>
      </w:r>
      <w:r>
        <w:rPr>
          <w:rFonts w:hint="default" w:ascii="Times New Roman" w:hAnsi="Times New Roman" w:eastAsia="仿宋" w:cs="Times New Roman"/>
          <w:b w:val="0"/>
          <w:color w:val="000000"/>
          <w:sz w:val="32"/>
          <w:szCs w:val="32"/>
        </w:rPr>
        <w:t>月</w:t>
      </w:r>
      <w:r>
        <w:rPr>
          <w:rFonts w:hint="eastAsia" w:ascii="Times New Roman" w:hAnsi="Times New Roman" w:eastAsia="仿宋" w:cs="Times New Roman"/>
          <w:b w:val="0"/>
          <w:color w:val="000000"/>
          <w:sz w:val="32"/>
          <w:szCs w:val="32"/>
          <w:lang w:val="en-US" w:eastAsia="zh-CN"/>
        </w:rPr>
        <w:t>20</w:t>
      </w:r>
      <w:r>
        <w:rPr>
          <w:rFonts w:hint="default" w:ascii="Times New Roman" w:hAnsi="Times New Roman" w:eastAsia="仿宋" w:cs="Times New Roman"/>
          <w:b w:val="0"/>
          <w:color w:val="000000"/>
          <w:sz w:val="32"/>
          <w:szCs w:val="32"/>
        </w:rPr>
        <w:t>日前通过以下方式反馈：</w:t>
      </w:r>
    </w:p>
    <w:p w14:paraId="001C084A">
      <w:pPr>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val="0"/>
          <w:color w:val="000000"/>
          <w:sz w:val="32"/>
          <w:szCs w:val="32"/>
          <w:lang w:eastAsia="zh-CN"/>
        </w:rPr>
        <w:t>（一）</w:t>
      </w:r>
      <w:r>
        <w:rPr>
          <w:rFonts w:hint="eastAsia" w:ascii="CESI仿宋-GB2312" w:hAnsi="CESI仿宋-GB2312" w:eastAsia="CESI仿宋-GB2312" w:cs="CESI仿宋-GB2312"/>
          <w:b w:val="0"/>
          <w:color w:val="000000"/>
          <w:sz w:val="32"/>
          <w:szCs w:val="32"/>
        </w:rPr>
        <w:t>信函寄至：沈阳市</w:t>
      </w:r>
      <w:r>
        <w:rPr>
          <w:rFonts w:hint="eastAsia" w:ascii="CESI仿宋-GB2312" w:hAnsi="CESI仿宋-GB2312" w:eastAsia="CESI仿宋-GB2312" w:cs="CESI仿宋-GB2312"/>
          <w:b w:val="0"/>
          <w:color w:val="000000"/>
          <w:sz w:val="32"/>
          <w:szCs w:val="32"/>
          <w:lang w:eastAsia="zh-CN"/>
        </w:rPr>
        <w:t>沈河区青年北大街</w:t>
      </w:r>
      <w:r>
        <w:rPr>
          <w:rFonts w:hint="eastAsia" w:ascii="CESI仿宋-GB2312" w:hAnsi="CESI仿宋-GB2312" w:eastAsia="CESI仿宋-GB2312" w:cs="CESI仿宋-GB2312"/>
          <w:b w:val="0"/>
          <w:color w:val="000000"/>
          <w:sz w:val="32"/>
          <w:szCs w:val="32"/>
          <w:lang w:val="en-US" w:eastAsia="zh-CN"/>
        </w:rPr>
        <w:t>16</w:t>
      </w:r>
      <w:r>
        <w:rPr>
          <w:rFonts w:hint="eastAsia" w:ascii="CESI仿宋-GB2312" w:hAnsi="CESI仿宋-GB2312" w:eastAsia="CESI仿宋-GB2312" w:cs="CESI仿宋-GB2312"/>
          <w:b w:val="0"/>
          <w:color w:val="000000"/>
          <w:sz w:val="32"/>
          <w:szCs w:val="32"/>
        </w:rPr>
        <w:t>号，沈阳市人力资源和社会保障局</w:t>
      </w:r>
      <w:r>
        <w:rPr>
          <w:rFonts w:hint="eastAsia" w:ascii="CESI仿宋-GB2312" w:hAnsi="CESI仿宋-GB2312" w:eastAsia="CESI仿宋-GB2312" w:cs="CESI仿宋-GB2312"/>
          <w:b w:val="0"/>
          <w:color w:val="000000"/>
          <w:sz w:val="32"/>
          <w:szCs w:val="32"/>
          <w:lang w:eastAsia="zh-CN"/>
        </w:rPr>
        <w:t>劳动关系</w:t>
      </w:r>
      <w:r>
        <w:rPr>
          <w:rFonts w:hint="eastAsia" w:ascii="CESI仿宋-GB2312" w:hAnsi="CESI仿宋-GB2312" w:eastAsia="CESI仿宋-GB2312" w:cs="CESI仿宋-GB2312"/>
          <w:b w:val="0"/>
          <w:color w:val="000000"/>
          <w:sz w:val="32"/>
          <w:szCs w:val="32"/>
        </w:rPr>
        <w:t>处（邮编：110</w:t>
      </w:r>
      <w:r>
        <w:rPr>
          <w:rFonts w:hint="eastAsia" w:ascii="CESI仿宋-GB2312" w:hAnsi="CESI仿宋-GB2312" w:eastAsia="CESI仿宋-GB2312" w:cs="CESI仿宋-GB2312"/>
          <w:b w:val="0"/>
          <w:color w:val="000000"/>
          <w:sz w:val="32"/>
          <w:szCs w:val="32"/>
          <w:lang w:val="en-US" w:eastAsia="zh-CN"/>
        </w:rPr>
        <w:t>013</w:t>
      </w:r>
      <w:r>
        <w:rPr>
          <w:rFonts w:hint="eastAsia" w:ascii="CESI仿宋-GB2312" w:hAnsi="CESI仿宋-GB2312" w:eastAsia="CESI仿宋-GB2312" w:cs="CESI仿宋-GB2312"/>
          <w:b w:val="0"/>
          <w:color w:val="000000"/>
          <w:sz w:val="32"/>
          <w:szCs w:val="32"/>
        </w:rPr>
        <w:t>），信封注明"劳务派遣行政许可实施细则征求意见"。</w:t>
      </w:r>
    </w:p>
    <w:p w14:paraId="62A03D6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 w:cs="Times New Roman"/>
          <w:sz w:val="32"/>
          <w:szCs w:val="32"/>
        </w:rPr>
      </w:pPr>
      <w:r>
        <w:rPr>
          <w:rFonts w:hint="eastAsia" w:ascii="Times New Roman" w:hAnsi="Times New Roman" w:eastAsia="仿宋" w:cs="Times New Roman"/>
          <w:b w:val="0"/>
          <w:color w:val="000000"/>
          <w:sz w:val="32"/>
          <w:szCs w:val="32"/>
          <w:lang w:val="en" w:eastAsia="zh-CN"/>
        </w:rPr>
        <w:t>（二）</w:t>
      </w:r>
      <w:r>
        <w:rPr>
          <w:rFonts w:hint="default" w:ascii="Times New Roman" w:hAnsi="Times New Roman" w:eastAsia="仿宋" w:cs="Times New Roman"/>
          <w:b w:val="0"/>
          <w:color w:val="000000"/>
          <w:sz w:val="32"/>
          <w:szCs w:val="32"/>
        </w:rPr>
        <w:t>电子邮件：</w:t>
      </w:r>
      <w:r>
        <w:rPr>
          <w:rFonts w:hint="default" w:ascii="Times New Roman" w:hAnsi="Times New Roman" w:eastAsia="仿宋" w:cs="Times New Roman"/>
          <w:b w:val="0"/>
          <w:color w:val="auto"/>
          <w:sz w:val="32"/>
          <w:szCs w:val="32"/>
        </w:rPr>
        <w:t xml:space="preserve"> ldgxc-sysrsj@shenyang.gov. cn</w:t>
      </w:r>
    </w:p>
    <w:p w14:paraId="5DDBBA84">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jc w:val="both"/>
        <w:textAlignment w:val="auto"/>
        <w:rPr>
          <w:rFonts w:hint="default" w:ascii="Times New Roman" w:hAnsi="Times New Roman" w:eastAsia="仿宋" w:cs="Times New Roman"/>
          <w:b w:val="0"/>
          <w:color w:val="000000"/>
          <w:sz w:val="32"/>
          <w:szCs w:val="32"/>
        </w:rPr>
      </w:pPr>
      <w:r>
        <w:rPr>
          <w:rFonts w:hint="default" w:ascii="Times New Roman" w:hAnsi="Times New Roman" w:eastAsia="仿宋" w:cs="Times New Roman"/>
          <w:b w:val="0"/>
          <w:color w:val="000000"/>
          <w:sz w:val="32"/>
          <w:szCs w:val="32"/>
        </w:rPr>
        <w:t>联系电话：024-</w:t>
      </w:r>
      <w:r>
        <w:rPr>
          <w:rFonts w:hint="eastAsia" w:ascii="Times New Roman" w:hAnsi="Times New Roman" w:eastAsia="仿宋" w:cs="Times New Roman"/>
          <w:b w:val="0"/>
          <w:color w:val="000000"/>
          <w:sz w:val="32"/>
          <w:szCs w:val="32"/>
          <w:lang w:val="en-US" w:eastAsia="zh-CN"/>
        </w:rPr>
        <w:t>22855266</w:t>
      </w:r>
    </w:p>
    <w:p w14:paraId="23DED4B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 w:cs="Times New Roman"/>
          <w:sz w:val="32"/>
          <w:szCs w:val="32"/>
        </w:rPr>
      </w:pPr>
    </w:p>
    <w:sectPr>
      <w:pgSz w:w="11906" w:h="16838"/>
      <w:pgMar w:top="2098" w:right="1474" w:bottom="1984" w:left="1587"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auto"/>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文泉驿微米黑"/>
    <w:panose1 w:val="00000000000000000000"/>
    <w:charset w:val="86"/>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ＭＳ ゴシック">
    <w:altName w:val="文泉驿微米黑"/>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Wingdings 3">
    <w:panose1 w:val="05040102010807070707"/>
    <w:charset w:val="00"/>
    <w:family w:val="auto"/>
    <w:pitch w:val="default"/>
    <w:sig w:usb0="00000000" w:usb1="00000000" w:usb2="00000000" w:usb3="00000000" w:csb0="8000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ＭＳ 明朝">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EF97813"/>
    <w:rsid w:val="2AAF4215"/>
    <w:rsid w:val="3B735708"/>
    <w:rsid w:val="572A47AE"/>
    <w:rsid w:val="7DA72751"/>
    <w:rsid w:val="EFFCDD79"/>
    <w:rsid w:val="F637FD1D"/>
    <w:rsid w:val="F7AF4E94"/>
    <w:rsid w:val="FBFF3FE5"/>
    <w:rsid w:val="FFFF313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仿宋_GB2312" w:hAnsi="仿宋_GB2312"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仿宋_GB2312" w:hAnsi="仿宋_GB2312"/>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2315</Words>
  <Characters>2404</Characters>
  <Lines>0</Lines>
  <Paragraphs>0</Paragraphs>
  <TotalTime>3</TotalTime>
  <ScaleCrop>false</ScaleCrop>
  <LinksUpToDate>false</LinksUpToDate>
  <CharactersWithSpaces>2404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2013-12-25T15:15:00Z</dcterms:created>
  <dc:creator>python-docx</dc:creator>
  <dc:description>generated by python-docx</dc:description>
  <cp:lastModifiedBy>孟凡宇</cp:lastModifiedBy>
  <dcterms:modified xsi:type="dcterms:W3CDTF">2026-08-28T16:13:28Z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eyJoZGlkIjoiMWUwMTIzNzFhMmU1ZjIwNDQwYjU2ZmNjMGQ4Y2E4YTAiLCJ1c2VySWQiOiI0MDI4NTA1NjUifQ==</vt:lpwstr>
  </property>
  <property fmtid="{D5CDD505-2E9C-101B-9397-08002B2CF9AE}" pid="3" name="KSOProductBuildVer">
    <vt:lpwstr>2052-12.1.2.25882</vt:lpwstr>
  </property>
  <property fmtid="{D5CDD505-2E9C-101B-9397-08002B2CF9AE}" pid="4" name="ICV">
    <vt:lpwstr>9096326648F64980B30280E3C984D078_13</vt:lpwstr>
  </property>
</Properties>
</file>